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011A8" w14:textId="77777777" w:rsidR="002E41F0" w:rsidRDefault="002E41F0" w:rsidP="00296465">
      <w:pPr>
        <w:snapToGrid w:val="0"/>
        <w:spacing w:after="0"/>
        <w:rPr>
          <w:rFonts w:ascii="Work Sans Light" w:hAnsi="Work Sans Light" w:cs="Open Sans Light"/>
          <w:b/>
          <w:sz w:val="24"/>
          <w:szCs w:val="20"/>
        </w:rPr>
      </w:pPr>
      <w:r w:rsidRPr="002E41F0">
        <w:rPr>
          <w:rFonts w:ascii="Work Sans Light" w:hAnsi="Work Sans Light" w:cs="Open Sans Light"/>
          <w:b/>
          <w:sz w:val="24"/>
          <w:szCs w:val="20"/>
        </w:rPr>
        <w:t>Kuo labiausiai pasitiki būsto pirkėjai: statybų įmonėmis, vystytojais ar brokeriais?</w:t>
      </w:r>
    </w:p>
    <w:p w14:paraId="46D0FC66" w14:textId="771FA095" w:rsidR="00C35436" w:rsidRPr="00D11B81" w:rsidRDefault="00B41BA4" w:rsidP="00296465">
      <w:pPr>
        <w:snapToGrid w:val="0"/>
        <w:spacing w:after="0"/>
        <w:rPr>
          <w:rFonts w:ascii="Work Sans Light" w:hAnsi="Work Sans Light" w:cs="Open Sans Light"/>
          <w:i/>
          <w:color w:val="000000" w:themeColor="text1"/>
          <w:sz w:val="18"/>
          <w:szCs w:val="18"/>
        </w:rPr>
      </w:pPr>
      <w:r w:rsidRPr="00D11B81">
        <w:rPr>
          <w:rFonts w:ascii="Work Sans Light" w:hAnsi="Work Sans Light" w:cs="Open Sans Light"/>
          <w:i/>
          <w:color w:val="000000" w:themeColor="text1"/>
          <w:sz w:val="18"/>
          <w:szCs w:val="18"/>
        </w:rPr>
        <w:t xml:space="preserve">2020 m. </w:t>
      </w:r>
      <w:r w:rsidR="002E41F0">
        <w:rPr>
          <w:rFonts w:ascii="Work Sans Light" w:hAnsi="Work Sans Light" w:cs="Open Sans Light"/>
          <w:i/>
          <w:color w:val="000000" w:themeColor="text1"/>
          <w:sz w:val="18"/>
          <w:szCs w:val="18"/>
        </w:rPr>
        <w:t>kovo</w:t>
      </w:r>
      <w:r w:rsidRPr="00D11B81">
        <w:rPr>
          <w:rFonts w:ascii="Work Sans Light" w:hAnsi="Work Sans Light" w:cs="Open Sans Light"/>
          <w:i/>
          <w:color w:val="000000" w:themeColor="text1"/>
          <w:sz w:val="18"/>
          <w:szCs w:val="18"/>
        </w:rPr>
        <w:t xml:space="preserve"> </w:t>
      </w:r>
      <w:r w:rsidR="002E41F0">
        <w:rPr>
          <w:rFonts w:ascii="Work Sans Light" w:hAnsi="Work Sans Light" w:cs="Open Sans Light"/>
          <w:i/>
          <w:color w:val="000000" w:themeColor="text1"/>
          <w:sz w:val="18"/>
          <w:szCs w:val="18"/>
        </w:rPr>
        <w:t>12</w:t>
      </w:r>
      <w:r w:rsidRPr="00D11B81">
        <w:rPr>
          <w:rFonts w:ascii="Work Sans Light" w:hAnsi="Work Sans Light" w:cs="Open Sans Light"/>
          <w:i/>
          <w:color w:val="000000" w:themeColor="text1"/>
          <w:sz w:val="18"/>
          <w:szCs w:val="18"/>
        </w:rPr>
        <w:t xml:space="preserve"> d.</w:t>
      </w:r>
    </w:p>
    <w:p w14:paraId="48F4F2C2" w14:textId="77777777" w:rsidR="00B41BA4" w:rsidRPr="009C3EEC" w:rsidRDefault="00B41BA4" w:rsidP="00296465">
      <w:pPr>
        <w:snapToGrid w:val="0"/>
        <w:spacing w:after="0"/>
        <w:rPr>
          <w:rFonts w:asciiTheme="majorHAnsi" w:hAnsiTheme="majorHAnsi" w:cstheme="majorHAnsi"/>
          <w:color w:val="000000" w:themeColor="text1"/>
          <w:sz w:val="21"/>
          <w:szCs w:val="21"/>
        </w:rPr>
      </w:pPr>
    </w:p>
    <w:p w14:paraId="53027479" w14:textId="77777777" w:rsidR="002E41F0" w:rsidRPr="00DF2FB1" w:rsidRDefault="002E41F0" w:rsidP="002E41F0">
      <w:pPr>
        <w:rPr>
          <w:rFonts w:cs="Arial"/>
          <w:b/>
          <w:sz w:val="20"/>
        </w:rPr>
      </w:pPr>
      <w:bookmarkStart w:id="0" w:name="OLE_LINK1"/>
      <w:bookmarkStart w:id="1" w:name="OLE_LINK2"/>
      <w:r>
        <w:rPr>
          <w:rFonts w:cs="Arial"/>
          <w:b/>
          <w:sz w:val="20"/>
        </w:rPr>
        <w:t>Rekordus ir toliau mušanti nekilnojamojo turto (NT) rinka stiprina</w:t>
      </w:r>
      <w:r w:rsidRPr="00DF2FB1">
        <w:rPr>
          <w:rFonts w:cs="Arial"/>
          <w:b/>
          <w:sz w:val="20"/>
        </w:rPr>
        <w:t xml:space="preserve"> diskusij</w:t>
      </w:r>
      <w:r>
        <w:rPr>
          <w:rFonts w:cs="Arial"/>
          <w:b/>
          <w:sz w:val="20"/>
        </w:rPr>
        <w:t>as</w:t>
      </w:r>
      <w:r w:rsidRPr="00DF2FB1">
        <w:rPr>
          <w:rFonts w:cs="Arial"/>
          <w:b/>
          <w:sz w:val="20"/>
        </w:rPr>
        <w:t>, esą</w:t>
      </w:r>
      <w:r>
        <w:rPr>
          <w:rFonts w:cs="Arial"/>
          <w:b/>
          <w:sz w:val="20"/>
        </w:rPr>
        <w:t>,</w:t>
      </w:r>
      <w:r w:rsidRPr="00DF2FB1">
        <w:rPr>
          <w:rFonts w:cs="Arial"/>
          <w:b/>
          <w:sz w:val="20"/>
        </w:rPr>
        <w:t xml:space="preserve"> lietuviai būstus perka nesirinkdami, pernelyg nesusimąstydami apie </w:t>
      </w:r>
      <w:r>
        <w:rPr>
          <w:rFonts w:cs="Arial"/>
          <w:b/>
          <w:sz w:val="20"/>
        </w:rPr>
        <w:t xml:space="preserve">kokybę ar garantijas, </w:t>
      </w:r>
      <w:r w:rsidRPr="00DF2FB1">
        <w:rPr>
          <w:rFonts w:cs="Arial"/>
          <w:b/>
          <w:sz w:val="20"/>
        </w:rPr>
        <w:t xml:space="preserve">statytojų </w:t>
      </w:r>
      <w:r>
        <w:rPr>
          <w:rFonts w:cs="Arial"/>
          <w:b/>
          <w:sz w:val="20"/>
        </w:rPr>
        <w:t>bei</w:t>
      </w:r>
      <w:r w:rsidRPr="00DF2FB1">
        <w:rPr>
          <w:rFonts w:cs="Arial"/>
          <w:b/>
          <w:sz w:val="20"/>
        </w:rPr>
        <w:t xml:space="preserve"> vystytojų</w:t>
      </w:r>
      <w:r>
        <w:rPr>
          <w:rFonts w:cs="Arial"/>
          <w:b/>
          <w:sz w:val="20"/>
        </w:rPr>
        <w:t xml:space="preserve"> reputaciją – perka viską, kas parduodama. Tačiau</w:t>
      </w:r>
      <w:r w:rsidRPr="00DF2FB1">
        <w:rPr>
          <w:rFonts w:cs="Arial"/>
          <w:b/>
          <w:sz w:val="20"/>
        </w:rPr>
        <w:t xml:space="preserve"> </w:t>
      </w:r>
      <w:r>
        <w:rPr>
          <w:rFonts w:cs="Arial"/>
          <w:b/>
          <w:sz w:val="20"/>
        </w:rPr>
        <w:t>NT</w:t>
      </w:r>
      <w:r w:rsidRPr="00DF2FB1">
        <w:rPr>
          <w:rFonts w:cs="Arial"/>
          <w:b/>
          <w:sz w:val="20"/>
        </w:rPr>
        <w:t xml:space="preserve"> plėtros </w:t>
      </w:r>
      <w:r>
        <w:rPr>
          <w:rFonts w:cs="Arial"/>
          <w:b/>
          <w:sz w:val="20"/>
        </w:rPr>
        <w:t xml:space="preserve">įmonės </w:t>
      </w:r>
      <w:r w:rsidRPr="00DF2FB1">
        <w:rPr>
          <w:rFonts w:cs="Arial"/>
          <w:b/>
          <w:sz w:val="20"/>
        </w:rPr>
        <w:t xml:space="preserve">„Citus“ užsakymu atlikta Vilniaus ir Kauno gyventojų, kuriems aktualus būsto pirkimas, apklausa parodė, kad </w:t>
      </w:r>
      <w:r>
        <w:rPr>
          <w:rFonts w:cs="Arial"/>
          <w:b/>
          <w:sz w:val="20"/>
        </w:rPr>
        <w:t>yra kitaip.</w:t>
      </w:r>
      <w:r w:rsidRPr="00DF2FB1">
        <w:rPr>
          <w:rFonts w:cs="Arial"/>
          <w:b/>
          <w:sz w:val="20"/>
        </w:rPr>
        <w:t xml:space="preserve"> </w:t>
      </w:r>
      <w:r>
        <w:rPr>
          <w:rFonts w:cs="Arial"/>
          <w:b/>
          <w:sz w:val="20"/>
        </w:rPr>
        <w:t xml:space="preserve">Tik trečdaliui žmonių nesvarbu, iš ko pirkti būstą. Kiti būsto pasirinkimą grindžia racionaliais kriterijais. </w:t>
      </w:r>
      <w:r w:rsidRPr="00DF2FB1">
        <w:rPr>
          <w:rFonts w:cs="Arial"/>
          <w:b/>
          <w:sz w:val="20"/>
        </w:rPr>
        <w:t xml:space="preserve"> </w:t>
      </w:r>
    </w:p>
    <w:p w14:paraId="203B15C2" w14:textId="77777777" w:rsidR="002E41F0" w:rsidRPr="00DF2FB1" w:rsidRDefault="002E41F0" w:rsidP="002E41F0">
      <w:pPr>
        <w:rPr>
          <w:rFonts w:cs="Arial"/>
          <w:sz w:val="20"/>
          <w:szCs w:val="20"/>
        </w:rPr>
      </w:pPr>
      <w:r w:rsidRPr="00DF2FB1">
        <w:rPr>
          <w:rFonts w:cs="Arial"/>
          <w:sz w:val="20"/>
          <w:szCs w:val="20"/>
        </w:rPr>
        <w:t xml:space="preserve">Tyrimas parodė, kad svarbiausi faktoriai </w:t>
      </w:r>
      <w:r>
        <w:rPr>
          <w:rFonts w:cs="Arial"/>
          <w:sz w:val="20"/>
          <w:szCs w:val="20"/>
        </w:rPr>
        <w:t>besi</w:t>
      </w:r>
      <w:r w:rsidRPr="00DF2FB1">
        <w:rPr>
          <w:rFonts w:cs="Arial"/>
          <w:sz w:val="20"/>
          <w:szCs w:val="20"/>
        </w:rPr>
        <w:t>renkant</w:t>
      </w:r>
      <w:r>
        <w:rPr>
          <w:rFonts w:cs="Arial"/>
          <w:sz w:val="20"/>
          <w:szCs w:val="20"/>
        </w:rPr>
        <w:t>iems</w:t>
      </w:r>
      <w:r w:rsidRPr="00DF2FB1">
        <w:rPr>
          <w:rFonts w:cs="Arial"/>
          <w:sz w:val="20"/>
          <w:szCs w:val="20"/>
        </w:rPr>
        <w:t xml:space="preserve"> būstą – kaip įprasta – yra kaina (89 proc</w:t>
      </w:r>
      <w:r>
        <w:rPr>
          <w:rFonts w:cs="Arial"/>
          <w:sz w:val="20"/>
          <w:szCs w:val="20"/>
        </w:rPr>
        <w:t>.</w:t>
      </w:r>
      <w:r w:rsidRPr="00DF2FB1">
        <w:rPr>
          <w:rFonts w:cs="Arial"/>
          <w:sz w:val="20"/>
          <w:szCs w:val="20"/>
        </w:rPr>
        <w:t xml:space="preserve"> apklaustųjų) ir vieta (86 proc.), o iškart po šių kriterijų seka statybos darbų kokybė. Šiam faktoriui prioritetą teikia 80 proc. tyrimo dalyvių.</w:t>
      </w:r>
    </w:p>
    <w:p w14:paraId="15BE781D" w14:textId="77777777" w:rsidR="002E41F0" w:rsidRPr="00DF2FB1" w:rsidRDefault="002E41F0" w:rsidP="002E41F0">
      <w:pPr>
        <w:jc w:val="center"/>
        <w:rPr>
          <w:rFonts w:cs="Arial"/>
          <w:sz w:val="20"/>
          <w:szCs w:val="20"/>
        </w:rPr>
      </w:pPr>
      <w:r w:rsidRPr="00DF2FB1">
        <w:rPr>
          <w:rFonts w:cs="Arial"/>
          <w:noProof/>
          <w:sz w:val="20"/>
          <w:lang w:val="en-US"/>
        </w:rPr>
        <w:drawing>
          <wp:inline distT="0" distB="0" distL="0" distR="0" wp14:anchorId="0DE127A0" wp14:editId="11B9DD53">
            <wp:extent cx="3960000" cy="2323365"/>
            <wp:effectExtent l="0" t="0" r="254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60000" cy="2323365"/>
                    </a:xfrm>
                    <a:prstGeom prst="rect">
                      <a:avLst/>
                    </a:prstGeom>
                  </pic:spPr>
                </pic:pic>
              </a:graphicData>
            </a:graphic>
          </wp:inline>
        </w:drawing>
      </w:r>
    </w:p>
    <w:p w14:paraId="4712B2B2" w14:textId="77777777" w:rsidR="002E41F0" w:rsidRPr="00DF2FB1" w:rsidRDefault="002E41F0" w:rsidP="002E41F0">
      <w:pPr>
        <w:jc w:val="right"/>
        <w:rPr>
          <w:rFonts w:cs="Arial"/>
          <w:sz w:val="20"/>
          <w:szCs w:val="20"/>
        </w:rPr>
      </w:pPr>
      <w:r w:rsidRPr="00DF2FB1">
        <w:rPr>
          <w:rFonts w:cs="Arial"/>
          <w:i/>
          <w:sz w:val="16"/>
        </w:rPr>
        <w:t xml:space="preserve">Grafikas 1: Būsto pasirinkimo kriterijai. CITUS </w:t>
      </w:r>
      <w:proofErr w:type="spellStart"/>
      <w:r w:rsidRPr="00DF2FB1">
        <w:rPr>
          <w:rFonts w:cs="Arial"/>
          <w:i/>
          <w:sz w:val="16"/>
        </w:rPr>
        <w:t>duom</w:t>
      </w:r>
      <w:proofErr w:type="spellEnd"/>
      <w:r w:rsidRPr="00DF2FB1">
        <w:rPr>
          <w:rFonts w:cs="Arial"/>
          <w:i/>
          <w:sz w:val="16"/>
        </w:rPr>
        <w:t>.</w:t>
      </w:r>
    </w:p>
    <w:p w14:paraId="335E3F6A" w14:textId="75B44D62" w:rsidR="002E41F0" w:rsidRDefault="006D7E50" w:rsidP="002E41F0">
      <w:pPr>
        <w:rPr>
          <w:rFonts w:cs="Arial"/>
          <w:sz w:val="20"/>
        </w:rPr>
      </w:pPr>
      <w:r>
        <w:rPr>
          <w:rFonts w:cs="Arial"/>
          <w:sz w:val="20"/>
        </w:rPr>
        <w:t>R</w:t>
      </w:r>
      <w:r w:rsidR="002E41F0" w:rsidRPr="00DF2FB1">
        <w:rPr>
          <w:rFonts w:cs="Arial"/>
          <w:sz w:val="20"/>
        </w:rPr>
        <w:t>inkdamiesi iš vienodų nekilnojamo turto pasiūlymų</w:t>
      </w:r>
      <w:r w:rsidR="002E41F0">
        <w:rPr>
          <w:rFonts w:cs="Arial"/>
          <w:sz w:val="20"/>
        </w:rPr>
        <w:t>, gautų iš skirtinga veikla užsiimančių įmonių</w:t>
      </w:r>
      <w:r w:rsidR="002E41F0" w:rsidRPr="00DF2FB1">
        <w:rPr>
          <w:rFonts w:cs="Arial"/>
          <w:sz w:val="20"/>
        </w:rPr>
        <w:t xml:space="preserve">, 44 proc. apklaustųjų (2018-aisiais tokių buvo 42 proc.) prioritetą teiktų statybų bendrovės pasiūlymui, argumentuodami, jog iš jų tikisi geresnės kainos ir nori išvengti tarpininkų. 21 proc. kreiptųsi į nekilnojamojo turto </w:t>
      </w:r>
      <w:proofErr w:type="spellStart"/>
      <w:r w:rsidR="002E41F0" w:rsidRPr="00DF2FB1">
        <w:rPr>
          <w:rFonts w:cs="Arial"/>
          <w:sz w:val="20"/>
        </w:rPr>
        <w:t>vystytojus</w:t>
      </w:r>
      <w:proofErr w:type="spellEnd"/>
      <w:r w:rsidR="002E41F0" w:rsidRPr="00DF2FB1">
        <w:rPr>
          <w:rFonts w:cs="Arial"/>
          <w:sz w:val="20"/>
        </w:rPr>
        <w:t>, nes mano, jog šie daugiau žino apie patį projektą, statybas arba prisiima daugiau atsakomybės už projektą, statybų eigą (2018 m. – 18 proc.)</w:t>
      </w:r>
      <w:r w:rsidR="002E41F0">
        <w:rPr>
          <w:rFonts w:cs="Arial"/>
          <w:sz w:val="20"/>
        </w:rPr>
        <w:t>.</w:t>
      </w:r>
      <w:r w:rsidR="002E41F0" w:rsidRPr="00DF2FB1">
        <w:rPr>
          <w:rFonts w:cs="Arial"/>
          <w:sz w:val="20"/>
        </w:rPr>
        <w:t xml:space="preserve"> </w:t>
      </w:r>
      <w:r w:rsidR="002E41F0">
        <w:rPr>
          <w:rFonts w:cs="Arial"/>
          <w:sz w:val="20"/>
        </w:rPr>
        <w:t>M</w:t>
      </w:r>
      <w:r w:rsidR="002E41F0" w:rsidRPr="00DF2FB1">
        <w:rPr>
          <w:rFonts w:cs="Arial"/>
          <w:sz w:val="20"/>
        </w:rPr>
        <w:t xml:space="preserve">ažiausiai, 5 proc. pasitikėtų </w:t>
      </w:r>
      <w:r w:rsidR="002E41F0">
        <w:rPr>
          <w:rFonts w:cs="Arial"/>
          <w:sz w:val="20"/>
        </w:rPr>
        <w:t>NT tarpininkais</w:t>
      </w:r>
      <w:r w:rsidR="002E41F0" w:rsidRPr="00DF2FB1">
        <w:rPr>
          <w:rFonts w:cs="Arial"/>
          <w:sz w:val="20"/>
        </w:rPr>
        <w:t xml:space="preserve"> </w:t>
      </w:r>
      <w:r w:rsidR="002E41F0" w:rsidRPr="00DF2FB1">
        <w:rPr>
          <w:rFonts w:cs="Arial"/>
          <w:sz w:val="20"/>
          <w:shd w:val="clear" w:color="auto" w:fill="FFFFFF"/>
        </w:rPr>
        <w:t>(2018 m. – 4 proc.)</w:t>
      </w:r>
      <w:r w:rsidR="002E41F0" w:rsidRPr="00DF2FB1">
        <w:rPr>
          <w:rFonts w:cs="Arial"/>
          <w:sz w:val="20"/>
        </w:rPr>
        <w:t>.</w:t>
      </w:r>
    </w:p>
    <w:p w14:paraId="41B39CCD" w14:textId="77777777" w:rsidR="002E41F0" w:rsidRPr="00DF2FB1" w:rsidRDefault="002E41F0" w:rsidP="002E41F0">
      <w:pPr>
        <w:jc w:val="center"/>
        <w:rPr>
          <w:rFonts w:cs="Arial"/>
          <w:sz w:val="20"/>
        </w:rPr>
      </w:pPr>
      <w:r w:rsidRPr="00DF2FB1">
        <w:rPr>
          <w:rFonts w:cs="Arial"/>
          <w:noProof/>
          <w:sz w:val="20"/>
          <w:lang w:val="en-US"/>
        </w:rPr>
        <w:drawing>
          <wp:inline distT="0" distB="0" distL="0" distR="0" wp14:anchorId="226C80F9" wp14:editId="379C9B0D">
            <wp:extent cx="2877936" cy="1690263"/>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inomumo_tyrimas-Veiklos_pagal_imoniu_tipu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7936" cy="1690263"/>
                    </a:xfrm>
                    <a:prstGeom prst="rect">
                      <a:avLst/>
                    </a:prstGeom>
                  </pic:spPr>
                </pic:pic>
              </a:graphicData>
            </a:graphic>
          </wp:inline>
        </w:drawing>
      </w:r>
    </w:p>
    <w:p w14:paraId="22932F67" w14:textId="77777777" w:rsidR="002E41F0" w:rsidRPr="00DF2FB1" w:rsidRDefault="002E41F0" w:rsidP="002E41F0">
      <w:pPr>
        <w:jc w:val="right"/>
        <w:rPr>
          <w:rFonts w:cs="Arial"/>
          <w:sz w:val="20"/>
        </w:rPr>
      </w:pPr>
      <w:r w:rsidRPr="00DF2FB1">
        <w:rPr>
          <w:rFonts w:cs="Arial"/>
          <w:i/>
          <w:sz w:val="16"/>
        </w:rPr>
        <w:t xml:space="preserve">Grafikas </w:t>
      </w:r>
      <w:r>
        <w:rPr>
          <w:rFonts w:cs="Arial"/>
          <w:i/>
          <w:sz w:val="16"/>
        </w:rPr>
        <w:t>2</w:t>
      </w:r>
      <w:r w:rsidRPr="00DF2FB1">
        <w:rPr>
          <w:rFonts w:cs="Arial"/>
          <w:i/>
          <w:sz w:val="16"/>
        </w:rPr>
        <w:t xml:space="preserve">: </w:t>
      </w:r>
      <w:r>
        <w:rPr>
          <w:rFonts w:cs="Arial"/>
          <w:i/>
          <w:sz w:val="16"/>
        </w:rPr>
        <w:t>Bendrovės, kurių būsto pasiūlymas būtų patraukliausias (2019 ir 2018 m. rezultatai)</w:t>
      </w:r>
      <w:r w:rsidRPr="00DF2FB1">
        <w:rPr>
          <w:rFonts w:cs="Arial"/>
          <w:i/>
          <w:sz w:val="16"/>
        </w:rPr>
        <w:t xml:space="preserve">. CITUS </w:t>
      </w:r>
      <w:proofErr w:type="spellStart"/>
      <w:r w:rsidRPr="00DF2FB1">
        <w:rPr>
          <w:rFonts w:cs="Arial"/>
          <w:i/>
          <w:sz w:val="16"/>
        </w:rPr>
        <w:t>duom</w:t>
      </w:r>
      <w:proofErr w:type="spellEnd"/>
      <w:r w:rsidRPr="00DF2FB1">
        <w:rPr>
          <w:rFonts w:cs="Arial"/>
          <w:i/>
          <w:sz w:val="16"/>
        </w:rPr>
        <w:t>.</w:t>
      </w:r>
    </w:p>
    <w:p w14:paraId="038E4E79" w14:textId="33235D2A" w:rsidR="002E41F0" w:rsidRPr="0033223A" w:rsidRDefault="002E41F0" w:rsidP="002E41F0">
      <w:pPr>
        <w:pStyle w:val="CommentText"/>
        <w:rPr>
          <w:rFonts w:cs="Arial"/>
          <w:szCs w:val="21"/>
        </w:rPr>
      </w:pPr>
      <w:r>
        <w:rPr>
          <w:rFonts w:cs="Arial"/>
          <w:szCs w:val="21"/>
        </w:rPr>
        <w:t xml:space="preserve">Vertindami įmones ir jų būsto pasiūlymus, žmonės statybų veiklą sieja su kokybe bei garantijomis. Pirkėjai preferenciją teikia ir įmonėms, kurios nėra statytojos, bet yra siejamos su statybų veikla ar pirkėjai </w:t>
      </w:r>
      <w:r w:rsidR="00087E40">
        <w:rPr>
          <w:rFonts w:cs="Arial"/>
          <w:szCs w:val="21"/>
        </w:rPr>
        <w:t xml:space="preserve">šią veiklą </w:t>
      </w:r>
      <w:r>
        <w:rPr>
          <w:rFonts w:cs="Arial"/>
          <w:szCs w:val="21"/>
        </w:rPr>
        <w:t xml:space="preserve">joms priskiria </w:t>
      </w:r>
      <w:r w:rsidR="00087E40">
        <w:rPr>
          <w:rFonts w:cs="Arial"/>
          <w:szCs w:val="21"/>
        </w:rPr>
        <w:t>intuityviai</w:t>
      </w:r>
      <w:r>
        <w:rPr>
          <w:rFonts w:cs="Arial"/>
          <w:szCs w:val="21"/>
        </w:rPr>
        <w:t xml:space="preserve">.   </w:t>
      </w:r>
    </w:p>
    <w:p w14:paraId="05653973" w14:textId="77777777" w:rsidR="002E41F0" w:rsidRPr="00DF2FB1" w:rsidRDefault="002E41F0" w:rsidP="002E41F0">
      <w:pPr>
        <w:pStyle w:val="CommentText"/>
        <w:rPr>
          <w:rFonts w:cs="Arial"/>
          <w:szCs w:val="21"/>
        </w:rPr>
      </w:pPr>
      <w:r w:rsidRPr="00DF2FB1">
        <w:rPr>
          <w:rFonts w:cs="Arial"/>
          <w:szCs w:val="21"/>
        </w:rPr>
        <w:t xml:space="preserve">„Citus“ pardavimų vadovė Andželika Čiūtienė </w:t>
      </w:r>
      <w:r>
        <w:rPr>
          <w:rFonts w:cs="Arial"/>
          <w:szCs w:val="21"/>
        </w:rPr>
        <w:t>mano, kad</w:t>
      </w:r>
      <w:r w:rsidRPr="00DF2FB1">
        <w:rPr>
          <w:rFonts w:cs="Arial"/>
          <w:szCs w:val="21"/>
        </w:rPr>
        <w:t xml:space="preserve"> dar ne visi potencialūs būsto pirkėjai suvokia, kas yra</w:t>
      </w:r>
      <w:r>
        <w:rPr>
          <w:rFonts w:cs="Arial"/>
          <w:szCs w:val="21"/>
        </w:rPr>
        <w:t xml:space="preserve"> </w:t>
      </w:r>
      <w:r w:rsidRPr="00DF2FB1">
        <w:rPr>
          <w:rFonts w:cs="Arial"/>
          <w:szCs w:val="21"/>
        </w:rPr>
        <w:t xml:space="preserve"> vystytojas. Nors terminas vartojamas senokai, visgi tikroji jo reikšmė apipinta įvairių mitų. </w:t>
      </w:r>
      <w:proofErr w:type="spellStart"/>
      <w:r w:rsidRPr="00DF2FB1">
        <w:rPr>
          <w:rFonts w:cs="Arial"/>
          <w:szCs w:val="21"/>
        </w:rPr>
        <w:t>Vystytojui</w:t>
      </w:r>
      <w:proofErr w:type="spellEnd"/>
      <w:r w:rsidRPr="00DF2FB1">
        <w:rPr>
          <w:rFonts w:cs="Arial"/>
          <w:szCs w:val="21"/>
        </w:rPr>
        <w:t xml:space="preserve"> labai retai priskiriama statybų veikla, todėl įsivaizduojama, kad jis prisiima </w:t>
      </w:r>
      <w:r>
        <w:rPr>
          <w:rFonts w:cs="Arial"/>
          <w:szCs w:val="21"/>
        </w:rPr>
        <w:t xml:space="preserve">mažiau </w:t>
      </w:r>
      <w:r w:rsidRPr="00DF2FB1">
        <w:rPr>
          <w:rFonts w:cs="Arial"/>
          <w:szCs w:val="21"/>
        </w:rPr>
        <w:t xml:space="preserve">atsakomybės – realybėje situacija visiškai priešinga. Vystytojai kruopščiai atsirinkę samdo generalinės rangos </w:t>
      </w:r>
      <w:r>
        <w:rPr>
          <w:rFonts w:cs="Arial"/>
          <w:szCs w:val="21"/>
        </w:rPr>
        <w:t>ar</w:t>
      </w:r>
      <w:r w:rsidRPr="00DF2FB1">
        <w:rPr>
          <w:rFonts w:cs="Arial"/>
          <w:szCs w:val="21"/>
        </w:rPr>
        <w:t xml:space="preserve"> statybos darbų partnerius bei yra pagal galiojančius teisės aktus atsakingi už kokybę nuo projekto iki rakto.</w:t>
      </w:r>
    </w:p>
    <w:p w14:paraId="17599AD1" w14:textId="77777777" w:rsidR="002E41F0" w:rsidRPr="00DF2FB1" w:rsidRDefault="002E41F0" w:rsidP="002E41F0">
      <w:pPr>
        <w:rPr>
          <w:rFonts w:cs="Arial"/>
          <w:bCs/>
          <w:sz w:val="20"/>
        </w:rPr>
      </w:pPr>
      <w:r w:rsidRPr="00DF2FB1">
        <w:rPr>
          <w:rFonts w:cs="Arial"/>
          <w:bCs/>
          <w:sz w:val="20"/>
        </w:rPr>
        <w:t>„Dažnai iš klientų sulaukiame klausimų, kas vykdys statybas mūsų projektuose</w:t>
      </w:r>
      <w:r>
        <w:rPr>
          <w:rFonts w:cs="Arial"/>
          <w:bCs/>
          <w:sz w:val="20"/>
        </w:rPr>
        <w:t>. N</w:t>
      </w:r>
      <w:r w:rsidRPr="00DF2FB1">
        <w:rPr>
          <w:rFonts w:cs="Arial"/>
          <w:bCs/>
          <w:sz w:val="20"/>
        </w:rPr>
        <w:t>atūralu, kad žmonėms svarbi statybų kokybė ir garantijos už atliktus darbus. Akcentuojame pirkėjams, kad patys statybos darbų neatliekame, tačiau valdome visą statybų procesą, sukaupėme daug patirties ir kontaktų, todėl galime užtikrinti projektų kokybę. Tokia praktika vadovaujasi dauguma kitų vystytojų“, – tikina „Citus“ atstovė.</w:t>
      </w:r>
    </w:p>
    <w:p w14:paraId="6394F394" w14:textId="6D0A1119" w:rsidR="002E41F0" w:rsidRPr="00DF2FB1" w:rsidRDefault="002E41F0" w:rsidP="002E41F0">
      <w:pPr>
        <w:rPr>
          <w:rFonts w:cs="Arial"/>
          <w:bCs/>
          <w:sz w:val="20"/>
        </w:rPr>
      </w:pPr>
      <w:r w:rsidRPr="00DF2FB1">
        <w:rPr>
          <w:rFonts w:cs="Arial"/>
          <w:bCs/>
          <w:sz w:val="20"/>
        </w:rPr>
        <w:t xml:space="preserve">Ji pabrėžia, kad </w:t>
      </w:r>
      <w:r>
        <w:rPr>
          <w:rFonts w:cs="Arial"/>
          <w:bCs/>
          <w:sz w:val="20"/>
        </w:rPr>
        <w:t>dauguma</w:t>
      </w:r>
      <w:r w:rsidRPr="00DF2FB1">
        <w:rPr>
          <w:rFonts w:cs="Arial"/>
          <w:bCs/>
          <w:sz w:val="20"/>
        </w:rPr>
        <w:t xml:space="preserve"> įmonių turi savo kokybės ekspertus, kurie prižiūri, kad statybos vyktų griežtai pagal visus reikalavimus ir rezultatas būtų toks, koks numatytas projekte. Specialistė teigia, kad vienoje įmonėje </w:t>
      </w:r>
      <w:r w:rsidR="00087E40">
        <w:rPr>
          <w:rFonts w:cs="Arial"/>
          <w:bCs/>
          <w:sz w:val="20"/>
        </w:rPr>
        <w:t>vykdyti</w:t>
      </w:r>
      <w:r w:rsidRPr="00DF2FB1">
        <w:rPr>
          <w:rFonts w:cs="Arial"/>
          <w:bCs/>
          <w:sz w:val="20"/>
        </w:rPr>
        <w:t xml:space="preserve"> statyb</w:t>
      </w:r>
      <w:r>
        <w:rPr>
          <w:rFonts w:cs="Arial"/>
          <w:bCs/>
          <w:sz w:val="20"/>
        </w:rPr>
        <w:t>ą</w:t>
      </w:r>
      <w:r w:rsidRPr="00DF2FB1">
        <w:rPr>
          <w:rFonts w:cs="Arial"/>
          <w:bCs/>
          <w:sz w:val="20"/>
        </w:rPr>
        <w:t xml:space="preserve"> ir projektų plėtrą (vystymą), paprastai, būdinga didelėms bendrovėms, o </w:t>
      </w:r>
      <w:r>
        <w:rPr>
          <w:rFonts w:cs="Arial"/>
          <w:bCs/>
          <w:sz w:val="20"/>
        </w:rPr>
        <w:t xml:space="preserve">specializuotos NT </w:t>
      </w:r>
      <w:r w:rsidRPr="00DF2FB1">
        <w:rPr>
          <w:rFonts w:cs="Arial"/>
          <w:bCs/>
          <w:sz w:val="20"/>
        </w:rPr>
        <w:t xml:space="preserve">vystymo įmonės būna sutelkusios stiprias kūrybines </w:t>
      </w:r>
      <w:r w:rsidRPr="00DF2FB1">
        <w:rPr>
          <w:rFonts w:cs="Arial"/>
          <w:bCs/>
          <w:sz w:val="20"/>
        </w:rPr>
        <w:lastRenderedPageBreak/>
        <w:t>kompetencijas, kurias išnaudoja projektų koncepcijos sukūrimui ir tobulinimui, rinkodaros priemonėms, pardavimams. Galų gale, dalis vystytojų turi savo administravimo įmones, kurios gali prižiūrėti pastatytus gyventojų būstus, taip užtikrindami projekto priežiūros tęstinumą.</w:t>
      </w:r>
    </w:p>
    <w:p w14:paraId="645162AF" w14:textId="77777777" w:rsidR="002E41F0" w:rsidRPr="00DF2FB1" w:rsidRDefault="002E41F0" w:rsidP="002E41F0">
      <w:pPr>
        <w:rPr>
          <w:rFonts w:cs="Arial"/>
          <w:sz w:val="20"/>
        </w:rPr>
      </w:pPr>
      <w:r w:rsidRPr="00DF2FB1">
        <w:rPr>
          <w:rFonts w:cs="Arial"/>
          <w:sz w:val="20"/>
        </w:rPr>
        <w:t>„Tai, kad pirkėjai iš statytojo tikisi nuolaidų tik rodo, kad kol kas painiojamos statytojo ir vystytojo sąvokos. Vystytojas arba dar kitaip – plėtotojas – yra investuotojas, idėjos autorius ir projekto šeimininkas. Jis yra atsakingas už projekto kokybę, garantijas ir kainodarą. Todėl supratimas, kad statytojas gali suteikti nuolaidas yra klaidingas. Statytoju, matyt, dažniau vadinamas rangovas, kuris fiziškai atlieka darbus“, – sako Mindaugas Statulevičius, Lietuvos nekilnojamojo turto plėtros asociacijos (LNTPA) vadovas.</w:t>
      </w:r>
    </w:p>
    <w:p w14:paraId="2143BF53" w14:textId="77777777" w:rsidR="002E41F0" w:rsidRPr="00DF2FB1" w:rsidRDefault="002E41F0" w:rsidP="002E41F0">
      <w:pPr>
        <w:rPr>
          <w:rFonts w:cs="Arial"/>
          <w:sz w:val="20"/>
        </w:rPr>
      </w:pPr>
      <w:r w:rsidRPr="00DF2FB1">
        <w:rPr>
          <w:rFonts w:cs="Arial"/>
          <w:sz w:val="20"/>
          <w:shd w:val="clear" w:color="auto" w:fill="FFFFFF"/>
        </w:rPr>
        <w:t>Tie tyrimo dalyviai, kurie apsispręstų būstą pirkti iš brokerių, pagrindiniu privalumu laiko tikimybę, kad NT galės įsigyti pigiau.</w:t>
      </w:r>
      <w:r>
        <w:rPr>
          <w:rFonts w:cs="Arial"/>
          <w:sz w:val="20"/>
        </w:rPr>
        <w:t xml:space="preserve"> </w:t>
      </w:r>
      <w:r w:rsidRPr="00DF2FB1">
        <w:rPr>
          <w:rFonts w:cs="Arial"/>
          <w:sz w:val="20"/>
        </w:rPr>
        <w:t xml:space="preserve">Brokerių paslaugomis, paprastai, naudojasi mažesni vystytojai, kurie patys neturi resursų </w:t>
      </w:r>
      <w:r>
        <w:rPr>
          <w:rFonts w:cs="Arial"/>
          <w:sz w:val="20"/>
        </w:rPr>
        <w:t xml:space="preserve">rinkodarai ir </w:t>
      </w:r>
      <w:r w:rsidRPr="00DF2FB1">
        <w:rPr>
          <w:rFonts w:cs="Arial"/>
          <w:sz w:val="20"/>
        </w:rPr>
        <w:t>pardavimams, o daugiausiai darbo NT agentūros turi antrinėje rinkoje – parduodamos butus iš „antrų rankų“. Taip pat kartais žmonės į juos kreipiasi dėl gilaus rinkos išmanymo, siekdami koncentruotai gauti informaciją iš specialisto ir taip sutaupyti laiko renkantis projektus, sužinoti „vidinės“ informacijos ir pan.</w:t>
      </w:r>
    </w:p>
    <w:p w14:paraId="3F0F8E45" w14:textId="77777777" w:rsidR="002E41F0" w:rsidRPr="00DF2FB1" w:rsidRDefault="002E41F0" w:rsidP="002E41F0">
      <w:pPr>
        <w:rPr>
          <w:rFonts w:cs="Arial"/>
          <w:sz w:val="20"/>
        </w:rPr>
      </w:pPr>
      <w:r>
        <w:rPr>
          <w:rFonts w:cs="Arial"/>
          <w:sz w:val="20"/>
        </w:rPr>
        <w:t>Svarbu pastebėti, kad</w:t>
      </w:r>
      <w:r w:rsidRPr="00DF2FB1">
        <w:rPr>
          <w:rFonts w:cs="Arial"/>
          <w:sz w:val="20"/>
        </w:rPr>
        <w:t>, 24 proc. apklaustųjų nurodė, kad jiems visiškai nesvarbu, kas parduos būstą, o 6 proc. nė nežino, kuo skiriasi šių bendrovių veikla.</w:t>
      </w:r>
    </w:p>
    <w:p w14:paraId="52D1D2F8" w14:textId="77777777" w:rsidR="002E41F0" w:rsidRPr="00DF2FB1" w:rsidRDefault="002E41F0" w:rsidP="002E41F0">
      <w:pPr>
        <w:rPr>
          <w:rFonts w:cs="Arial"/>
          <w:b/>
          <w:bCs/>
          <w:sz w:val="20"/>
        </w:rPr>
      </w:pPr>
      <w:r w:rsidRPr="00DF2FB1">
        <w:rPr>
          <w:rFonts w:cs="Arial"/>
          <w:b/>
          <w:bCs/>
          <w:sz w:val="20"/>
        </w:rPr>
        <w:t>Garantijas užtikrina įstatymai, tačiau svarbu pasidomėti reputacija</w:t>
      </w:r>
    </w:p>
    <w:p w14:paraId="56974F21" w14:textId="5F9DA300" w:rsidR="002E41F0" w:rsidRPr="00DF2FB1" w:rsidRDefault="002E41F0" w:rsidP="002E41F0">
      <w:pPr>
        <w:rPr>
          <w:rFonts w:cs="Arial"/>
          <w:sz w:val="20"/>
        </w:rPr>
      </w:pPr>
      <w:r w:rsidRPr="00DF2FB1">
        <w:rPr>
          <w:rFonts w:cs="Arial"/>
          <w:sz w:val="20"/>
        </w:rPr>
        <w:t xml:space="preserve">Garantijų už būsto kokybę mechanizmas veikia paprastai: </w:t>
      </w:r>
      <w:r w:rsidR="00087E40" w:rsidRPr="00DF2FB1">
        <w:rPr>
          <w:rFonts w:cs="Arial"/>
          <w:sz w:val="20"/>
        </w:rPr>
        <w:t>suteikiamos garantijos ir jų terminai statybų ar vystymo įmonėms nesiskiria</w:t>
      </w:r>
      <w:r w:rsidRPr="00DF2FB1">
        <w:rPr>
          <w:rFonts w:cs="Arial"/>
          <w:sz w:val="20"/>
        </w:rPr>
        <w:t>. Garantiniai laikotarpiai ir darbai, kuriems taikoma garantija, yra smulkiai apibrėžti įstatymuose ir kituose teisės aktuose, o jų laikytis privalo visi.</w:t>
      </w:r>
    </w:p>
    <w:p w14:paraId="05C3996E" w14:textId="68EA711C" w:rsidR="002E41F0" w:rsidRPr="00DF2FB1" w:rsidRDefault="002E41F0" w:rsidP="002E41F0">
      <w:pPr>
        <w:rPr>
          <w:rFonts w:cs="Arial"/>
          <w:sz w:val="20"/>
        </w:rPr>
      </w:pPr>
      <w:r w:rsidRPr="00DF2FB1">
        <w:rPr>
          <w:rFonts w:cs="Arial"/>
          <w:sz w:val="20"/>
        </w:rPr>
        <w:t xml:space="preserve">„Anksčiau buvo kalbama, kad žmonės neskaito sutarčių: nesigilina į paties sandorio ar garantines sąlygas. Mes to nepastebime, ypač pastaruoju metu. Žmonės atidžiai gilinasi, kartais konsultuojasi su teisininkais, užduoda daug klausimų mums, domisi. Raginame juos tai daryti, kad neliktų </w:t>
      </w:r>
      <w:proofErr w:type="spellStart"/>
      <w:r w:rsidRPr="00DF2FB1">
        <w:rPr>
          <w:rFonts w:cs="Arial"/>
          <w:sz w:val="20"/>
        </w:rPr>
        <w:t>neaiškumų</w:t>
      </w:r>
      <w:proofErr w:type="spellEnd"/>
      <w:r w:rsidRPr="00DF2FB1">
        <w:rPr>
          <w:rFonts w:cs="Arial"/>
          <w:sz w:val="20"/>
        </w:rPr>
        <w:t xml:space="preserve">, nebūtų nepagrįstų lūkesčių“, – kalba „Citus“ pardavimų vadovė. – „Stengiamės </w:t>
      </w:r>
      <w:proofErr w:type="spellStart"/>
      <w:r w:rsidRPr="00DF2FB1">
        <w:rPr>
          <w:rFonts w:cs="Arial"/>
          <w:sz w:val="20"/>
        </w:rPr>
        <w:t>edukuoti</w:t>
      </w:r>
      <w:proofErr w:type="spellEnd"/>
      <w:r w:rsidRPr="00DF2FB1">
        <w:rPr>
          <w:rFonts w:cs="Arial"/>
          <w:sz w:val="20"/>
        </w:rPr>
        <w:t xml:space="preserve"> būsto ieškančius žmones, patarti jiems</w:t>
      </w:r>
      <w:r w:rsidR="00087E40">
        <w:rPr>
          <w:rFonts w:cs="Arial"/>
          <w:sz w:val="20"/>
        </w:rPr>
        <w:t>:</w:t>
      </w:r>
      <w:r>
        <w:rPr>
          <w:rFonts w:cs="Arial"/>
          <w:sz w:val="20"/>
        </w:rPr>
        <w:t xml:space="preserve"> </w:t>
      </w:r>
      <w:r w:rsidRPr="00DF2FB1">
        <w:rPr>
          <w:rFonts w:cs="Arial"/>
          <w:sz w:val="20"/>
        </w:rPr>
        <w:t xml:space="preserve">juk būsto pirkimas yra labai svarbus žingsnis, kuriam reikia atidžiai pasiruošti, kad ateityje netektų gailėtis. Per paskutinius metus pastebime didesnį pirkėjų dėmesį vystytojo reputacijai, patirčiai. </w:t>
      </w:r>
      <w:r>
        <w:rPr>
          <w:rFonts w:cs="Arial"/>
          <w:sz w:val="20"/>
        </w:rPr>
        <w:t>P</w:t>
      </w:r>
      <w:r w:rsidRPr="00DF2FB1">
        <w:rPr>
          <w:rFonts w:cs="Arial"/>
          <w:sz w:val="20"/>
        </w:rPr>
        <w:t>elno privilioti nepatyrę</w:t>
      </w:r>
      <w:r>
        <w:rPr>
          <w:rFonts w:cs="Arial"/>
          <w:sz w:val="20"/>
        </w:rPr>
        <w:t xml:space="preserve"> vystytojai ne visada sugeba</w:t>
      </w:r>
      <w:r w:rsidRPr="00DF2FB1">
        <w:rPr>
          <w:rFonts w:cs="Arial"/>
          <w:sz w:val="20"/>
        </w:rPr>
        <w:t xml:space="preserve"> užbaigti projektus, </w:t>
      </w:r>
      <w:r>
        <w:rPr>
          <w:rFonts w:cs="Arial"/>
          <w:sz w:val="20"/>
        </w:rPr>
        <w:t>o</w:t>
      </w:r>
      <w:r w:rsidRPr="00DF2FB1">
        <w:rPr>
          <w:rFonts w:cs="Arial"/>
          <w:sz w:val="20"/>
        </w:rPr>
        <w:t xml:space="preserve"> </w:t>
      </w:r>
      <w:r>
        <w:rPr>
          <w:rFonts w:cs="Arial"/>
          <w:sz w:val="20"/>
        </w:rPr>
        <w:t>nukenčia žmonės</w:t>
      </w:r>
      <w:r w:rsidRPr="00DF2FB1">
        <w:rPr>
          <w:rFonts w:cs="Arial"/>
          <w:sz w:val="20"/>
        </w:rPr>
        <w:t>.“</w:t>
      </w:r>
    </w:p>
    <w:p w14:paraId="3BE1CEC7" w14:textId="77777777" w:rsidR="002E41F0" w:rsidRPr="00DF2FB1" w:rsidRDefault="002E41F0" w:rsidP="002E41F0">
      <w:pPr>
        <w:rPr>
          <w:rFonts w:cs="Arial"/>
          <w:sz w:val="20"/>
        </w:rPr>
      </w:pPr>
      <w:r w:rsidRPr="00DF2FB1">
        <w:rPr>
          <w:rFonts w:cs="Arial"/>
          <w:sz w:val="20"/>
        </w:rPr>
        <w:t>Projektą vystančios, plėtojančios įmonės patikimumą ir žinomumą, kaip svarbiausią kriterijų renkantis būstą, įvardijo 37 proc. „Citus“ užsakymu atlikto tyrimo dalyvių.</w:t>
      </w:r>
      <w:r w:rsidRPr="00317770">
        <w:rPr>
          <w:rFonts w:cs="Arial"/>
          <w:sz w:val="20"/>
        </w:rPr>
        <w:t xml:space="preserve"> </w:t>
      </w:r>
      <w:r w:rsidRPr="00DF2FB1">
        <w:rPr>
          <w:rFonts w:cs="Arial"/>
          <w:sz w:val="20"/>
        </w:rPr>
        <w:t>Šį aspektą pabrėžia ir A. Statulevičius. Jis akcentuoja, kad būtent vystytojo reputacija turėtų būti vienas svarbiausių faktorių priimant sprendimą įsigyti būstą.</w:t>
      </w:r>
      <w:r>
        <w:rPr>
          <w:rFonts w:cs="Arial"/>
          <w:sz w:val="20"/>
        </w:rPr>
        <w:t xml:space="preserve"> </w:t>
      </w:r>
      <w:r w:rsidRPr="00DF2FB1">
        <w:rPr>
          <w:rFonts w:cs="Arial"/>
          <w:sz w:val="20"/>
        </w:rPr>
        <w:t>„Vystytojas prisiima ne tik irziką, bet ir atsakomybę už projektą. Todėl svarbu įsivertinti būtent jo reputaciją, ilgalaikius santykius su klientais ir darbų kokybę“, – sako M. Statulevičius.</w:t>
      </w:r>
    </w:p>
    <w:p w14:paraId="60C67C83" w14:textId="77777777" w:rsidR="002E41F0" w:rsidRPr="00DF2FB1" w:rsidRDefault="002E41F0" w:rsidP="002E41F0">
      <w:pPr>
        <w:rPr>
          <w:rFonts w:cs="Arial"/>
          <w:sz w:val="20"/>
        </w:rPr>
      </w:pPr>
      <w:r w:rsidRPr="00DF2FB1">
        <w:rPr>
          <w:rFonts w:cs="Arial"/>
          <w:sz w:val="20"/>
        </w:rPr>
        <w:t>Kiekvienas ieškantis būsto turėtų atidžiai pasidomėti patikusio projekto vystytojo istorija, kas apie jį kalbama viešojoje erdvėje, žiniasklaidoje, sužinoti, kiek ir kokių projektų vystytojas yra sėkmingai užbaigęs. Net tokie, atrodytų, reklaminiai niuansai, kaip gauti apdovanojimai, paties vystytojo komunikacija, yra svarbūs, nes atskleidžia įmonės politiką, verslo tvarumą ir parodo, kiek jo planai rinkoje yra ilgalaikiai.</w:t>
      </w:r>
    </w:p>
    <w:p w14:paraId="39A38DB9" w14:textId="77777777" w:rsidR="002E41F0" w:rsidRPr="00DF2FB1" w:rsidRDefault="002E41F0" w:rsidP="002E41F0">
      <w:pPr>
        <w:rPr>
          <w:rFonts w:cs="Arial"/>
          <w:b/>
          <w:bCs/>
          <w:sz w:val="20"/>
        </w:rPr>
      </w:pPr>
      <w:r w:rsidRPr="00DF2FB1">
        <w:rPr>
          <w:rFonts w:cs="Arial"/>
          <w:b/>
          <w:bCs/>
          <w:sz w:val="20"/>
        </w:rPr>
        <w:t>Skirtingos sąvokos sunkina pasirinkimą</w:t>
      </w:r>
    </w:p>
    <w:p w14:paraId="5280CDC5" w14:textId="77777777" w:rsidR="002E41F0" w:rsidRPr="00DF2FB1" w:rsidRDefault="002E41F0" w:rsidP="002E41F0">
      <w:pPr>
        <w:rPr>
          <w:rFonts w:cs="Arial"/>
          <w:bCs/>
          <w:sz w:val="20"/>
        </w:rPr>
      </w:pPr>
      <w:r w:rsidRPr="00DF2FB1">
        <w:rPr>
          <w:rFonts w:cs="Arial"/>
          <w:bCs/>
          <w:sz w:val="20"/>
        </w:rPr>
        <w:t>NT rinkoje būstus pardavinėja daugybė įmonių: vystytojai arba plėtotojai, statytojai, brokeriai</w:t>
      </w:r>
      <w:r>
        <w:rPr>
          <w:rFonts w:cs="Arial"/>
          <w:bCs/>
          <w:sz w:val="20"/>
        </w:rPr>
        <w:t xml:space="preserve"> arba tarpininkai</w:t>
      </w:r>
      <w:r w:rsidRPr="00DF2FB1">
        <w:rPr>
          <w:rFonts w:cs="Arial"/>
          <w:bCs/>
          <w:sz w:val="20"/>
        </w:rPr>
        <w:t>. Kai kurių jų veikla skiriasi labiau, tačiau kitus atskirti ieškantiems būsto nėra paprasta.</w:t>
      </w:r>
    </w:p>
    <w:p w14:paraId="3262D70F" w14:textId="77777777" w:rsidR="002E41F0" w:rsidRPr="00DF2FB1" w:rsidRDefault="002E41F0" w:rsidP="002E41F0">
      <w:pPr>
        <w:rPr>
          <w:rFonts w:cs="Arial"/>
          <w:sz w:val="20"/>
        </w:rPr>
      </w:pPr>
      <w:r w:rsidRPr="00DF2FB1">
        <w:rPr>
          <w:rFonts w:cs="Arial"/>
          <w:sz w:val="20"/>
        </w:rPr>
        <w:t xml:space="preserve">Paprašyti patikslinti, kuo, jų manymu, užsiima statybų bendrovės, vystytojai ir brokeriai, pagrindines veiklas tyrimo dalyviai joms priskyrė teisingai, tačiau išaiškėjo, kad projektavimą žmonės dažniau priskiria statybos įmonėms nei </w:t>
      </w:r>
      <w:proofErr w:type="spellStart"/>
      <w:r w:rsidRPr="00DF2FB1">
        <w:rPr>
          <w:rFonts w:cs="Arial"/>
          <w:sz w:val="20"/>
        </w:rPr>
        <w:t>vystytojams</w:t>
      </w:r>
      <w:proofErr w:type="spellEnd"/>
      <w:r w:rsidRPr="00DF2FB1">
        <w:rPr>
          <w:rFonts w:cs="Arial"/>
          <w:sz w:val="20"/>
        </w:rPr>
        <w:t>, o manančių, kad vystytojai atlieka ir statybos darbus, tėra penktadalis.</w:t>
      </w:r>
    </w:p>
    <w:p w14:paraId="14E121C9" w14:textId="77777777" w:rsidR="002E41F0" w:rsidRPr="00DF2FB1" w:rsidRDefault="002E41F0" w:rsidP="002E41F0">
      <w:pPr>
        <w:jc w:val="center"/>
        <w:rPr>
          <w:rFonts w:cs="Arial"/>
          <w:sz w:val="20"/>
        </w:rPr>
      </w:pPr>
      <w:r w:rsidRPr="00DF2FB1">
        <w:rPr>
          <w:rFonts w:cs="Arial"/>
          <w:noProof/>
          <w:sz w:val="20"/>
          <w:lang w:val="en-US"/>
        </w:rPr>
        <w:drawing>
          <wp:inline distT="0" distB="0" distL="0" distR="0" wp14:anchorId="0DF5019A" wp14:editId="0B4B31D6">
            <wp:extent cx="2877936" cy="1693256"/>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inomumo_tyrimas-Veiklos_pagal_imoniu_tipu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77936" cy="1693256"/>
                    </a:xfrm>
                    <a:prstGeom prst="rect">
                      <a:avLst/>
                    </a:prstGeom>
                  </pic:spPr>
                </pic:pic>
              </a:graphicData>
            </a:graphic>
          </wp:inline>
        </w:drawing>
      </w:r>
    </w:p>
    <w:p w14:paraId="1BD9CC80" w14:textId="77777777" w:rsidR="002E41F0" w:rsidRPr="00DF2FB1" w:rsidRDefault="002E41F0" w:rsidP="002E41F0">
      <w:pPr>
        <w:jc w:val="right"/>
        <w:rPr>
          <w:rFonts w:cs="Arial"/>
          <w:i/>
          <w:sz w:val="16"/>
        </w:rPr>
      </w:pPr>
      <w:r w:rsidRPr="00DF2FB1">
        <w:rPr>
          <w:rFonts w:cs="Arial"/>
          <w:i/>
          <w:sz w:val="16"/>
        </w:rPr>
        <w:t xml:space="preserve">Grafikas </w:t>
      </w:r>
      <w:r>
        <w:rPr>
          <w:rFonts w:cs="Arial"/>
          <w:i/>
          <w:sz w:val="16"/>
        </w:rPr>
        <w:t>3</w:t>
      </w:r>
      <w:r w:rsidRPr="00DF2FB1">
        <w:rPr>
          <w:rFonts w:cs="Arial"/>
          <w:i/>
          <w:sz w:val="16"/>
        </w:rPr>
        <w:t xml:space="preserve">: Statybos įmonių, NT vystytojų ir brokerių agentūrų veiklos suvokimas. CITUS </w:t>
      </w:r>
      <w:proofErr w:type="spellStart"/>
      <w:r w:rsidRPr="00DF2FB1">
        <w:rPr>
          <w:rFonts w:cs="Arial"/>
          <w:i/>
          <w:sz w:val="16"/>
        </w:rPr>
        <w:t>duom</w:t>
      </w:r>
      <w:proofErr w:type="spellEnd"/>
      <w:r w:rsidRPr="00DF2FB1">
        <w:rPr>
          <w:rFonts w:cs="Arial"/>
          <w:i/>
          <w:sz w:val="16"/>
        </w:rPr>
        <w:t>.</w:t>
      </w:r>
    </w:p>
    <w:p w14:paraId="0D8711FC" w14:textId="77777777" w:rsidR="002E41F0" w:rsidRPr="00DF2FB1" w:rsidRDefault="002E41F0" w:rsidP="002E41F0">
      <w:pPr>
        <w:rPr>
          <w:rFonts w:cs="Arial"/>
          <w:sz w:val="20"/>
        </w:rPr>
      </w:pPr>
      <w:r w:rsidRPr="00DF2FB1">
        <w:rPr>
          <w:rFonts w:cs="Arial"/>
          <w:sz w:val="20"/>
        </w:rPr>
        <w:t xml:space="preserve">Kad NT </w:t>
      </w:r>
      <w:proofErr w:type="spellStart"/>
      <w:r w:rsidRPr="00DF2FB1">
        <w:rPr>
          <w:rFonts w:cs="Arial"/>
          <w:sz w:val="20"/>
        </w:rPr>
        <w:t>vystytojams</w:t>
      </w:r>
      <w:proofErr w:type="spellEnd"/>
      <w:r w:rsidRPr="00DF2FB1">
        <w:rPr>
          <w:rFonts w:cs="Arial"/>
          <w:sz w:val="20"/>
        </w:rPr>
        <w:t xml:space="preserve"> priskiriamas administravimas, idėjos parengimas, o statybų bendrovėms – NT pardavimai gali būti susiję su tendencija, jog kai kurios rinkoje </w:t>
      </w:r>
      <w:proofErr w:type="spellStart"/>
      <w:r w:rsidRPr="00DF2FB1">
        <w:rPr>
          <w:rFonts w:cs="Arial"/>
          <w:sz w:val="20"/>
        </w:rPr>
        <w:t>lyderiaujančios</w:t>
      </w:r>
      <w:proofErr w:type="spellEnd"/>
      <w:r w:rsidRPr="00DF2FB1">
        <w:rPr>
          <w:rFonts w:cs="Arial"/>
          <w:sz w:val="20"/>
        </w:rPr>
        <w:t xml:space="preserve"> įmonės sau priskiria kelias veiklas – ir statytojų, ir vystytojų, arba savo vaidmenį skirtingai įvardija įgyvendindamos skirtingus projektus.</w:t>
      </w:r>
    </w:p>
    <w:p w14:paraId="11C9AEF7" w14:textId="77777777" w:rsidR="002E41F0" w:rsidRPr="00DF2FB1" w:rsidRDefault="002E41F0" w:rsidP="002E41F0">
      <w:pPr>
        <w:rPr>
          <w:rFonts w:cs="Arial"/>
          <w:sz w:val="20"/>
        </w:rPr>
      </w:pPr>
      <w:r w:rsidRPr="00DF2FB1">
        <w:rPr>
          <w:rFonts w:cs="Arial"/>
          <w:sz w:val="20"/>
        </w:rPr>
        <w:lastRenderedPageBreak/>
        <w:t>Valstybinė teritorijų planavimo ir statybos inspekcija NT vystytojo sąvoką apibrėžia taip: tai statytojas, kuris investuodamas vysto nekilnojamąjį turtą ir (ar) infrastruktūrą miestuose &lt;...&gt;, t. y. formuoja statinių statybai skirtus sklypus, juose stato statinius ir juos parduoda.</w:t>
      </w:r>
      <w:r>
        <w:rPr>
          <w:rFonts w:cs="Arial"/>
          <w:sz w:val="20"/>
        </w:rPr>
        <w:t xml:space="preserve"> </w:t>
      </w:r>
      <w:r w:rsidRPr="00DF2FB1">
        <w:rPr>
          <w:rFonts w:cs="Arial"/>
          <w:sz w:val="20"/>
        </w:rPr>
        <w:t>NT vystytojas turi vykdyti ne tik statytojo prievoles, jis taip pat yra atsakingas statinio (jo dalies) įgijėjui už garantinio laikotarpio rangovo prievolių neįvykdymą ar netinkamą įvykdymą, pabrėžia institucija.</w:t>
      </w:r>
    </w:p>
    <w:p w14:paraId="01A55B14" w14:textId="0149F8F9" w:rsidR="00F6334E" w:rsidRPr="00F6334E" w:rsidRDefault="002E41F0" w:rsidP="002E41F0">
      <w:pPr>
        <w:spacing w:after="160"/>
        <w:rPr>
          <w:rFonts w:ascii="Work Sans Light" w:hAnsi="Work Sans Light" w:cs="Arial"/>
          <w:i/>
          <w:iCs/>
          <w:sz w:val="20"/>
          <w:szCs w:val="21"/>
        </w:rPr>
      </w:pPr>
      <w:r w:rsidRPr="00DF2FB1">
        <w:rPr>
          <w:rFonts w:cs="Arial"/>
          <w:i/>
          <w:iCs/>
          <w:sz w:val="20"/>
        </w:rPr>
        <w:t>Bendrovės „Citus“ užsakymu, 2019 metų spalį įmonė „</w:t>
      </w:r>
      <w:proofErr w:type="spellStart"/>
      <w:r w:rsidRPr="00DF2FB1">
        <w:rPr>
          <w:rFonts w:cs="Arial"/>
          <w:i/>
          <w:iCs/>
          <w:sz w:val="20"/>
        </w:rPr>
        <w:t>Spinter</w:t>
      </w:r>
      <w:proofErr w:type="spellEnd"/>
      <w:r w:rsidRPr="00DF2FB1">
        <w:rPr>
          <w:rFonts w:cs="Arial"/>
          <w:i/>
          <w:iCs/>
          <w:sz w:val="20"/>
        </w:rPr>
        <w:t xml:space="preserve"> tyrimai“ apklausė 513 Vilniaus ir Kauno gyventojų, kurie per pastaruosius 5 metus įsigijo nuosavą būstą arba ketina tą daryti per artimiausius 3 metus. Apklausa vykdyta interneto platformoje, pateikus elektroninę anketą. Tai antrasis analogiškas tyrimas</w:t>
      </w:r>
      <w:r>
        <w:rPr>
          <w:rFonts w:cs="Arial"/>
          <w:i/>
          <w:iCs/>
          <w:sz w:val="20"/>
        </w:rPr>
        <w:t>.</w:t>
      </w:r>
    </w:p>
    <w:p w14:paraId="4938D4B9" w14:textId="77777777" w:rsidR="00A40CF6" w:rsidRPr="00A40CF6" w:rsidRDefault="00A40CF6" w:rsidP="00F6334E">
      <w:pPr>
        <w:spacing w:after="160"/>
        <w:rPr>
          <w:rFonts w:ascii="Work Sans Light" w:hAnsi="Work Sans Light" w:cs="Arial"/>
          <w:b/>
          <w:iCs/>
          <w:sz w:val="13"/>
          <w:szCs w:val="21"/>
        </w:rPr>
      </w:pPr>
    </w:p>
    <w:p w14:paraId="076F11A9" w14:textId="5BAE4FD0" w:rsidR="00F6334E" w:rsidRPr="00F6334E" w:rsidRDefault="00F6334E" w:rsidP="00F6334E">
      <w:pPr>
        <w:spacing w:after="160"/>
        <w:rPr>
          <w:rFonts w:ascii="Work Sans Light" w:hAnsi="Work Sans Light" w:cs="Arial"/>
          <w:b/>
          <w:iCs/>
          <w:sz w:val="18"/>
          <w:szCs w:val="21"/>
        </w:rPr>
      </w:pPr>
      <w:r w:rsidRPr="00F6334E">
        <w:rPr>
          <w:rFonts w:ascii="Work Sans Light" w:hAnsi="Work Sans Light" w:cs="Arial"/>
          <w:b/>
          <w:iCs/>
          <w:sz w:val="18"/>
          <w:szCs w:val="21"/>
        </w:rPr>
        <w:t>Faktai ir skaičiai</w:t>
      </w:r>
    </w:p>
    <w:p w14:paraId="35887A29" w14:textId="77777777" w:rsidR="002E41F0" w:rsidRDefault="002E41F0" w:rsidP="002E41F0">
      <w:pPr>
        <w:pStyle w:val="ListParagraph"/>
        <w:numPr>
          <w:ilvl w:val="0"/>
          <w:numId w:val="22"/>
        </w:numPr>
        <w:spacing w:after="0"/>
        <w:ind w:left="284" w:hanging="284"/>
        <w:rPr>
          <w:rFonts w:ascii="Work Sans Light" w:hAnsi="Work Sans Light" w:cs="Arial"/>
          <w:sz w:val="18"/>
          <w:shd w:val="clear" w:color="auto" w:fill="FFFFFF"/>
        </w:rPr>
      </w:pPr>
      <w:r w:rsidRPr="00DF2FB1">
        <w:rPr>
          <w:rFonts w:ascii="Work Sans Light" w:hAnsi="Work Sans Light" w:cs="Arial"/>
          <w:sz w:val="18"/>
        </w:rPr>
        <w:t xml:space="preserve">Rinkdamiesi iš vienodų būsto pasiūlymų, tyrimo respondentai taip rinktųsi NT įmones pagal veiklą: statybų bendroves pasirinktų 44% (2018 m. – 42%), NT </w:t>
      </w:r>
      <w:proofErr w:type="spellStart"/>
      <w:r w:rsidRPr="00DF2FB1">
        <w:rPr>
          <w:rFonts w:ascii="Work Sans Light" w:hAnsi="Work Sans Light" w:cs="Arial"/>
          <w:sz w:val="18"/>
        </w:rPr>
        <w:t>vystytojus</w:t>
      </w:r>
      <w:proofErr w:type="spellEnd"/>
      <w:r w:rsidRPr="00DF2FB1">
        <w:rPr>
          <w:rFonts w:ascii="Work Sans Light" w:hAnsi="Work Sans Light" w:cs="Arial"/>
          <w:sz w:val="18"/>
        </w:rPr>
        <w:t xml:space="preserve"> (plėtotojus) – 21% (2018 m. – </w:t>
      </w:r>
      <w:r>
        <w:rPr>
          <w:rFonts w:ascii="Work Sans Light" w:hAnsi="Work Sans Light" w:cs="Arial"/>
          <w:sz w:val="18"/>
        </w:rPr>
        <w:t>18%)</w:t>
      </w:r>
      <w:r w:rsidRPr="00DF2FB1">
        <w:rPr>
          <w:rFonts w:ascii="Work Sans Light" w:hAnsi="Work Sans Light" w:cs="Arial"/>
          <w:sz w:val="18"/>
        </w:rPr>
        <w:t xml:space="preserve">, NT (brokerių) agentūras – </w:t>
      </w:r>
      <w:r w:rsidRPr="00DF2FB1">
        <w:rPr>
          <w:rFonts w:ascii="Work Sans Light" w:hAnsi="Work Sans Light" w:cs="Arial"/>
          <w:sz w:val="18"/>
          <w:shd w:val="clear" w:color="auto" w:fill="FFFFFF"/>
        </w:rPr>
        <w:t>5%</w:t>
      </w:r>
      <w:r>
        <w:rPr>
          <w:rFonts w:ascii="Work Sans Light" w:hAnsi="Work Sans Light" w:cs="Arial"/>
          <w:sz w:val="18"/>
          <w:shd w:val="clear" w:color="auto" w:fill="FFFFFF"/>
        </w:rPr>
        <w:t xml:space="preserve"> (2018 m. – 4</w:t>
      </w:r>
      <w:r>
        <w:rPr>
          <w:rFonts w:ascii="Work Sans Light" w:hAnsi="Work Sans Light" w:cs="Arial"/>
          <w:sz w:val="18"/>
        </w:rPr>
        <w:t>%)</w:t>
      </w:r>
      <w:r>
        <w:rPr>
          <w:rFonts w:ascii="Work Sans Light" w:hAnsi="Work Sans Light" w:cs="Arial"/>
          <w:sz w:val="18"/>
          <w:shd w:val="clear" w:color="auto" w:fill="FFFFFF"/>
        </w:rPr>
        <w:t>;</w:t>
      </w:r>
    </w:p>
    <w:p w14:paraId="4FC336A8" w14:textId="77777777" w:rsidR="002E41F0" w:rsidRPr="00DF2FB1" w:rsidRDefault="002E41F0" w:rsidP="002E41F0">
      <w:pPr>
        <w:pStyle w:val="ListParagraph"/>
        <w:numPr>
          <w:ilvl w:val="0"/>
          <w:numId w:val="22"/>
        </w:numPr>
        <w:spacing w:after="0"/>
        <w:ind w:left="284" w:hanging="284"/>
        <w:rPr>
          <w:rFonts w:ascii="Work Sans Light" w:hAnsi="Work Sans Light" w:cs="Arial"/>
          <w:sz w:val="18"/>
          <w:shd w:val="clear" w:color="auto" w:fill="FFFFFF"/>
        </w:rPr>
      </w:pPr>
      <w:r>
        <w:rPr>
          <w:rFonts w:ascii="Work Sans Light" w:hAnsi="Work Sans Light" w:cs="Arial"/>
          <w:sz w:val="18"/>
          <w:shd w:val="clear" w:color="auto" w:fill="FFFFFF"/>
        </w:rPr>
        <w:t>Neteikia reikšmės įmones veiklai 24</w:t>
      </w:r>
      <w:r>
        <w:rPr>
          <w:rFonts w:ascii="Work Sans Light" w:hAnsi="Work Sans Light" w:cs="Arial"/>
          <w:sz w:val="18"/>
        </w:rPr>
        <w:t>%</w:t>
      </w:r>
      <w:r>
        <w:rPr>
          <w:rFonts w:ascii="Work Sans Light" w:hAnsi="Work Sans Light" w:cs="Arial"/>
          <w:sz w:val="18"/>
          <w:shd w:val="clear" w:color="auto" w:fill="FFFFFF"/>
        </w:rPr>
        <w:t xml:space="preserve"> respondentų (2018 m. – 28</w:t>
      </w:r>
      <w:r>
        <w:rPr>
          <w:rFonts w:ascii="Work Sans Light" w:hAnsi="Work Sans Light" w:cs="Arial"/>
          <w:sz w:val="18"/>
        </w:rPr>
        <w:t>%), o nežino, kuo skiriasi įmonių veikla 6% (2018 m. – 7%);</w:t>
      </w:r>
    </w:p>
    <w:p w14:paraId="0F14BAFA" w14:textId="77777777" w:rsidR="002E41F0" w:rsidRPr="00DF2FB1" w:rsidRDefault="002E41F0" w:rsidP="002E41F0">
      <w:pPr>
        <w:pStyle w:val="ListParagraph"/>
        <w:numPr>
          <w:ilvl w:val="0"/>
          <w:numId w:val="22"/>
        </w:numPr>
        <w:spacing w:after="0"/>
        <w:ind w:left="284" w:hanging="284"/>
        <w:rPr>
          <w:rFonts w:ascii="Work Sans Light" w:hAnsi="Work Sans Light" w:cs="Arial"/>
          <w:sz w:val="18"/>
        </w:rPr>
      </w:pPr>
      <w:r w:rsidRPr="00DF2FB1">
        <w:rPr>
          <w:rFonts w:ascii="Work Sans Light" w:hAnsi="Work Sans Light" w:cs="Arial"/>
          <w:sz w:val="18"/>
        </w:rPr>
        <w:t xml:space="preserve">Statybų įmonėms tyrimo respondentai priskyrė šias veiklas: statybą </w:t>
      </w:r>
      <w:r>
        <w:rPr>
          <w:rFonts w:ascii="Work Sans Light" w:hAnsi="Work Sans Light" w:cs="Arial"/>
          <w:sz w:val="18"/>
        </w:rPr>
        <w:t xml:space="preserve">– </w:t>
      </w:r>
      <w:r w:rsidRPr="00DF2FB1">
        <w:rPr>
          <w:rFonts w:ascii="Work Sans Light" w:hAnsi="Work Sans Light" w:cs="Arial"/>
          <w:sz w:val="18"/>
        </w:rPr>
        <w:t xml:space="preserve">100% </w:t>
      </w:r>
      <w:r>
        <w:rPr>
          <w:rFonts w:ascii="Work Sans Light" w:hAnsi="Work Sans Light" w:cs="Arial"/>
          <w:sz w:val="18"/>
        </w:rPr>
        <w:t>(</w:t>
      </w:r>
      <w:r w:rsidRPr="00DF2FB1">
        <w:rPr>
          <w:rFonts w:ascii="Work Sans Light" w:hAnsi="Work Sans Light" w:cs="Arial"/>
          <w:sz w:val="18"/>
        </w:rPr>
        <w:t xml:space="preserve">2018 m. – 99%), projektavimą </w:t>
      </w:r>
      <w:r>
        <w:rPr>
          <w:rFonts w:ascii="Work Sans Light" w:hAnsi="Work Sans Light" w:cs="Arial"/>
          <w:sz w:val="18"/>
        </w:rPr>
        <w:t xml:space="preserve">– </w:t>
      </w:r>
      <w:r w:rsidRPr="00DF2FB1">
        <w:rPr>
          <w:rFonts w:ascii="Work Sans Light" w:hAnsi="Work Sans Light" w:cs="Arial"/>
          <w:sz w:val="18"/>
        </w:rPr>
        <w:t>68%</w:t>
      </w:r>
      <w:r>
        <w:rPr>
          <w:rFonts w:ascii="Work Sans Light" w:hAnsi="Work Sans Light" w:cs="Arial"/>
          <w:sz w:val="18"/>
        </w:rPr>
        <w:t xml:space="preserve"> (2018 m. – 53%)</w:t>
      </w:r>
      <w:r w:rsidRPr="00DF2FB1">
        <w:rPr>
          <w:rFonts w:ascii="Work Sans Light" w:hAnsi="Work Sans Light" w:cs="Arial"/>
          <w:sz w:val="18"/>
        </w:rPr>
        <w:t xml:space="preserve">, pardavimą </w:t>
      </w:r>
      <w:r>
        <w:rPr>
          <w:rFonts w:ascii="Work Sans Light" w:hAnsi="Work Sans Light" w:cs="Arial"/>
          <w:sz w:val="18"/>
        </w:rPr>
        <w:t xml:space="preserve">– </w:t>
      </w:r>
      <w:r w:rsidRPr="00DF2FB1">
        <w:rPr>
          <w:rFonts w:ascii="Work Sans Light" w:hAnsi="Work Sans Light" w:cs="Arial"/>
          <w:sz w:val="18"/>
        </w:rPr>
        <w:t>45%</w:t>
      </w:r>
      <w:r>
        <w:rPr>
          <w:rFonts w:ascii="Work Sans Light" w:hAnsi="Work Sans Light" w:cs="Arial"/>
          <w:sz w:val="18"/>
        </w:rPr>
        <w:t xml:space="preserve"> (2018 m. – 38%)</w:t>
      </w:r>
      <w:r w:rsidRPr="00DF2FB1">
        <w:rPr>
          <w:rFonts w:ascii="Work Sans Light" w:hAnsi="Work Sans Light" w:cs="Arial"/>
          <w:sz w:val="18"/>
        </w:rPr>
        <w:t xml:space="preserve">, projekto koncepcijos ir idėjos parengimą </w:t>
      </w:r>
      <w:r>
        <w:rPr>
          <w:rFonts w:ascii="Work Sans Light" w:hAnsi="Work Sans Light" w:cs="Arial"/>
          <w:sz w:val="18"/>
        </w:rPr>
        <w:t xml:space="preserve">– </w:t>
      </w:r>
      <w:r w:rsidRPr="00DF2FB1">
        <w:rPr>
          <w:rFonts w:ascii="Work Sans Light" w:hAnsi="Work Sans Light" w:cs="Arial"/>
          <w:sz w:val="18"/>
        </w:rPr>
        <w:t>43%</w:t>
      </w:r>
      <w:r>
        <w:rPr>
          <w:rFonts w:ascii="Work Sans Light" w:hAnsi="Work Sans Light" w:cs="Arial"/>
          <w:sz w:val="18"/>
        </w:rPr>
        <w:t xml:space="preserve"> (2018 m. – 35%)</w:t>
      </w:r>
      <w:r w:rsidRPr="00DF2FB1">
        <w:rPr>
          <w:rFonts w:ascii="Work Sans Light" w:hAnsi="Work Sans Light" w:cs="Arial"/>
          <w:sz w:val="18"/>
        </w:rPr>
        <w:t xml:space="preserve">, NT administravimą </w:t>
      </w:r>
      <w:r>
        <w:rPr>
          <w:rFonts w:ascii="Work Sans Light" w:hAnsi="Work Sans Light" w:cs="Arial"/>
          <w:sz w:val="18"/>
        </w:rPr>
        <w:t xml:space="preserve">– </w:t>
      </w:r>
      <w:r w:rsidRPr="00DF2FB1">
        <w:rPr>
          <w:rFonts w:ascii="Work Sans Light" w:hAnsi="Work Sans Light" w:cs="Arial"/>
          <w:sz w:val="18"/>
        </w:rPr>
        <w:t>18%</w:t>
      </w:r>
      <w:r>
        <w:rPr>
          <w:rFonts w:ascii="Work Sans Light" w:hAnsi="Work Sans Light" w:cs="Arial"/>
          <w:sz w:val="18"/>
        </w:rPr>
        <w:t xml:space="preserve"> (2018 m. – 11%)</w:t>
      </w:r>
      <w:r w:rsidRPr="00DF2FB1">
        <w:rPr>
          <w:rFonts w:ascii="Work Sans Light" w:hAnsi="Work Sans Light" w:cs="Arial"/>
          <w:sz w:val="18"/>
        </w:rPr>
        <w:t>;</w:t>
      </w:r>
    </w:p>
    <w:p w14:paraId="1F7B3950" w14:textId="77777777" w:rsidR="002E41F0" w:rsidRDefault="002E41F0" w:rsidP="002E41F0">
      <w:pPr>
        <w:pStyle w:val="ListParagraph"/>
        <w:numPr>
          <w:ilvl w:val="0"/>
          <w:numId w:val="22"/>
        </w:numPr>
        <w:spacing w:after="0"/>
        <w:ind w:left="284" w:hanging="284"/>
        <w:rPr>
          <w:rFonts w:ascii="Work Sans Light" w:hAnsi="Work Sans Light" w:cs="Arial"/>
          <w:sz w:val="18"/>
        </w:rPr>
      </w:pPr>
      <w:r w:rsidRPr="00DF2FB1">
        <w:rPr>
          <w:rFonts w:ascii="Work Sans Light" w:hAnsi="Work Sans Light" w:cs="Arial"/>
          <w:sz w:val="18"/>
        </w:rPr>
        <w:t xml:space="preserve">NT vystymo (plėtros) įmonėms tyrimo respondentai priskyrė šias veiklas: projekto koncepcijos ir idėjos parengimą </w:t>
      </w:r>
      <w:r>
        <w:rPr>
          <w:rFonts w:ascii="Work Sans Light" w:hAnsi="Work Sans Light" w:cs="Arial"/>
          <w:sz w:val="18"/>
        </w:rPr>
        <w:t xml:space="preserve">– </w:t>
      </w:r>
      <w:r w:rsidRPr="00DF2FB1">
        <w:rPr>
          <w:rFonts w:ascii="Work Sans Light" w:hAnsi="Work Sans Light" w:cs="Arial"/>
          <w:sz w:val="18"/>
        </w:rPr>
        <w:t>71%</w:t>
      </w:r>
      <w:r>
        <w:rPr>
          <w:rFonts w:ascii="Work Sans Light" w:hAnsi="Work Sans Light" w:cs="Arial"/>
          <w:sz w:val="18"/>
        </w:rPr>
        <w:t xml:space="preserve"> (2018 m. – 60%)</w:t>
      </w:r>
      <w:r w:rsidRPr="00DF2FB1">
        <w:rPr>
          <w:rFonts w:ascii="Work Sans Light" w:hAnsi="Work Sans Light" w:cs="Arial"/>
          <w:sz w:val="18"/>
        </w:rPr>
        <w:t xml:space="preserve">, pardavimą </w:t>
      </w:r>
      <w:r>
        <w:rPr>
          <w:rFonts w:ascii="Work Sans Light" w:hAnsi="Work Sans Light" w:cs="Arial"/>
          <w:sz w:val="18"/>
        </w:rPr>
        <w:t xml:space="preserve">– </w:t>
      </w:r>
      <w:r w:rsidRPr="00DF2FB1">
        <w:rPr>
          <w:rFonts w:ascii="Work Sans Light" w:hAnsi="Work Sans Light" w:cs="Arial"/>
          <w:sz w:val="18"/>
        </w:rPr>
        <w:t>66%</w:t>
      </w:r>
      <w:r>
        <w:rPr>
          <w:rFonts w:ascii="Work Sans Light" w:hAnsi="Work Sans Light" w:cs="Arial"/>
          <w:sz w:val="18"/>
        </w:rPr>
        <w:t xml:space="preserve"> (2018 m. – 60%)</w:t>
      </w:r>
      <w:r w:rsidRPr="00DF2FB1">
        <w:rPr>
          <w:rFonts w:ascii="Work Sans Light" w:hAnsi="Work Sans Light" w:cs="Arial"/>
          <w:sz w:val="18"/>
        </w:rPr>
        <w:t xml:space="preserve">, projektavimą </w:t>
      </w:r>
      <w:r>
        <w:rPr>
          <w:rFonts w:ascii="Work Sans Light" w:hAnsi="Work Sans Light" w:cs="Arial"/>
          <w:sz w:val="18"/>
        </w:rPr>
        <w:t xml:space="preserve">– </w:t>
      </w:r>
      <w:r w:rsidRPr="00DF2FB1">
        <w:rPr>
          <w:rFonts w:ascii="Work Sans Light" w:hAnsi="Work Sans Light" w:cs="Arial"/>
          <w:sz w:val="18"/>
        </w:rPr>
        <w:t>52%</w:t>
      </w:r>
      <w:r>
        <w:rPr>
          <w:rFonts w:ascii="Work Sans Light" w:hAnsi="Work Sans Light" w:cs="Arial"/>
          <w:sz w:val="18"/>
        </w:rPr>
        <w:t xml:space="preserve"> (2018 m. – 46%)</w:t>
      </w:r>
      <w:r w:rsidRPr="00DF2FB1">
        <w:rPr>
          <w:rFonts w:ascii="Work Sans Light" w:hAnsi="Work Sans Light" w:cs="Arial"/>
          <w:sz w:val="18"/>
        </w:rPr>
        <w:t xml:space="preserve">, NT administravimą </w:t>
      </w:r>
      <w:r>
        <w:rPr>
          <w:rFonts w:ascii="Work Sans Light" w:hAnsi="Work Sans Light" w:cs="Arial"/>
          <w:sz w:val="18"/>
        </w:rPr>
        <w:t xml:space="preserve">– </w:t>
      </w:r>
      <w:r w:rsidRPr="00DF2FB1">
        <w:rPr>
          <w:rFonts w:ascii="Work Sans Light" w:hAnsi="Work Sans Light" w:cs="Arial"/>
          <w:sz w:val="18"/>
        </w:rPr>
        <w:t>51%</w:t>
      </w:r>
      <w:r>
        <w:rPr>
          <w:rFonts w:ascii="Work Sans Light" w:hAnsi="Work Sans Light" w:cs="Arial"/>
          <w:sz w:val="18"/>
        </w:rPr>
        <w:t xml:space="preserve"> (2018 m. – 43%)</w:t>
      </w:r>
      <w:r w:rsidRPr="00DF2FB1">
        <w:rPr>
          <w:rFonts w:ascii="Work Sans Light" w:hAnsi="Work Sans Light" w:cs="Arial"/>
          <w:sz w:val="18"/>
        </w:rPr>
        <w:t xml:space="preserve">, statybą </w:t>
      </w:r>
      <w:r>
        <w:rPr>
          <w:rFonts w:ascii="Work Sans Light" w:hAnsi="Work Sans Light" w:cs="Arial"/>
          <w:sz w:val="18"/>
        </w:rPr>
        <w:t xml:space="preserve">– </w:t>
      </w:r>
      <w:r w:rsidRPr="00DF2FB1">
        <w:rPr>
          <w:rFonts w:ascii="Work Sans Light" w:hAnsi="Work Sans Light" w:cs="Arial"/>
          <w:sz w:val="18"/>
        </w:rPr>
        <w:t>21%</w:t>
      </w:r>
      <w:r>
        <w:rPr>
          <w:rFonts w:ascii="Work Sans Light" w:hAnsi="Work Sans Light" w:cs="Arial"/>
          <w:sz w:val="18"/>
        </w:rPr>
        <w:t xml:space="preserve"> (2018 m. – 20%)</w:t>
      </w:r>
      <w:r w:rsidRPr="00DF2FB1">
        <w:rPr>
          <w:rFonts w:ascii="Work Sans Light" w:hAnsi="Work Sans Light" w:cs="Arial"/>
          <w:sz w:val="18"/>
        </w:rPr>
        <w:t>;</w:t>
      </w:r>
    </w:p>
    <w:p w14:paraId="593D003D" w14:textId="555267DC" w:rsidR="00BE1217" w:rsidRPr="002E41F0" w:rsidRDefault="002E41F0" w:rsidP="002E41F0">
      <w:pPr>
        <w:pStyle w:val="ListParagraph"/>
        <w:numPr>
          <w:ilvl w:val="0"/>
          <w:numId w:val="22"/>
        </w:numPr>
        <w:spacing w:after="0"/>
        <w:ind w:left="284" w:hanging="284"/>
        <w:rPr>
          <w:rFonts w:ascii="Work Sans Light" w:hAnsi="Work Sans Light" w:cs="Arial"/>
          <w:sz w:val="18"/>
        </w:rPr>
      </w:pPr>
      <w:r w:rsidRPr="002E41F0">
        <w:rPr>
          <w:rFonts w:ascii="Work Sans Light" w:hAnsi="Work Sans Light" w:cs="Arial"/>
          <w:sz w:val="18"/>
        </w:rPr>
        <w:t>NT agentūros (brokeriams) tyrimo respondentai priskyrė šias veiklas: pardavimus – 92% (2018 m. – 89%), NT administravimą – 30% (2018 m. – 24%), statybą – 7% (2018 m. – 6%), projekto koncepcijos ir idėjos parengimą – 6% (2018 m. – 5%), projektavimą – 6% (2018 m. – 3%).</w:t>
      </w:r>
    </w:p>
    <w:bookmarkEnd w:id="0"/>
    <w:bookmarkEnd w:id="1"/>
    <w:p w14:paraId="33033B5E" w14:textId="7C293778" w:rsidR="00296465" w:rsidRPr="009C3EEC" w:rsidRDefault="00296465" w:rsidP="00296465">
      <w:pPr>
        <w:pBdr>
          <w:bottom w:val="single" w:sz="8" w:space="1" w:color="FFC000"/>
        </w:pBdr>
        <w:rPr>
          <w:sz w:val="20"/>
          <w:szCs w:val="21"/>
        </w:rPr>
      </w:pPr>
    </w:p>
    <w:p w14:paraId="75AE99DB" w14:textId="77777777" w:rsidR="004137F3" w:rsidRPr="009C3EEC" w:rsidRDefault="004137F3" w:rsidP="0081024D">
      <w:pPr>
        <w:spacing w:after="100" w:afterAutospacing="1"/>
        <w:contextualSpacing/>
        <w:mirrorIndents/>
        <w:outlineLvl w:val="0"/>
        <w:rPr>
          <w:rFonts w:asciiTheme="majorHAnsi" w:hAnsiTheme="majorHAnsi" w:cstheme="majorHAnsi"/>
          <w:b/>
          <w:sz w:val="20"/>
          <w:szCs w:val="20"/>
          <w:shd w:val="clear" w:color="auto" w:fill="FFFFFF"/>
        </w:rPr>
      </w:pPr>
    </w:p>
    <w:p w14:paraId="3187DF5B" w14:textId="77777777" w:rsidR="0081024D" w:rsidRPr="00D11B81" w:rsidRDefault="0081024D" w:rsidP="0081024D">
      <w:pPr>
        <w:spacing w:after="100" w:afterAutospacing="1"/>
        <w:contextualSpacing/>
        <w:mirrorIndents/>
        <w:outlineLvl w:val="0"/>
        <w:rPr>
          <w:rFonts w:ascii="Work Sans Light" w:hAnsi="Work Sans Light" w:cs="Open Sans Light"/>
          <w:b/>
          <w:sz w:val="16"/>
          <w:szCs w:val="16"/>
          <w:shd w:val="clear" w:color="auto" w:fill="FFFFFF"/>
        </w:rPr>
      </w:pPr>
      <w:r w:rsidRPr="00D11B81">
        <w:rPr>
          <w:rFonts w:ascii="Work Sans Light" w:hAnsi="Work Sans Light" w:cs="Open Sans Light"/>
          <w:b/>
          <w:sz w:val="16"/>
          <w:szCs w:val="16"/>
          <w:shd w:val="clear" w:color="auto" w:fill="FFFFFF"/>
        </w:rPr>
        <w:t xml:space="preserve">Daugiau informacijos: </w:t>
      </w:r>
    </w:p>
    <w:p w14:paraId="475253FD" w14:textId="686F5081" w:rsidR="00481E6F" w:rsidRPr="00D11B81" w:rsidRDefault="0081024D">
      <w:pPr>
        <w:jc w:val="left"/>
        <w:rPr>
          <w:rFonts w:ascii="Work Sans Light" w:hAnsi="Work Sans Light" w:cs="Open Sans Light"/>
          <w:color w:val="3B3838" w:themeColor="background2" w:themeShade="40"/>
          <w:sz w:val="16"/>
          <w:szCs w:val="16"/>
          <w:lang w:eastAsia="lt-LT"/>
        </w:rPr>
      </w:pPr>
      <w:r w:rsidRPr="00D11B81">
        <w:rPr>
          <w:rFonts w:ascii="Work Sans Light" w:hAnsi="Work Sans Light" w:cs="Open Sans Light"/>
          <w:sz w:val="16"/>
          <w:szCs w:val="16"/>
          <w:lang w:eastAsia="lt-LT"/>
        </w:rPr>
        <w:t>Rytas Stalnionis</w:t>
      </w:r>
      <w:r w:rsidRPr="00D11B81">
        <w:rPr>
          <w:rFonts w:ascii="Work Sans Light" w:hAnsi="Work Sans Light" w:cs="Open Sans Light"/>
          <w:sz w:val="16"/>
          <w:szCs w:val="16"/>
          <w:lang w:eastAsia="lt-LT"/>
        </w:rPr>
        <w:br/>
        <w:t>Komunikacijos vadovas</w:t>
      </w:r>
      <w:r w:rsidRPr="00D11B81">
        <w:rPr>
          <w:rFonts w:ascii="Work Sans Light" w:hAnsi="Work Sans Light" w:cs="Open Sans Light"/>
          <w:sz w:val="16"/>
          <w:szCs w:val="16"/>
          <w:lang w:eastAsia="lt-LT"/>
        </w:rPr>
        <w:br/>
        <w:t>Tel.: +370 614 01829</w:t>
      </w:r>
      <w:r w:rsidRPr="00D11B81">
        <w:rPr>
          <w:rFonts w:ascii="Work Sans Light" w:hAnsi="Work Sans Light" w:cs="Open Sans Light"/>
          <w:sz w:val="16"/>
          <w:szCs w:val="16"/>
          <w:lang w:eastAsia="lt-LT"/>
        </w:rPr>
        <w:br/>
        <w:t xml:space="preserve">El. paštas </w:t>
      </w:r>
      <w:hyperlink r:id="rId11" w:history="1">
        <w:r w:rsidRPr="00D11B81">
          <w:rPr>
            <w:rStyle w:val="Hyperlink"/>
            <w:rFonts w:ascii="Work Sans Light" w:hAnsi="Work Sans Light" w:cs="Open Sans Light"/>
            <w:b/>
            <w:color w:val="3B3838" w:themeColor="background2" w:themeShade="40"/>
            <w:sz w:val="16"/>
            <w:szCs w:val="16"/>
            <w:u w:val="none"/>
            <w:lang w:eastAsia="lt-LT"/>
          </w:rPr>
          <w:t>rytas.stalnionis@citus.lt</w:t>
        </w:r>
      </w:hyperlink>
      <w:r w:rsidRPr="00D11B81">
        <w:rPr>
          <w:rFonts w:ascii="Work Sans Light" w:hAnsi="Work Sans Light" w:cs="Open Sans Light"/>
          <w:sz w:val="16"/>
          <w:szCs w:val="16"/>
          <w:lang w:eastAsia="lt-LT"/>
        </w:rPr>
        <w:br/>
      </w:r>
      <w:hyperlink r:id="rId12" w:history="1">
        <w:r w:rsidRPr="00D11B81">
          <w:rPr>
            <w:rStyle w:val="Hyperlink"/>
            <w:rFonts w:ascii="Work Sans Light" w:hAnsi="Work Sans Light" w:cs="Open Sans Light"/>
            <w:b/>
            <w:color w:val="3B3838" w:themeColor="background2" w:themeShade="40"/>
            <w:sz w:val="16"/>
            <w:szCs w:val="16"/>
            <w:u w:val="none"/>
            <w:lang w:eastAsia="lt-LT"/>
          </w:rPr>
          <w:t>www.citus.lt</w:t>
        </w:r>
      </w:hyperlink>
      <w:bookmarkStart w:id="2" w:name="_GoBack"/>
      <w:bookmarkEnd w:id="2"/>
    </w:p>
    <w:sectPr w:rsidR="00481E6F" w:rsidRPr="00D11B81" w:rsidSect="00960106">
      <w:headerReference w:type="default" r:id="rId13"/>
      <w:pgSz w:w="11906" w:h="16838"/>
      <w:pgMar w:top="1418" w:right="567" w:bottom="567"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5F5B5" w14:textId="77777777" w:rsidR="006E577F" w:rsidRDefault="006E577F" w:rsidP="00404A94">
      <w:pPr>
        <w:spacing w:after="0"/>
      </w:pPr>
      <w:r>
        <w:separator/>
      </w:r>
    </w:p>
  </w:endnote>
  <w:endnote w:type="continuationSeparator" w:id="0">
    <w:p w14:paraId="04A0EC81" w14:textId="77777777" w:rsidR="006E577F" w:rsidRDefault="006E577F" w:rsidP="00404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engXian Light">
    <w:panose1 w:val="00000000000000000000"/>
    <w:charset w:val="86"/>
    <w:family w:val="auto"/>
    <w:notTrueType/>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Work Sans Light">
    <w:altName w:val="Calibri"/>
    <w:charset w:val="4D"/>
    <w:family w:val="auto"/>
    <w:pitch w:val="variable"/>
    <w:sig w:usb0="00000007" w:usb1="00000001" w:usb2="00000000" w:usb3="00000000" w:csb0="00000093" w:csb1="00000000"/>
  </w:font>
  <w:font w:name="Open Sans Light">
    <w:altName w:val="Corbel Light"/>
    <w:charset w:val="00"/>
    <w:family w:val="swiss"/>
    <w:pitch w:val="variable"/>
    <w:sig w:usb0="00000001" w:usb1="4000205B" w:usb2="00000028" w:usb3="00000000" w:csb0="0000019F" w:csb1="00000000"/>
  </w:font>
  <w:font w:name="DengXian">
    <w:altName w:val="等线"/>
    <w:panose1 w:val="00000000000000000000"/>
    <w:charset w:val="86"/>
    <w:family w:val="auto"/>
    <w:notTrueType/>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351FB" w14:textId="77777777" w:rsidR="006E577F" w:rsidRDefault="006E577F" w:rsidP="00404A94">
      <w:pPr>
        <w:spacing w:after="0"/>
      </w:pPr>
      <w:r>
        <w:separator/>
      </w:r>
    </w:p>
  </w:footnote>
  <w:footnote w:type="continuationSeparator" w:id="0">
    <w:p w14:paraId="7A1A6ACC" w14:textId="77777777" w:rsidR="006E577F" w:rsidRDefault="006E577F" w:rsidP="00404A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832CD" w14:textId="66366189" w:rsidR="00E46A19" w:rsidRPr="00E46A19" w:rsidRDefault="00F84055" w:rsidP="00E46A19">
    <w:pPr>
      <w:spacing w:after="0"/>
      <w:jc w:val="left"/>
      <w:rPr>
        <w:rFonts w:ascii="Times New Roman" w:eastAsia="Times New Roman" w:hAnsi="Times New Roman" w:cs="Times New Roman"/>
        <w:sz w:val="24"/>
        <w:szCs w:val="24"/>
        <w:lang w:val="en-US"/>
      </w:rPr>
    </w:pPr>
    <w:r>
      <w:rPr>
        <w:noProof/>
        <w:lang w:val="en-US"/>
      </w:rPr>
      <w:drawing>
        <wp:anchor distT="0" distB="0" distL="114300" distR="114300" simplePos="0" relativeHeight="251658240" behindDoc="0" locked="0" layoutInCell="1" allowOverlap="1" wp14:anchorId="124E77E4" wp14:editId="669F2F81">
          <wp:simplePos x="0" y="0"/>
          <wp:positionH relativeFrom="margin">
            <wp:posOffset>3810</wp:posOffset>
          </wp:positionH>
          <wp:positionV relativeFrom="paragraph">
            <wp:posOffset>-349413</wp:posOffset>
          </wp:positionV>
          <wp:extent cx="6468745" cy="53453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68745" cy="534532"/>
                  </a:xfrm>
                  <a:prstGeom prst="rect">
                    <a:avLst/>
                  </a:prstGeom>
                </pic:spPr>
              </pic:pic>
            </a:graphicData>
          </a:graphic>
          <wp14:sizeRelH relativeFrom="margin">
            <wp14:pctWidth>0</wp14:pctWidth>
          </wp14:sizeRelH>
          <wp14:sizeRelV relativeFrom="margin">
            <wp14:pctHeight>0</wp14:pctHeight>
          </wp14:sizeRelV>
        </wp:anchor>
      </w:drawing>
    </w:r>
    <w:r w:rsidR="00E46A19" w:rsidRPr="00E46A19">
      <w:rPr>
        <w:rFonts w:ascii="Times New Roman" w:eastAsia="Times New Roman" w:hAnsi="Times New Roman" w:cs="Times New Roman"/>
        <w:sz w:val="24"/>
        <w:szCs w:val="24"/>
        <w:lang w:val="en-US"/>
      </w:rPr>
      <w:fldChar w:fldCharType="begin"/>
    </w:r>
    <w:r w:rsidR="00E46A19" w:rsidRPr="00E46A19">
      <w:rPr>
        <w:rFonts w:ascii="Times New Roman" w:eastAsia="Times New Roman" w:hAnsi="Times New Roman" w:cs="Times New Roman"/>
        <w:sz w:val="24"/>
        <w:szCs w:val="24"/>
        <w:lang w:val="en-US"/>
      </w:rPr>
      <w:instrText xml:space="preserve"> INCLUDEPICTURE "http://lntpa.lt/wp-content/themes/lntpa-front/img/logo.png" \* MERGEFORMATINET </w:instrText>
    </w:r>
    <w:r w:rsidR="00E46A19" w:rsidRPr="00E46A19">
      <w:rPr>
        <w:rFonts w:ascii="Times New Roman" w:eastAsia="Times New Roman" w:hAnsi="Times New Roman" w:cs="Times New Roman"/>
        <w:sz w:val="24"/>
        <w:szCs w:val="24"/>
        <w:lang w:val="en-US"/>
      </w:rPr>
      <w:fldChar w:fldCharType="end"/>
    </w:r>
  </w:p>
  <w:p w14:paraId="1FC68457" w14:textId="67EF6659" w:rsidR="00404A94" w:rsidRDefault="00404A94">
    <w:pPr>
      <w:pStyle w:val="Header"/>
    </w:pPr>
  </w:p>
  <w:p w14:paraId="69503709" w14:textId="0F2DF9DD" w:rsidR="00404A94" w:rsidRDefault="00404A94">
    <w:pPr>
      <w:pStyle w:val="Header"/>
    </w:pPr>
  </w:p>
  <w:p w14:paraId="10703575" w14:textId="77777777" w:rsidR="00404A94" w:rsidRDefault="00404A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B0B"/>
    <w:multiLevelType w:val="hybridMultilevel"/>
    <w:tmpl w:val="E8325F64"/>
    <w:lvl w:ilvl="0" w:tplc="1F22B208">
      <w:start w:val="1"/>
      <w:numFmt w:val="bullet"/>
      <w:lvlText w:val=""/>
      <w:lvlJc w:val="left"/>
      <w:pPr>
        <w:ind w:left="720" w:hanging="360"/>
      </w:pPr>
      <w:rPr>
        <w:rFonts w:ascii="Symbol" w:hAnsi="Symbol" w:hint="default"/>
        <w:color w:val="FFC000"/>
      </w:rPr>
    </w:lvl>
    <w:lvl w:ilvl="1" w:tplc="1646BB9A">
      <w:start w:val="1"/>
      <w:numFmt w:val="bullet"/>
      <w:lvlText w:val="–"/>
      <w:lvlJc w:val="left"/>
      <w:pPr>
        <w:ind w:left="1440" w:hanging="360"/>
      </w:pPr>
      <w:rPr>
        <w:rFonts w:ascii="Courier New" w:hAnsi="Courier New" w:hint="default"/>
        <w:color w:val="FFC000"/>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B9357A"/>
    <w:multiLevelType w:val="hybridMultilevel"/>
    <w:tmpl w:val="EB2801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0B3517"/>
    <w:multiLevelType w:val="hybridMultilevel"/>
    <w:tmpl w:val="9D044534"/>
    <w:lvl w:ilvl="0" w:tplc="41663E14">
      <w:start w:val="1"/>
      <w:numFmt w:val="decimal"/>
      <w:lvlText w:val="%1."/>
      <w:lvlJc w:val="left"/>
      <w:pPr>
        <w:ind w:left="720" w:hanging="360"/>
      </w:pPr>
      <w:rPr>
        <w:b/>
        <w:bCs/>
        <w:color w:val="FFC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C2E1C"/>
    <w:multiLevelType w:val="hybridMultilevel"/>
    <w:tmpl w:val="2220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34606"/>
    <w:multiLevelType w:val="hybridMultilevel"/>
    <w:tmpl w:val="09CC2A08"/>
    <w:lvl w:ilvl="0" w:tplc="0D6892B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81308"/>
    <w:multiLevelType w:val="hybridMultilevel"/>
    <w:tmpl w:val="A65A7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F69C9"/>
    <w:multiLevelType w:val="hybridMultilevel"/>
    <w:tmpl w:val="C484736A"/>
    <w:lvl w:ilvl="0" w:tplc="0D6892BA">
      <w:start w:val="1"/>
      <w:numFmt w:val="bullet"/>
      <w:lvlText w:val=""/>
      <w:lvlJc w:val="left"/>
      <w:pPr>
        <w:ind w:left="720" w:hanging="360"/>
      </w:pPr>
      <w:rPr>
        <w:rFonts w:ascii="Symbol" w:hAnsi="Symbol" w:hint="default"/>
        <w:color w:val="FFC000"/>
      </w:rPr>
    </w:lvl>
    <w:lvl w:ilvl="1" w:tplc="0A98A6C2">
      <w:start w:val="1"/>
      <w:numFmt w:val="bullet"/>
      <w:lvlText w:val=""/>
      <w:lvlJc w:val="left"/>
      <w:pPr>
        <w:ind w:left="1440" w:hanging="360"/>
      </w:pPr>
      <w:rPr>
        <w:rFonts w:ascii="Symbol" w:hAnsi="Symbol" w:hint="default"/>
        <w:color w:val="808080" w:themeColor="background1" w:themeShade="8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D5E54"/>
    <w:multiLevelType w:val="hybridMultilevel"/>
    <w:tmpl w:val="C5E21E66"/>
    <w:lvl w:ilvl="0" w:tplc="75082596">
      <w:start w:val="1"/>
      <w:numFmt w:val="bullet"/>
      <w:lvlText w:val=""/>
      <w:lvlJc w:val="left"/>
      <w:pPr>
        <w:ind w:left="720" w:hanging="360"/>
      </w:pPr>
      <w:rPr>
        <w:rFonts w:ascii="Symbol" w:hAnsi="Symbol" w:hint="default"/>
        <w:color w:val="DAA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2D4C5A"/>
    <w:multiLevelType w:val="hybridMultilevel"/>
    <w:tmpl w:val="810E674E"/>
    <w:lvl w:ilvl="0" w:tplc="A600C59C">
      <w:start w:val="1"/>
      <w:numFmt w:val="bullet"/>
      <w:lvlText w:val=""/>
      <w:lvlJc w:val="left"/>
      <w:pPr>
        <w:ind w:left="720" w:hanging="360"/>
      </w:pPr>
      <w:rPr>
        <w:rFonts w:ascii="Symbol" w:hAnsi="Symbol" w:hint="default"/>
        <w:color w:val="FFC000" w:themeColor="accent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C451EE"/>
    <w:multiLevelType w:val="hybridMultilevel"/>
    <w:tmpl w:val="DE96BAE4"/>
    <w:lvl w:ilvl="0" w:tplc="69E2A17A">
      <w:start w:val="1"/>
      <w:numFmt w:val="decimal"/>
      <w:lvlText w:val="%1."/>
      <w:lvlJc w:val="left"/>
      <w:pPr>
        <w:ind w:left="720" w:hanging="360"/>
      </w:pPr>
      <w:rPr>
        <w:rFonts w:hint="default"/>
        <w:b/>
        <w:bCs/>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B0F3E"/>
    <w:multiLevelType w:val="hybridMultilevel"/>
    <w:tmpl w:val="E272EB22"/>
    <w:lvl w:ilvl="0" w:tplc="0D6892BA">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33CF1"/>
    <w:multiLevelType w:val="hybridMultilevel"/>
    <w:tmpl w:val="316091A4"/>
    <w:lvl w:ilvl="0" w:tplc="C5AE4714">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AB7931"/>
    <w:multiLevelType w:val="hybridMultilevel"/>
    <w:tmpl w:val="4488A3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FC5BC5"/>
    <w:multiLevelType w:val="hybridMultilevel"/>
    <w:tmpl w:val="8D44F542"/>
    <w:lvl w:ilvl="0" w:tplc="8E18CB84">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F77060"/>
    <w:multiLevelType w:val="hybridMultilevel"/>
    <w:tmpl w:val="D3D65E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64B2005"/>
    <w:multiLevelType w:val="hybridMultilevel"/>
    <w:tmpl w:val="6F72ECA2"/>
    <w:lvl w:ilvl="0" w:tplc="69E2A17A">
      <w:start w:val="1"/>
      <w:numFmt w:val="decimal"/>
      <w:lvlText w:val="%1."/>
      <w:lvlJc w:val="left"/>
      <w:pPr>
        <w:ind w:left="720" w:hanging="360"/>
      </w:pPr>
      <w:rPr>
        <w:rFonts w:hint="default"/>
        <w:b/>
        <w:bCs/>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C72A64"/>
    <w:multiLevelType w:val="hybridMultilevel"/>
    <w:tmpl w:val="F9085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1022CA"/>
    <w:multiLevelType w:val="hybridMultilevel"/>
    <w:tmpl w:val="C91CD8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F5F6A06"/>
    <w:multiLevelType w:val="hybridMultilevel"/>
    <w:tmpl w:val="60481A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4841F9"/>
    <w:multiLevelType w:val="hybridMultilevel"/>
    <w:tmpl w:val="3F9A5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8A7BB9"/>
    <w:multiLevelType w:val="hybridMultilevel"/>
    <w:tmpl w:val="691CC364"/>
    <w:lvl w:ilvl="0" w:tplc="639606BC">
      <w:start w:val="1"/>
      <w:numFmt w:val="bullet"/>
      <w:lvlText w:val=""/>
      <w:lvlJc w:val="left"/>
      <w:pPr>
        <w:ind w:left="720" w:hanging="360"/>
      </w:pPr>
      <w:rPr>
        <w:rFonts w:ascii="Symbol" w:hAnsi="Symbol"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7F7F18"/>
    <w:multiLevelType w:val="hybridMultilevel"/>
    <w:tmpl w:val="41D4E442"/>
    <w:lvl w:ilvl="0" w:tplc="75082596">
      <w:start w:val="1"/>
      <w:numFmt w:val="bullet"/>
      <w:lvlText w:val=""/>
      <w:lvlJc w:val="left"/>
      <w:pPr>
        <w:ind w:left="720" w:hanging="360"/>
      </w:pPr>
      <w:rPr>
        <w:rFonts w:ascii="Symbol" w:hAnsi="Symbol" w:hint="default"/>
        <w:color w:val="DAA6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8"/>
  </w:num>
  <w:num w:numId="4">
    <w:abstractNumId w:val="21"/>
  </w:num>
  <w:num w:numId="5">
    <w:abstractNumId w:val="14"/>
  </w:num>
  <w:num w:numId="6">
    <w:abstractNumId w:val="12"/>
  </w:num>
  <w:num w:numId="7">
    <w:abstractNumId w:val="11"/>
  </w:num>
  <w:num w:numId="8">
    <w:abstractNumId w:val="7"/>
  </w:num>
  <w:num w:numId="9">
    <w:abstractNumId w:val="13"/>
  </w:num>
  <w:num w:numId="10">
    <w:abstractNumId w:val="5"/>
  </w:num>
  <w:num w:numId="11">
    <w:abstractNumId w:val="15"/>
  </w:num>
  <w:num w:numId="12">
    <w:abstractNumId w:val="9"/>
  </w:num>
  <w:num w:numId="13">
    <w:abstractNumId w:val="20"/>
  </w:num>
  <w:num w:numId="14">
    <w:abstractNumId w:val="2"/>
  </w:num>
  <w:num w:numId="15">
    <w:abstractNumId w:val="0"/>
  </w:num>
  <w:num w:numId="16">
    <w:abstractNumId w:val="16"/>
  </w:num>
  <w:num w:numId="17">
    <w:abstractNumId w:val="19"/>
  </w:num>
  <w:num w:numId="18">
    <w:abstractNumId w:val="3"/>
  </w:num>
  <w:num w:numId="19">
    <w:abstractNumId w:val="8"/>
  </w:num>
  <w:num w:numId="20">
    <w:abstractNumId w:val="10"/>
  </w:num>
  <w:num w:numId="21">
    <w:abstractNumId w:val="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BC6"/>
    <w:rsid w:val="00003B21"/>
    <w:rsid w:val="000102C2"/>
    <w:rsid w:val="00010448"/>
    <w:rsid w:val="000108A2"/>
    <w:rsid w:val="00011977"/>
    <w:rsid w:val="0001721B"/>
    <w:rsid w:val="0002086F"/>
    <w:rsid w:val="000217A6"/>
    <w:rsid w:val="000220B2"/>
    <w:rsid w:val="000221C9"/>
    <w:rsid w:val="00024A94"/>
    <w:rsid w:val="00026C07"/>
    <w:rsid w:val="00031AB6"/>
    <w:rsid w:val="000337FF"/>
    <w:rsid w:val="00034DE4"/>
    <w:rsid w:val="00035DFA"/>
    <w:rsid w:val="00041FD0"/>
    <w:rsid w:val="00045CD6"/>
    <w:rsid w:val="000465CD"/>
    <w:rsid w:val="00046EBB"/>
    <w:rsid w:val="00050130"/>
    <w:rsid w:val="00052F47"/>
    <w:rsid w:val="00053E05"/>
    <w:rsid w:val="0005705C"/>
    <w:rsid w:val="0006162D"/>
    <w:rsid w:val="00065A74"/>
    <w:rsid w:val="00077B19"/>
    <w:rsid w:val="00082253"/>
    <w:rsid w:val="00086589"/>
    <w:rsid w:val="00087E40"/>
    <w:rsid w:val="00095090"/>
    <w:rsid w:val="00095A7F"/>
    <w:rsid w:val="000B415E"/>
    <w:rsid w:val="000B6652"/>
    <w:rsid w:val="000D3793"/>
    <w:rsid w:val="000D52B0"/>
    <w:rsid w:val="000D5408"/>
    <w:rsid w:val="000D7996"/>
    <w:rsid w:val="000E0278"/>
    <w:rsid w:val="000E2549"/>
    <w:rsid w:val="000F316C"/>
    <w:rsid w:val="000F3861"/>
    <w:rsid w:val="000F67CF"/>
    <w:rsid w:val="000F6D77"/>
    <w:rsid w:val="0010074C"/>
    <w:rsid w:val="00100E5F"/>
    <w:rsid w:val="001019A3"/>
    <w:rsid w:val="00110A4F"/>
    <w:rsid w:val="0011478A"/>
    <w:rsid w:val="001168FC"/>
    <w:rsid w:val="00123A5A"/>
    <w:rsid w:val="00127DAE"/>
    <w:rsid w:val="001301F8"/>
    <w:rsid w:val="00131EEE"/>
    <w:rsid w:val="00135A25"/>
    <w:rsid w:val="00143194"/>
    <w:rsid w:val="001448B0"/>
    <w:rsid w:val="00155BAD"/>
    <w:rsid w:val="001562E0"/>
    <w:rsid w:val="00157C43"/>
    <w:rsid w:val="0016042B"/>
    <w:rsid w:val="00162248"/>
    <w:rsid w:val="001625E1"/>
    <w:rsid w:val="00166160"/>
    <w:rsid w:val="001669D3"/>
    <w:rsid w:val="001808C3"/>
    <w:rsid w:val="00183163"/>
    <w:rsid w:val="001842DA"/>
    <w:rsid w:val="0019298F"/>
    <w:rsid w:val="00195958"/>
    <w:rsid w:val="001A4310"/>
    <w:rsid w:val="001A559F"/>
    <w:rsid w:val="001A7C57"/>
    <w:rsid w:val="001C08A4"/>
    <w:rsid w:val="001C5DAE"/>
    <w:rsid w:val="001C6006"/>
    <w:rsid w:val="001D4D1A"/>
    <w:rsid w:val="001E3644"/>
    <w:rsid w:val="001E720E"/>
    <w:rsid w:val="001E7680"/>
    <w:rsid w:val="001F14EC"/>
    <w:rsid w:val="001F695C"/>
    <w:rsid w:val="00204913"/>
    <w:rsid w:val="00205E76"/>
    <w:rsid w:val="0021114B"/>
    <w:rsid w:val="0021336A"/>
    <w:rsid w:val="00214349"/>
    <w:rsid w:val="00220DA2"/>
    <w:rsid w:val="00225476"/>
    <w:rsid w:val="00225DC1"/>
    <w:rsid w:val="00226FE4"/>
    <w:rsid w:val="0023765A"/>
    <w:rsid w:val="002461FF"/>
    <w:rsid w:val="00246B12"/>
    <w:rsid w:val="00247FB5"/>
    <w:rsid w:val="00254D36"/>
    <w:rsid w:val="002550D7"/>
    <w:rsid w:val="002606AC"/>
    <w:rsid w:val="0026093C"/>
    <w:rsid w:val="00260A01"/>
    <w:rsid w:val="0026120A"/>
    <w:rsid w:val="002651DB"/>
    <w:rsid w:val="00265B81"/>
    <w:rsid w:val="0027680F"/>
    <w:rsid w:val="002836DD"/>
    <w:rsid w:val="00290AE9"/>
    <w:rsid w:val="00291878"/>
    <w:rsid w:val="002928DA"/>
    <w:rsid w:val="00296465"/>
    <w:rsid w:val="002A210A"/>
    <w:rsid w:val="002A71A6"/>
    <w:rsid w:val="002B0A7D"/>
    <w:rsid w:val="002B1F95"/>
    <w:rsid w:val="002C4127"/>
    <w:rsid w:val="002C7B21"/>
    <w:rsid w:val="002D6044"/>
    <w:rsid w:val="002D6660"/>
    <w:rsid w:val="002E41F0"/>
    <w:rsid w:val="002F6589"/>
    <w:rsid w:val="00303A18"/>
    <w:rsid w:val="00303B6E"/>
    <w:rsid w:val="00313D0E"/>
    <w:rsid w:val="003151C1"/>
    <w:rsid w:val="00321266"/>
    <w:rsid w:val="00322FC8"/>
    <w:rsid w:val="00324AC6"/>
    <w:rsid w:val="00325B7C"/>
    <w:rsid w:val="00325BD6"/>
    <w:rsid w:val="00327A63"/>
    <w:rsid w:val="00330521"/>
    <w:rsid w:val="0033251B"/>
    <w:rsid w:val="00333F2B"/>
    <w:rsid w:val="00335334"/>
    <w:rsid w:val="0033705A"/>
    <w:rsid w:val="00342741"/>
    <w:rsid w:val="003528EE"/>
    <w:rsid w:val="00355FF4"/>
    <w:rsid w:val="003675E8"/>
    <w:rsid w:val="0036787E"/>
    <w:rsid w:val="003679FC"/>
    <w:rsid w:val="00367DE5"/>
    <w:rsid w:val="00372AA1"/>
    <w:rsid w:val="003737ED"/>
    <w:rsid w:val="0037405F"/>
    <w:rsid w:val="00381E63"/>
    <w:rsid w:val="00384377"/>
    <w:rsid w:val="003860BB"/>
    <w:rsid w:val="00386C56"/>
    <w:rsid w:val="00394693"/>
    <w:rsid w:val="00394BC2"/>
    <w:rsid w:val="003A6246"/>
    <w:rsid w:val="003B0ADE"/>
    <w:rsid w:val="003C7566"/>
    <w:rsid w:val="003C7CFB"/>
    <w:rsid w:val="003D0D73"/>
    <w:rsid w:val="003D75DF"/>
    <w:rsid w:val="003E4F45"/>
    <w:rsid w:val="003F49B2"/>
    <w:rsid w:val="003F74BD"/>
    <w:rsid w:val="0040467E"/>
    <w:rsid w:val="00404A94"/>
    <w:rsid w:val="00406519"/>
    <w:rsid w:val="00406A4D"/>
    <w:rsid w:val="004137F3"/>
    <w:rsid w:val="0041524B"/>
    <w:rsid w:val="004167A6"/>
    <w:rsid w:val="00425D31"/>
    <w:rsid w:val="00432D54"/>
    <w:rsid w:val="00434A91"/>
    <w:rsid w:val="004361FB"/>
    <w:rsid w:val="0044207B"/>
    <w:rsid w:val="00456048"/>
    <w:rsid w:val="00456AEB"/>
    <w:rsid w:val="00456B11"/>
    <w:rsid w:val="00462396"/>
    <w:rsid w:val="0046628B"/>
    <w:rsid w:val="00481E6F"/>
    <w:rsid w:val="00483C7E"/>
    <w:rsid w:val="004926A3"/>
    <w:rsid w:val="004945C5"/>
    <w:rsid w:val="0049757B"/>
    <w:rsid w:val="00497789"/>
    <w:rsid w:val="004A0601"/>
    <w:rsid w:val="004A0657"/>
    <w:rsid w:val="004A1BC6"/>
    <w:rsid w:val="004B0357"/>
    <w:rsid w:val="004B1657"/>
    <w:rsid w:val="004B3050"/>
    <w:rsid w:val="004B330C"/>
    <w:rsid w:val="004C1C98"/>
    <w:rsid w:val="004C6BD1"/>
    <w:rsid w:val="004D12DC"/>
    <w:rsid w:val="004D53FF"/>
    <w:rsid w:val="004D6814"/>
    <w:rsid w:val="004E33F6"/>
    <w:rsid w:val="004E41B8"/>
    <w:rsid w:val="004E79F4"/>
    <w:rsid w:val="004F0336"/>
    <w:rsid w:val="004F686D"/>
    <w:rsid w:val="00501572"/>
    <w:rsid w:val="00505F74"/>
    <w:rsid w:val="005060EE"/>
    <w:rsid w:val="00506E6C"/>
    <w:rsid w:val="00507972"/>
    <w:rsid w:val="00510ED1"/>
    <w:rsid w:val="005132FC"/>
    <w:rsid w:val="005206CE"/>
    <w:rsid w:val="00520B0F"/>
    <w:rsid w:val="00520D5A"/>
    <w:rsid w:val="0052199B"/>
    <w:rsid w:val="00521CCA"/>
    <w:rsid w:val="00523406"/>
    <w:rsid w:val="00523E56"/>
    <w:rsid w:val="00530D5D"/>
    <w:rsid w:val="00532C4E"/>
    <w:rsid w:val="00540FF7"/>
    <w:rsid w:val="00543DC7"/>
    <w:rsid w:val="005443C4"/>
    <w:rsid w:val="00544BDC"/>
    <w:rsid w:val="00552CB2"/>
    <w:rsid w:val="0056026A"/>
    <w:rsid w:val="00563C5B"/>
    <w:rsid w:val="00565AFB"/>
    <w:rsid w:val="00565E38"/>
    <w:rsid w:val="00571125"/>
    <w:rsid w:val="00573510"/>
    <w:rsid w:val="005813BF"/>
    <w:rsid w:val="005B4ECA"/>
    <w:rsid w:val="005B581E"/>
    <w:rsid w:val="005C4B50"/>
    <w:rsid w:val="005C5F9A"/>
    <w:rsid w:val="005D31BF"/>
    <w:rsid w:val="005D3309"/>
    <w:rsid w:val="005E2169"/>
    <w:rsid w:val="005E2C18"/>
    <w:rsid w:val="005E735C"/>
    <w:rsid w:val="005F0B05"/>
    <w:rsid w:val="005F1E13"/>
    <w:rsid w:val="005F261A"/>
    <w:rsid w:val="005F2BD8"/>
    <w:rsid w:val="0060051A"/>
    <w:rsid w:val="006036D2"/>
    <w:rsid w:val="006037F6"/>
    <w:rsid w:val="006070B0"/>
    <w:rsid w:val="00610A79"/>
    <w:rsid w:val="00615BB4"/>
    <w:rsid w:val="00621CDF"/>
    <w:rsid w:val="006358DB"/>
    <w:rsid w:val="00654BB0"/>
    <w:rsid w:val="00657BF0"/>
    <w:rsid w:val="0066182B"/>
    <w:rsid w:val="006735D4"/>
    <w:rsid w:val="00683A11"/>
    <w:rsid w:val="00691A54"/>
    <w:rsid w:val="00692802"/>
    <w:rsid w:val="00693835"/>
    <w:rsid w:val="00693E03"/>
    <w:rsid w:val="00694533"/>
    <w:rsid w:val="006A4568"/>
    <w:rsid w:val="006B1830"/>
    <w:rsid w:val="006B5CDC"/>
    <w:rsid w:val="006C4175"/>
    <w:rsid w:val="006C4633"/>
    <w:rsid w:val="006C49A5"/>
    <w:rsid w:val="006D4B4C"/>
    <w:rsid w:val="006D6C9D"/>
    <w:rsid w:val="006D7E50"/>
    <w:rsid w:val="006E0599"/>
    <w:rsid w:val="006E230C"/>
    <w:rsid w:val="006E26E4"/>
    <w:rsid w:val="006E577F"/>
    <w:rsid w:val="006E58B8"/>
    <w:rsid w:val="006F09BA"/>
    <w:rsid w:val="006F3C1A"/>
    <w:rsid w:val="006F4687"/>
    <w:rsid w:val="006F79C3"/>
    <w:rsid w:val="006F7F14"/>
    <w:rsid w:val="00702B38"/>
    <w:rsid w:val="00702BF0"/>
    <w:rsid w:val="00704AB3"/>
    <w:rsid w:val="00713F37"/>
    <w:rsid w:val="007303AB"/>
    <w:rsid w:val="00735474"/>
    <w:rsid w:val="00753D8D"/>
    <w:rsid w:val="00756C8C"/>
    <w:rsid w:val="00757D4C"/>
    <w:rsid w:val="00760250"/>
    <w:rsid w:val="00770ED4"/>
    <w:rsid w:val="007829A4"/>
    <w:rsid w:val="00785F60"/>
    <w:rsid w:val="00791659"/>
    <w:rsid w:val="00794B88"/>
    <w:rsid w:val="007966AF"/>
    <w:rsid w:val="007B13A2"/>
    <w:rsid w:val="007B256D"/>
    <w:rsid w:val="007B27AC"/>
    <w:rsid w:val="007B2BD1"/>
    <w:rsid w:val="007C0CD4"/>
    <w:rsid w:val="007C6ADC"/>
    <w:rsid w:val="007D3BBF"/>
    <w:rsid w:val="007D51A4"/>
    <w:rsid w:val="007D794E"/>
    <w:rsid w:val="007E2DB6"/>
    <w:rsid w:val="007E5EDA"/>
    <w:rsid w:val="007E7C89"/>
    <w:rsid w:val="007F27B4"/>
    <w:rsid w:val="007F44B6"/>
    <w:rsid w:val="00806C2E"/>
    <w:rsid w:val="00807144"/>
    <w:rsid w:val="0081024D"/>
    <w:rsid w:val="00817506"/>
    <w:rsid w:val="00836A3B"/>
    <w:rsid w:val="00837766"/>
    <w:rsid w:val="0086223C"/>
    <w:rsid w:val="00863131"/>
    <w:rsid w:val="008717F9"/>
    <w:rsid w:val="00884F8D"/>
    <w:rsid w:val="00887A29"/>
    <w:rsid w:val="0089359F"/>
    <w:rsid w:val="00894140"/>
    <w:rsid w:val="00895458"/>
    <w:rsid w:val="008A492F"/>
    <w:rsid w:val="008A5604"/>
    <w:rsid w:val="008A5AA2"/>
    <w:rsid w:val="008B203A"/>
    <w:rsid w:val="008B250C"/>
    <w:rsid w:val="008B2625"/>
    <w:rsid w:val="008B3A9B"/>
    <w:rsid w:val="008B4941"/>
    <w:rsid w:val="008B763F"/>
    <w:rsid w:val="008D49ED"/>
    <w:rsid w:val="008E0EC4"/>
    <w:rsid w:val="008F0257"/>
    <w:rsid w:val="009020C5"/>
    <w:rsid w:val="00910EA0"/>
    <w:rsid w:val="009142FD"/>
    <w:rsid w:val="00917209"/>
    <w:rsid w:val="009177FF"/>
    <w:rsid w:val="00921E3D"/>
    <w:rsid w:val="00931956"/>
    <w:rsid w:val="00937C07"/>
    <w:rsid w:val="009547AA"/>
    <w:rsid w:val="0095647C"/>
    <w:rsid w:val="00957439"/>
    <w:rsid w:val="00960106"/>
    <w:rsid w:val="009650CC"/>
    <w:rsid w:val="00970829"/>
    <w:rsid w:val="009724D2"/>
    <w:rsid w:val="00974732"/>
    <w:rsid w:val="009771C2"/>
    <w:rsid w:val="0098620D"/>
    <w:rsid w:val="009A232C"/>
    <w:rsid w:val="009A2922"/>
    <w:rsid w:val="009B3D5C"/>
    <w:rsid w:val="009C3EEC"/>
    <w:rsid w:val="009C691B"/>
    <w:rsid w:val="009C77B5"/>
    <w:rsid w:val="009D0730"/>
    <w:rsid w:val="009E2C26"/>
    <w:rsid w:val="009E73D1"/>
    <w:rsid w:val="009F1670"/>
    <w:rsid w:val="009F20EB"/>
    <w:rsid w:val="00A03270"/>
    <w:rsid w:val="00A03DB5"/>
    <w:rsid w:val="00A10B3E"/>
    <w:rsid w:val="00A116DB"/>
    <w:rsid w:val="00A164C2"/>
    <w:rsid w:val="00A20FBE"/>
    <w:rsid w:val="00A2224C"/>
    <w:rsid w:val="00A267E4"/>
    <w:rsid w:val="00A32059"/>
    <w:rsid w:val="00A33942"/>
    <w:rsid w:val="00A40CF6"/>
    <w:rsid w:val="00A50143"/>
    <w:rsid w:val="00A56D8F"/>
    <w:rsid w:val="00A7439C"/>
    <w:rsid w:val="00A7507E"/>
    <w:rsid w:val="00A84EE8"/>
    <w:rsid w:val="00A87ABE"/>
    <w:rsid w:val="00A946F4"/>
    <w:rsid w:val="00A97094"/>
    <w:rsid w:val="00AA1C0D"/>
    <w:rsid w:val="00AA4A54"/>
    <w:rsid w:val="00AB40A7"/>
    <w:rsid w:val="00AC0302"/>
    <w:rsid w:val="00AC0A4D"/>
    <w:rsid w:val="00AC2350"/>
    <w:rsid w:val="00AC6222"/>
    <w:rsid w:val="00AD2FA9"/>
    <w:rsid w:val="00AD535F"/>
    <w:rsid w:val="00AE213F"/>
    <w:rsid w:val="00AE55EF"/>
    <w:rsid w:val="00AE732E"/>
    <w:rsid w:val="00AF22CC"/>
    <w:rsid w:val="00AF4993"/>
    <w:rsid w:val="00B013BC"/>
    <w:rsid w:val="00B02232"/>
    <w:rsid w:val="00B174B8"/>
    <w:rsid w:val="00B2270A"/>
    <w:rsid w:val="00B2295E"/>
    <w:rsid w:val="00B277DD"/>
    <w:rsid w:val="00B27DE4"/>
    <w:rsid w:val="00B35AB5"/>
    <w:rsid w:val="00B360C4"/>
    <w:rsid w:val="00B41BA4"/>
    <w:rsid w:val="00B43EAB"/>
    <w:rsid w:val="00B80C12"/>
    <w:rsid w:val="00B83385"/>
    <w:rsid w:val="00B83DD8"/>
    <w:rsid w:val="00B86F54"/>
    <w:rsid w:val="00B963CE"/>
    <w:rsid w:val="00BA081A"/>
    <w:rsid w:val="00BB0E21"/>
    <w:rsid w:val="00BD128F"/>
    <w:rsid w:val="00BD1F5B"/>
    <w:rsid w:val="00BD4423"/>
    <w:rsid w:val="00BD7051"/>
    <w:rsid w:val="00BD7562"/>
    <w:rsid w:val="00BE1217"/>
    <w:rsid w:val="00BE37B5"/>
    <w:rsid w:val="00BF6C8D"/>
    <w:rsid w:val="00BF75C5"/>
    <w:rsid w:val="00C00B7B"/>
    <w:rsid w:val="00C05F75"/>
    <w:rsid w:val="00C15006"/>
    <w:rsid w:val="00C24D14"/>
    <w:rsid w:val="00C260DE"/>
    <w:rsid w:val="00C26BD3"/>
    <w:rsid w:val="00C35436"/>
    <w:rsid w:val="00C35C67"/>
    <w:rsid w:val="00C362D6"/>
    <w:rsid w:val="00C45830"/>
    <w:rsid w:val="00C47F23"/>
    <w:rsid w:val="00C53617"/>
    <w:rsid w:val="00C550F3"/>
    <w:rsid w:val="00C56448"/>
    <w:rsid w:val="00C64B78"/>
    <w:rsid w:val="00C64D11"/>
    <w:rsid w:val="00C66589"/>
    <w:rsid w:val="00C66812"/>
    <w:rsid w:val="00C66D1C"/>
    <w:rsid w:val="00C71704"/>
    <w:rsid w:val="00C72420"/>
    <w:rsid w:val="00C72B84"/>
    <w:rsid w:val="00C810B6"/>
    <w:rsid w:val="00C8253F"/>
    <w:rsid w:val="00C85F9B"/>
    <w:rsid w:val="00C86307"/>
    <w:rsid w:val="00C91C0C"/>
    <w:rsid w:val="00C91E29"/>
    <w:rsid w:val="00CB2394"/>
    <w:rsid w:val="00CB3B74"/>
    <w:rsid w:val="00CB51C5"/>
    <w:rsid w:val="00CB5564"/>
    <w:rsid w:val="00CC49F1"/>
    <w:rsid w:val="00CC7484"/>
    <w:rsid w:val="00CD404D"/>
    <w:rsid w:val="00CE1705"/>
    <w:rsid w:val="00CE1A05"/>
    <w:rsid w:val="00CE4595"/>
    <w:rsid w:val="00CE6E3B"/>
    <w:rsid w:val="00CE7411"/>
    <w:rsid w:val="00CF104C"/>
    <w:rsid w:val="00CF38B3"/>
    <w:rsid w:val="00CF3BC9"/>
    <w:rsid w:val="00D0132C"/>
    <w:rsid w:val="00D04B9C"/>
    <w:rsid w:val="00D11B81"/>
    <w:rsid w:val="00D12772"/>
    <w:rsid w:val="00D15E93"/>
    <w:rsid w:val="00D20461"/>
    <w:rsid w:val="00D206D7"/>
    <w:rsid w:val="00D22C3A"/>
    <w:rsid w:val="00D24808"/>
    <w:rsid w:val="00D325F5"/>
    <w:rsid w:val="00D32987"/>
    <w:rsid w:val="00D374E8"/>
    <w:rsid w:val="00D40E2E"/>
    <w:rsid w:val="00D40FF7"/>
    <w:rsid w:val="00D51528"/>
    <w:rsid w:val="00D51CA0"/>
    <w:rsid w:val="00D520C4"/>
    <w:rsid w:val="00D534B4"/>
    <w:rsid w:val="00D551D4"/>
    <w:rsid w:val="00D60262"/>
    <w:rsid w:val="00D63A62"/>
    <w:rsid w:val="00D66C07"/>
    <w:rsid w:val="00D71199"/>
    <w:rsid w:val="00D724DC"/>
    <w:rsid w:val="00D76249"/>
    <w:rsid w:val="00D8184D"/>
    <w:rsid w:val="00D82CD1"/>
    <w:rsid w:val="00D84472"/>
    <w:rsid w:val="00D849C1"/>
    <w:rsid w:val="00D945D0"/>
    <w:rsid w:val="00DA2733"/>
    <w:rsid w:val="00DA3E3F"/>
    <w:rsid w:val="00DB1AB1"/>
    <w:rsid w:val="00DB7E8A"/>
    <w:rsid w:val="00DC4CF5"/>
    <w:rsid w:val="00DC71B8"/>
    <w:rsid w:val="00DD0CF5"/>
    <w:rsid w:val="00DD38A0"/>
    <w:rsid w:val="00DD5769"/>
    <w:rsid w:val="00E01261"/>
    <w:rsid w:val="00E05446"/>
    <w:rsid w:val="00E12364"/>
    <w:rsid w:val="00E12FA2"/>
    <w:rsid w:val="00E13EF4"/>
    <w:rsid w:val="00E15DFC"/>
    <w:rsid w:val="00E237FE"/>
    <w:rsid w:val="00E3467D"/>
    <w:rsid w:val="00E46A19"/>
    <w:rsid w:val="00E51DC7"/>
    <w:rsid w:val="00E6157E"/>
    <w:rsid w:val="00E670B4"/>
    <w:rsid w:val="00E70D9D"/>
    <w:rsid w:val="00E71928"/>
    <w:rsid w:val="00E72D73"/>
    <w:rsid w:val="00E86406"/>
    <w:rsid w:val="00E86D17"/>
    <w:rsid w:val="00E96641"/>
    <w:rsid w:val="00EB0A2B"/>
    <w:rsid w:val="00EB2378"/>
    <w:rsid w:val="00EB7CDD"/>
    <w:rsid w:val="00EC02BF"/>
    <w:rsid w:val="00EC5A00"/>
    <w:rsid w:val="00ED2E4F"/>
    <w:rsid w:val="00EE4AAF"/>
    <w:rsid w:val="00EF4982"/>
    <w:rsid w:val="00EF58E3"/>
    <w:rsid w:val="00F03373"/>
    <w:rsid w:val="00F05251"/>
    <w:rsid w:val="00F100D8"/>
    <w:rsid w:val="00F12D55"/>
    <w:rsid w:val="00F20925"/>
    <w:rsid w:val="00F23F6A"/>
    <w:rsid w:val="00F27A39"/>
    <w:rsid w:val="00F27ACC"/>
    <w:rsid w:val="00F30134"/>
    <w:rsid w:val="00F33BF9"/>
    <w:rsid w:val="00F371C2"/>
    <w:rsid w:val="00F41B58"/>
    <w:rsid w:val="00F42DBE"/>
    <w:rsid w:val="00F42F77"/>
    <w:rsid w:val="00F54667"/>
    <w:rsid w:val="00F550E3"/>
    <w:rsid w:val="00F62BA9"/>
    <w:rsid w:val="00F6334E"/>
    <w:rsid w:val="00F65740"/>
    <w:rsid w:val="00F723A0"/>
    <w:rsid w:val="00F73F69"/>
    <w:rsid w:val="00F77B12"/>
    <w:rsid w:val="00F84055"/>
    <w:rsid w:val="00F85010"/>
    <w:rsid w:val="00F853B6"/>
    <w:rsid w:val="00F96161"/>
    <w:rsid w:val="00F96475"/>
    <w:rsid w:val="00FA268B"/>
    <w:rsid w:val="00FA2B8C"/>
    <w:rsid w:val="00FA5FA5"/>
    <w:rsid w:val="00FB2857"/>
    <w:rsid w:val="00FB4266"/>
    <w:rsid w:val="00FB632A"/>
    <w:rsid w:val="00FC765B"/>
    <w:rsid w:val="00FD6EB5"/>
    <w:rsid w:val="00FE2311"/>
    <w:rsid w:val="00FE289C"/>
    <w:rsid w:val="00FE55C7"/>
    <w:rsid w:val="00FE585C"/>
    <w:rsid w:val="00FF10C7"/>
    <w:rsid w:val="00FF3B94"/>
    <w:rsid w:val="00FF6F15"/>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4C44C5"/>
  <w15:chartTrackingRefBased/>
  <w15:docId w15:val="{43652DDC-6E8D-4437-B700-28B5B0043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Theme="minorHAnsi" w:hAnsi="Calibri Light" w:cstheme="minorBidi"/>
        <w:sz w:val="22"/>
        <w:szCs w:val="22"/>
        <w:lang w:val="lt-LT"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26B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E55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A71A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A39"/>
    <w:pPr>
      <w:ind w:left="720"/>
      <w:contextualSpacing/>
    </w:pPr>
  </w:style>
  <w:style w:type="character" w:styleId="CommentReference">
    <w:name w:val="annotation reference"/>
    <w:basedOn w:val="DefaultParagraphFont"/>
    <w:uiPriority w:val="99"/>
    <w:semiHidden/>
    <w:unhideWhenUsed/>
    <w:rsid w:val="00CB5564"/>
    <w:rPr>
      <w:sz w:val="16"/>
      <w:szCs w:val="16"/>
    </w:rPr>
  </w:style>
  <w:style w:type="paragraph" w:styleId="CommentText">
    <w:name w:val="annotation text"/>
    <w:basedOn w:val="Normal"/>
    <w:link w:val="CommentTextChar"/>
    <w:uiPriority w:val="99"/>
    <w:semiHidden/>
    <w:unhideWhenUsed/>
    <w:rsid w:val="00CB5564"/>
    <w:rPr>
      <w:sz w:val="20"/>
      <w:szCs w:val="20"/>
    </w:rPr>
  </w:style>
  <w:style w:type="character" w:customStyle="1" w:styleId="CommentTextChar">
    <w:name w:val="Comment Text Char"/>
    <w:basedOn w:val="DefaultParagraphFont"/>
    <w:link w:val="CommentText"/>
    <w:uiPriority w:val="99"/>
    <w:semiHidden/>
    <w:rsid w:val="00CB5564"/>
    <w:rPr>
      <w:sz w:val="20"/>
      <w:szCs w:val="20"/>
    </w:rPr>
  </w:style>
  <w:style w:type="paragraph" w:styleId="CommentSubject">
    <w:name w:val="annotation subject"/>
    <w:basedOn w:val="CommentText"/>
    <w:next w:val="CommentText"/>
    <w:link w:val="CommentSubjectChar"/>
    <w:uiPriority w:val="99"/>
    <w:semiHidden/>
    <w:unhideWhenUsed/>
    <w:rsid w:val="00CB5564"/>
    <w:rPr>
      <w:b/>
      <w:bCs/>
    </w:rPr>
  </w:style>
  <w:style w:type="character" w:customStyle="1" w:styleId="CommentSubjectChar">
    <w:name w:val="Comment Subject Char"/>
    <w:basedOn w:val="CommentTextChar"/>
    <w:link w:val="CommentSubject"/>
    <w:uiPriority w:val="99"/>
    <w:semiHidden/>
    <w:rsid w:val="00CB5564"/>
    <w:rPr>
      <w:b/>
      <w:bCs/>
      <w:sz w:val="20"/>
      <w:szCs w:val="20"/>
    </w:rPr>
  </w:style>
  <w:style w:type="paragraph" w:styleId="BalloonText">
    <w:name w:val="Balloon Text"/>
    <w:basedOn w:val="Normal"/>
    <w:link w:val="BalloonTextChar"/>
    <w:uiPriority w:val="99"/>
    <w:semiHidden/>
    <w:unhideWhenUsed/>
    <w:rsid w:val="00CB5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564"/>
    <w:rPr>
      <w:rFonts w:ascii="Segoe UI" w:hAnsi="Segoe UI" w:cs="Segoe UI"/>
      <w:sz w:val="18"/>
      <w:szCs w:val="18"/>
    </w:rPr>
  </w:style>
  <w:style w:type="paragraph" w:styleId="Header">
    <w:name w:val="header"/>
    <w:basedOn w:val="Normal"/>
    <w:link w:val="HeaderChar"/>
    <w:uiPriority w:val="99"/>
    <w:unhideWhenUsed/>
    <w:rsid w:val="00404A94"/>
    <w:pPr>
      <w:tabs>
        <w:tab w:val="center" w:pos="4819"/>
        <w:tab w:val="right" w:pos="9638"/>
      </w:tabs>
      <w:spacing w:after="0"/>
    </w:pPr>
  </w:style>
  <w:style w:type="character" w:customStyle="1" w:styleId="HeaderChar">
    <w:name w:val="Header Char"/>
    <w:basedOn w:val="DefaultParagraphFont"/>
    <w:link w:val="Header"/>
    <w:uiPriority w:val="99"/>
    <w:rsid w:val="00404A94"/>
  </w:style>
  <w:style w:type="paragraph" w:styleId="Footer">
    <w:name w:val="footer"/>
    <w:basedOn w:val="Normal"/>
    <w:link w:val="FooterChar"/>
    <w:uiPriority w:val="99"/>
    <w:unhideWhenUsed/>
    <w:rsid w:val="00404A94"/>
    <w:pPr>
      <w:tabs>
        <w:tab w:val="center" w:pos="4819"/>
        <w:tab w:val="right" w:pos="9638"/>
      </w:tabs>
      <w:spacing w:after="0"/>
    </w:pPr>
  </w:style>
  <w:style w:type="character" w:customStyle="1" w:styleId="FooterChar">
    <w:name w:val="Footer Char"/>
    <w:basedOn w:val="DefaultParagraphFont"/>
    <w:link w:val="Footer"/>
    <w:uiPriority w:val="99"/>
    <w:rsid w:val="00404A94"/>
  </w:style>
  <w:style w:type="character" w:styleId="Hyperlink">
    <w:name w:val="Hyperlink"/>
    <w:uiPriority w:val="99"/>
    <w:unhideWhenUsed/>
    <w:rsid w:val="00404A94"/>
    <w:rPr>
      <w:color w:val="0563C1"/>
      <w:u w:val="single"/>
    </w:rPr>
  </w:style>
  <w:style w:type="character" w:customStyle="1" w:styleId="UnresolvedMention">
    <w:name w:val="Unresolved Mention"/>
    <w:basedOn w:val="DefaultParagraphFont"/>
    <w:uiPriority w:val="99"/>
    <w:semiHidden/>
    <w:unhideWhenUsed/>
    <w:rsid w:val="00FC765B"/>
    <w:rPr>
      <w:color w:val="808080"/>
      <w:shd w:val="clear" w:color="auto" w:fill="E6E6E6"/>
    </w:rPr>
  </w:style>
  <w:style w:type="character" w:customStyle="1" w:styleId="Heading1Char">
    <w:name w:val="Heading 1 Char"/>
    <w:basedOn w:val="DefaultParagraphFont"/>
    <w:link w:val="Heading1"/>
    <w:uiPriority w:val="9"/>
    <w:rsid w:val="00C26BD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E55C7"/>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FE55C7"/>
    <w:rPr>
      <w:color w:val="954F72" w:themeColor="followedHyperlink"/>
      <w:u w:val="single"/>
    </w:rPr>
  </w:style>
  <w:style w:type="character" w:styleId="Strong">
    <w:name w:val="Strong"/>
    <w:basedOn w:val="DefaultParagraphFont"/>
    <w:uiPriority w:val="22"/>
    <w:qFormat/>
    <w:rsid w:val="007B27AC"/>
    <w:rPr>
      <w:b/>
      <w:bCs/>
    </w:rPr>
  </w:style>
  <w:style w:type="character" w:customStyle="1" w:styleId="Heading3Char">
    <w:name w:val="Heading 3 Char"/>
    <w:basedOn w:val="DefaultParagraphFont"/>
    <w:link w:val="Heading3"/>
    <w:uiPriority w:val="9"/>
    <w:semiHidden/>
    <w:rsid w:val="002A71A6"/>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uiPriority w:val="99"/>
    <w:semiHidden/>
    <w:unhideWhenUsed/>
    <w:rsid w:val="00456AEB"/>
    <w:pPr>
      <w:spacing w:after="0"/>
    </w:pPr>
    <w:rPr>
      <w:sz w:val="20"/>
      <w:szCs w:val="20"/>
    </w:rPr>
  </w:style>
  <w:style w:type="character" w:customStyle="1" w:styleId="FootnoteTextChar">
    <w:name w:val="Footnote Text Char"/>
    <w:basedOn w:val="DefaultParagraphFont"/>
    <w:link w:val="FootnoteText"/>
    <w:uiPriority w:val="99"/>
    <w:semiHidden/>
    <w:rsid w:val="00456AEB"/>
    <w:rPr>
      <w:sz w:val="20"/>
      <w:szCs w:val="20"/>
    </w:rPr>
  </w:style>
  <w:style w:type="character" w:styleId="FootnoteReference">
    <w:name w:val="footnote reference"/>
    <w:basedOn w:val="DefaultParagraphFont"/>
    <w:uiPriority w:val="99"/>
    <w:semiHidden/>
    <w:unhideWhenUsed/>
    <w:rsid w:val="00456A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43435">
      <w:bodyDiv w:val="1"/>
      <w:marLeft w:val="0"/>
      <w:marRight w:val="0"/>
      <w:marTop w:val="0"/>
      <w:marBottom w:val="0"/>
      <w:divBdr>
        <w:top w:val="none" w:sz="0" w:space="0" w:color="auto"/>
        <w:left w:val="none" w:sz="0" w:space="0" w:color="auto"/>
        <w:bottom w:val="none" w:sz="0" w:space="0" w:color="auto"/>
        <w:right w:val="none" w:sz="0" w:space="0" w:color="auto"/>
      </w:divBdr>
    </w:div>
    <w:div w:id="128940501">
      <w:bodyDiv w:val="1"/>
      <w:marLeft w:val="0"/>
      <w:marRight w:val="0"/>
      <w:marTop w:val="0"/>
      <w:marBottom w:val="0"/>
      <w:divBdr>
        <w:top w:val="none" w:sz="0" w:space="0" w:color="auto"/>
        <w:left w:val="none" w:sz="0" w:space="0" w:color="auto"/>
        <w:bottom w:val="none" w:sz="0" w:space="0" w:color="auto"/>
        <w:right w:val="none" w:sz="0" w:space="0" w:color="auto"/>
      </w:divBdr>
    </w:div>
    <w:div w:id="224729685">
      <w:bodyDiv w:val="1"/>
      <w:marLeft w:val="0"/>
      <w:marRight w:val="0"/>
      <w:marTop w:val="0"/>
      <w:marBottom w:val="0"/>
      <w:divBdr>
        <w:top w:val="none" w:sz="0" w:space="0" w:color="auto"/>
        <w:left w:val="none" w:sz="0" w:space="0" w:color="auto"/>
        <w:bottom w:val="none" w:sz="0" w:space="0" w:color="auto"/>
        <w:right w:val="none" w:sz="0" w:space="0" w:color="auto"/>
      </w:divBdr>
    </w:div>
    <w:div w:id="350497648">
      <w:bodyDiv w:val="1"/>
      <w:marLeft w:val="0"/>
      <w:marRight w:val="0"/>
      <w:marTop w:val="0"/>
      <w:marBottom w:val="0"/>
      <w:divBdr>
        <w:top w:val="none" w:sz="0" w:space="0" w:color="auto"/>
        <w:left w:val="none" w:sz="0" w:space="0" w:color="auto"/>
        <w:bottom w:val="none" w:sz="0" w:space="0" w:color="auto"/>
        <w:right w:val="none" w:sz="0" w:space="0" w:color="auto"/>
      </w:divBdr>
    </w:div>
    <w:div w:id="563570940">
      <w:bodyDiv w:val="1"/>
      <w:marLeft w:val="0"/>
      <w:marRight w:val="0"/>
      <w:marTop w:val="0"/>
      <w:marBottom w:val="0"/>
      <w:divBdr>
        <w:top w:val="none" w:sz="0" w:space="0" w:color="auto"/>
        <w:left w:val="none" w:sz="0" w:space="0" w:color="auto"/>
        <w:bottom w:val="none" w:sz="0" w:space="0" w:color="auto"/>
        <w:right w:val="none" w:sz="0" w:space="0" w:color="auto"/>
      </w:divBdr>
    </w:div>
    <w:div w:id="655304003">
      <w:bodyDiv w:val="1"/>
      <w:marLeft w:val="0"/>
      <w:marRight w:val="0"/>
      <w:marTop w:val="0"/>
      <w:marBottom w:val="0"/>
      <w:divBdr>
        <w:top w:val="none" w:sz="0" w:space="0" w:color="auto"/>
        <w:left w:val="none" w:sz="0" w:space="0" w:color="auto"/>
        <w:bottom w:val="none" w:sz="0" w:space="0" w:color="auto"/>
        <w:right w:val="none" w:sz="0" w:space="0" w:color="auto"/>
      </w:divBdr>
    </w:div>
    <w:div w:id="694162171">
      <w:bodyDiv w:val="1"/>
      <w:marLeft w:val="0"/>
      <w:marRight w:val="0"/>
      <w:marTop w:val="0"/>
      <w:marBottom w:val="0"/>
      <w:divBdr>
        <w:top w:val="none" w:sz="0" w:space="0" w:color="auto"/>
        <w:left w:val="none" w:sz="0" w:space="0" w:color="auto"/>
        <w:bottom w:val="none" w:sz="0" w:space="0" w:color="auto"/>
        <w:right w:val="none" w:sz="0" w:space="0" w:color="auto"/>
      </w:divBdr>
    </w:div>
    <w:div w:id="704986985">
      <w:bodyDiv w:val="1"/>
      <w:marLeft w:val="0"/>
      <w:marRight w:val="0"/>
      <w:marTop w:val="0"/>
      <w:marBottom w:val="0"/>
      <w:divBdr>
        <w:top w:val="none" w:sz="0" w:space="0" w:color="auto"/>
        <w:left w:val="none" w:sz="0" w:space="0" w:color="auto"/>
        <w:bottom w:val="none" w:sz="0" w:space="0" w:color="auto"/>
        <w:right w:val="none" w:sz="0" w:space="0" w:color="auto"/>
      </w:divBdr>
      <w:divsChild>
        <w:div w:id="1152867329">
          <w:marLeft w:val="0"/>
          <w:marRight w:val="0"/>
          <w:marTop w:val="0"/>
          <w:marBottom w:val="0"/>
          <w:divBdr>
            <w:top w:val="none" w:sz="0" w:space="0" w:color="auto"/>
            <w:left w:val="none" w:sz="0" w:space="0" w:color="auto"/>
            <w:bottom w:val="none" w:sz="0" w:space="0" w:color="auto"/>
            <w:right w:val="none" w:sz="0" w:space="0" w:color="auto"/>
          </w:divBdr>
        </w:div>
        <w:div w:id="701594428">
          <w:marLeft w:val="0"/>
          <w:marRight w:val="0"/>
          <w:marTop w:val="0"/>
          <w:marBottom w:val="0"/>
          <w:divBdr>
            <w:top w:val="none" w:sz="0" w:space="0" w:color="auto"/>
            <w:left w:val="none" w:sz="0" w:space="0" w:color="auto"/>
            <w:bottom w:val="none" w:sz="0" w:space="0" w:color="auto"/>
            <w:right w:val="none" w:sz="0" w:space="0" w:color="auto"/>
          </w:divBdr>
        </w:div>
        <w:div w:id="1542129582">
          <w:marLeft w:val="0"/>
          <w:marRight w:val="0"/>
          <w:marTop w:val="0"/>
          <w:marBottom w:val="0"/>
          <w:divBdr>
            <w:top w:val="none" w:sz="0" w:space="0" w:color="auto"/>
            <w:left w:val="none" w:sz="0" w:space="0" w:color="auto"/>
            <w:bottom w:val="none" w:sz="0" w:space="0" w:color="auto"/>
            <w:right w:val="none" w:sz="0" w:space="0" w:color="auto"/>
          </w:divBdr>
        </w:div>
      </w:divsChild>
    </w:div>
    <w:div w:id="710810708">
      <w:bodyDiv w:val="1"/>
      <w:marLeft w:val="0"/>
      <w:marRight w:val="0"/>
      <w:marTop w:val="0"/>
      <w:marBottom w:val="0"/>
      <w:divBdr>
        <w:top w:val="none" w:sz="0" w:space="0" w:color="auto"/>
        <w:left w:val="none" w:sz="0" w:space="0" w:color="auto"/>
        <w:bottom w:val="none" w:sz="0" w:space="0" w:color="auto"/>
        <w:right w:val="none" w:sz="0" w:space="0" w:color="auto"/>
      </w:divBdr>
    </w:div>
    <w:div w:id="786393893">
      <w:bodyDiv w:val="1"/>
      <w:marLeft w:val="0"/>
      <w:marRight w:val="0"/>
      <w:marTop w:val="0"/>
      <w:marBottom w:val="0"/>
      <w:divBdr>
        <w:top w:val="none" w:sz="0" w:space="0" w:color="auto"/>
        <w:left w:val="none" w:sz="0" w:space="0" w:color="auto"/>
        <w:bottom w:val="none" w:sz="0" w:space="0" w:color="auto"/>
        <w:right w:val="none" w:sz="0" w:space="0" w:color="auto"/>
      </w:divBdr>
    </w:div>
    <w:div w:id="810296003">
      <w:bodyDiv w:val="1"/>
      <w:marLeft w:val="0"/>
      <w:marRight w:val="0"/>
      <w:marTop w:val="0"/>
      <w:marBottom w:val="0"/>
      <w:divBdr>
        <w:top w:val="none" w:sz="0" w:space="0" w:color="auto"/>
        <w:left w:val="none" w:sz="0" w:space="0" w:color="auto"/>
        <w:bottom w:val="none" w:sz="0" w:space="0" w:color="auto"/>
        <w:right w:val="none" w:sz="0" w:space="0" w:color="auto"/>
      </w:divBdr>
    </w:div>
    <w:div w:id="814447279">
      <w:bodyDiv w:val="1"/>
      <w:marLeft w:val="0"/>
      <w:marRight w:val="0"/>
      <w:marTop w:val="0"/>
      <w:marBottom w:val="0"/>
      <w:divBdr>
        <w:top w:val="none" w:sz="0" w:space="0" w:color="auto"/>
        <w:left w:val="none" w:sz="0" w:space="0" w:color="auto"/>
        <w:bottom w:val="none" w:sz="0" w:space="0" w:color="auto"/>
        <w:right w:val="none" w:sz="0" w:space="0" w:color="auto"/>
      </w:divBdr>
    </w:div>
    <w:div w:id="880245446">
      <w:bodyDiv w:val="1"/>
      <w:marLeft w:val="0"/>
      <w:marRight w:val="0"/>
      <w:marTop w:val="0"/>
      <w:marBottom w:val="0"/>
      <w:divBdr>
        <w:top w:val="none" w:sz="0" w:space="0" w:color="auto"/>
        <w:left w:val="none" w:sz="0" w:space="0" w:color="auto"/>
        <w:bottom w:val="none" w:sz="0" w:space="0" w:color="auto"/>
        <w:right w:val="none" w:sz="0" w:space="0" w:color="auto"/>
      </w:divBdr>
    </w:div>
    <w:div w:id="913124491">
      <w:bodyDiv w:val="1"/>
      <w:marLeft w:val="0"/>
      <w:marRight w:val="0"/>
      <w:marTop w:val="0"/>
      <w:marBottom w:val="0"/>
      <w:divBdr>
        <w:top w:val="none" w:sz="0" w:space="0" w:color="auto"/>
        <w:left w:val="none" w:sz="0" w:space="0" w:color="auto"/>
        <w:bottom w:val="none" w:sz="0" w:space="0" w:color="auto"/>
        <w:right w:val="none" w:sz="0" w:space="0" w:color="auto"/>
      </w:divBdr>
    </w:div>
    <w:div w:id="920286704">
      <w:bodyDiv w:val="1"/>
      <w:marLeft w:val="0"/>
      <w:marRight w:val="0"/>
      <w:marTop w:val="0"/>
      <w:marBottom w:val="0"/>
      <w:divBdr>
        <w:top w:val="none" w:sz="0" w:space="0" w:color="auto"/>
        <w:left w:val="none" w:sz="0" w:space="0" w:color="auto"/>
        <w:bottom w:val="none" w:sz="0" w:space="0" w:color="auto"/>
        <w:right w:val="none" w:sz="0" w:space="0" w:color="auto"/>
      </w:divBdr>
    </w:div>
    <w:div w:id="965354334">
      <w:bodyDiv w:val="1"/>
      <w:marLeft w:val="0"/>
      <w:marRight w:val="0"/>
      <w:marTop w:val="0"/>
      <w:marBottom w:val="0"/>
      <w:divBdr>
        <w:top w:val="none" w:sz="0" w:space="0" w:color="auto"/>
        <w:left w:val="none" w:sz="0" w:space="0" w:color="auto"/>
        <w:bottom w:val="none" w:sz="0" w:space="0" w:color="auto"/>
        <w:right w:val="none" w:sz="0" w:space="0" w:color="auto"/>
      </w:divBdr>
    </w:div>
    <w:div w:id="1045178166">
      <w:bodyDiv w:val="1"/>
      <w:marLeft w:val="0"/>
      <w:marRight w:val="0"/>
      <w:marTop w:val="0"/>
      <w:marBottom w:val="0"/>
      <w:divBdr>
        <w:top w:val="none" w:sz="0" w:space="0" w:color="auto"/>
        <w:left w:val="none" w:sz="0" w:space="0" w:color="auto"/>
        <w:bottom w:val="none" w:sz="0" w:space="0" w:color="auto"/>
        <w:right w:val="none" w:sz="0" w:space="0" w:color="auto"/>
      </w:divBdr>
    </w:div>
    <w:div w:id="1240795968">
      <w:bodyDiv w:val="1"/>
      <w:marLeft w:val="0"/>
      <w:marRight w:val="0"/>
      <w:marTop w:val="0"/>
      <w:marBottom w:val="0"/>
      <w:divBdr>
        <w:top w:val="none" w:sz="0" w:space="0" w:color="auto"/>
        <w:left w:val="none" w:sz="0" w:space="0" w:color="auto"/>
        <w:bottom w:val="none" w:sz="0" w:space="0" w:color="auto"/>
        <w:right w:val="none" w:sz="0" w:space="0" w:color="auto"/>
      </w:divBdr>
    </w:div>
    <w:div w:id="1246262532">
      <w:bodyDiv w:val="1"/>
      <w:marLeft w:val="0"/>
      <w:marRight w:val="0"/>
      <w:marTop w:val="0"/>
      <w:marBottom w:val="0"/>
      <w:divBdr>
        <w:top w:val="none" w:sz="0" w:space="0" w:color="auto"/>
        <w:left w:val="none" w:sz="0" w:space="0" w:color="auto"/>
        <w:bottom w:val="none" w:sz="0" w:space="0" w:color="auto"/>
        <w:right w:val="none" w:sz="0" w:space="0" w:color="auto"/>
      </w:divBdr>
    </w:div>
    <w:div w:id="1417635154">
      <w:bodyDiv w:val="1"/>
      <w:marLeft w:val="0"/>
      <w:marRight w:val="0"/>
      <w:marTop w:val="0"/>
      <w:marBottom w:val="0"/>
      <w:divBdr>
        <w:top w:val="none" w:sz="0" w:space="0" w:color="auto"/>
        <w:left w:val="none" w:sz="0" w:space="0" w:color="auto"/>
        <w:bottom w:val="none" w:sz="0" w:space="0" w:color="auto"/>
        <w:right w:val="none" w:sz="0" w:space="0" w:color="auto"/>
      </w:divBdr>
    </w:div>
    <w:div w:id="1658923773">
      <w:bodyDiv w:val="1"/>
      <w:marLeft w:val="0"/>
      <w:marRight w:val="0"/>
      <w:marTop w:val="0"/>
      <w:marBottom w:val="0"/>
      <w:divBdr>
        <w:top w:val="none" w:sz="0" w:space="0" w:color="auto"/>
        <w:left w:val="none" w:sz="0" w:space="0" w:color="auto"/>
        <w:bottom w:val="none" w:sz="0" w:space="0" w:color="auto"/>
        <w:right w:val="none" w:sz="0" w:space="0" w:color="auto"/>
      </w:divBdr>
    </w:div>
    <w:div w:id="1659916763">
      <w:bodyDiv w:val="1"/>
      <w:marLeft w:val="0"/>
      <w:marRight w:val="0"/>
      <w:marTop w:val="0"/>
      <w:marBottom w:val="0"/>
      <w:divBdr>
        <w:top w:val="none" w:sz="0" w:space="0" w:color="auto"/>
        <w:left w:val="none" w:sz="0" w:space="0" w:color="auto"/>
        <w:bottom w:val="none" w:sz="0" w:space="0" w:color="auto"/>
        <w:right w:val="none" w:sz="0" w:space="0" w:color="auto"/>
      </w:divBdr>
      <w:divsChild>
        <w:div w:id="576473367">
          <w:marLeft w:val="0"/>
          <w:marRight w:val="0"/>
          <w:marTop w:val="0"/>
          <w:marBottom w:val="0"/>
          <w:divBdr>
            <w:top w:val="none" w:sz="0" w:space="0" w:color="auto"/>
            <w:left w:val="none" w:sz="0" w:space="0" w:color="auto"/>
            <w:bottom w:val="none" w:sz="0" w:space="0" w:color="auto"/>
            <w:right w:val="none" w:sz="0" w:space="0" w:color="auto"/>
          </w:divBdr>
        </w:div>
        <w:div w:id="465700204">
          <w:marLeft w:val="0"/>
          <w:marRight w:val="0"/>
          <w:marTop w:val="0"/>
          <w:marBottom w:val="0"/>
          <w:divBdr>
            <w:top w:val="none" w:sz="0" w:space="0" w:color="auto"/>
            <w:left w:val="none" w:sz="0" w:space="0" w:color="auto"/>
            <w:bottom w:val="none" w:sz="0" w:space="0" w:color="auto"/>
            <w:right w:val="none" w:sz="0" w:space="0" w:color="auto"/>
          </w:divBdr>
        </w:div>
        <w:div w:id="50615462">
          <w:marLeft w:val="0"/>
          <w:marRight w:val="0"/>
          <w:marTop w:val="0"/>
          <w:marBottom w:val="0"/>
          <w:divBdr>
            <w:top w:val="none" w:sz="0" w:space="0" w:color="auto"/>
            <w:left w:val="none" w:sz="0" w:space="0" w:color="auto"/>
            <w:bottom w:val="none" w:sz="0" w:space="0" w:color="auto"/>
            <w:right w:val="none" w:sz="0" w:space="0" w:color="auto"/>
          </w:divBdr>
        </w:div>
        <w:div w:id="349795777">
          <w:marLeft w:val="0"/>
          <w:marRight w:val="0"/>
          <w:marTop w:val="0"/>
          <w:marBottom w:val="0"/>
          <w:divBdr>
            <w:top w:val="none" w:sz="0" w:space="0" w:color="auto"/>
            <w:left w:val="none" w:sz="0" w:space="0" w:color="auto"/>
            <w:bottom w:val="none" w:sz="0" w:space="0" w:color="auto"/>
            <w:right w:val="none" w:sz="0" w:space="0" w:color="auto"/>
          </w:divBdr>
        </w:div>
        <w:div w:id="119232390">
          <w:marLeft w:val="0"/>
          <w:marRight w:val="0"/>
          <w:marTop w:val="0"/>
          <w:marBottom w:val="0"/>
          <w:divBdr>
            <w:top w:val="none" w:sz="0" w:space="0" w:color="auto"/>
            <w:left w:val="none" w:sz="0" w:space="0" w:color="auto"/>
            <w:bottom w:val="none" w:sz="0" w:space="0" w:color="auto"/>
            <w:right w:val="none" w:sz="0" w:space="0" w:color="auto"/>
          </w:divBdr>
        </w:div>
        <w:div w:id="1278217950">
          <w:marLeft w:val="0"/>
          <w:marRight w:val="0"/>
          <w:marTop w:val="0"/>
          <w:marBottom w:val="0"/>
          <w:divBdr>
            <w:top w:val="none" w:sz="0" w:space="0" w:color="auto"/>
            <w:left w:val="none" w:sz="0" w:space="0" w:color="auto"/>
            <w:bottom w:val="none" w:sz="0" w:space="0" w:color="auto"/>
            <w:right w:val="none" w:sz="0" w:space="0" w:color="auto"/>
          </w:divBdr>
        </w:div>
        <w:div w:id="1469398164">
          <w:marLeft w:val="0"/>
          <w:marRight w:val="0"/>
          <w:marTop w:val="0"/>
          <w:marBottom w:val="0"/>
          <w:divBdr>
            <w:top w:val="none" w:sz="0" w:space="0" w:color="auto"/>
            <w:left w:val="none" w:sz="0" w:space="0" w:color="auto"/>
            <w:bottom w:val="none" w:sz="0" w:space="0" w:color="auto"/>
            <w:right w:val="none" w:sz="0" w:space="0" w:color="auto"/>
          </w:divBdr>
        </w:div>
        <w:div w:id="120344250">
          <w:marLeft w:val="0"/>
          <w:marRight w:val="0"/>
          <w:marTop w:val="0"/>
          <w:marBottom w:val="0"/>
          <w:divBdr>
            <w:top w:val="none" w:sz="0" w:space="0" w:color="auto"/>
            <w:left w:val="none" w:sz="0" w:space="0" w:color="auto"/>
            <w:bottom w:val="none" w:sz="0" w:space="0" w:color="auto"/>
            <w:right w:val="none" w:sz="0" w:space="0" w:color="auto"/>
          </w:divBdr>
        </w:div>
        <w:div w:id="1602569846">
          <w:marLeft w:val="0"/>
          <w:marRight w:val="0"/>
          <w:marTop w:val="0"/>
          <w:marBottom w:val="0"/>
          <w:divBdr>
            <w:top w:val="none" w:sz="0" w:space="0" w:color="auto"/>
            <w:left w:val="none" w:sz="0" w:space="0" w:color="auto"/>
            <w:bottom w:val="none" w:sz="0" w:space="0" w:color="auto"/>
            <w:right w:val="none" w:sz="0" w:space="0" w:color="auto"/>
          </w:divBdr>
        </w:div>
        <w:div w:id="1213543567">
          <w:marLeft w:val="0"/>
          <w:marRight w:val="0"/>
          <w:marTop w:val="0"/>
          <w:marBottom w:val="0"/>
          <w:divBdr>
            <w:top w:val="none" w:sz="0" w:space="0" w:color="auto"/>
            <w:left w:val="none" w:sz="0" w:space="0" w:color="auto"/>
            <w:bottom w:val="none" w:sz="0" w:space="0" w:color="auto"/>
            <w:right w:val="none" w:sz="0" w:space="0" w:color="auto"/>
          </w:divBdr>
        </w:div>
      </w:divsChild>
    </w:div>
    <w:div w:id="1704329974">
      <w:bodyDiv w:val="1"/>
      <w:marLeft w:val="0"/>
      <w:marRight w:val="0"/>
      <w:marTop w:val="0"/>
      <w:marBottom w:val="0"/>
      <w:divBdr>
        <w:top w:val="none" w:sz="0" w:space="0" w:color="auto"/>
        <w:left w:val="none" w:sz="0" w:space="0" w:color="auto"/>
        <w:bottom w:val="none" w:sz="0" w:space="0" w:color="auto"/>
        <w:right w:val="none" w:sz="0" w:space="0" w:color="auto"/>
      </w:divBdr>
    </w:div>
    <w:div w:id="1761638098">
      <w:bodyDiv w:val="1"/>
      <w:marLeft w:val="0"/>
      <w:marRight w:val="0"/>
      <w:marTop w:val="0"/>
      <w:marBottom w:val="0"/>
      <w:divBdr>
        <w:top w:val="none" w:sz="0" w:space="0" w:color="auto"/>
        <w:left w:val="none" w:sz="0" w:space="0" w:color="auto"/>
        <w:bottom w:val="none" w:sz="0" w:space="0" w:color="auto"/>
        <w:right w:val="none" w:sz="0" w:space="0" w:color="auto"/>
      </w:divBdr>
    </w:div>
    <w:div w:id="1849366871">
      <w:bodyDiv w:val="1"/>
      <w:marLeft w:val="0"/>
      <w:marRight w:val="0"/>
      <w:marTop w:val="0"/>
      <w:marBottom w:val="0"/>
      <w:divBdr>
        <w:top w:val="none" w:sz="0" w:space="0" w:color="auto"/>
        <w:left w:val="none" w:sz="0" w:space="0" w:color="auto"/>
        <w:bottom w:val="none" w:sz="0" w:space="0" w:color="auto"/>
        <w:right w:val="none" w:sz="0" w:space="0" w:color="auto"/>
      </w:divBdr>
    </w:div>
    <w:div w:id="1912344832">
      <w:bodyDiv w:val="1"/>
      <w:marLeft w:val="0"/>
      <w:marRight w:val="0"/>
      <w:marTop w:val="0"/>
      <w:marBottom w:val="0"/>
      <w:divBdr>
        <w:top w:val="none" w:sz="0" w:space="0" w:color="auto"/>
        <w:left w:val="none" w:sz="0" w:space="0" w:color="auto"/>
        <w:bottom w:val="none" w:sz="0" w:space="0" w:color="auto"/>
        <w:right w:val="none" w:sz="0" w:space="0" w:color="auto"/>
      </w:divBdr>
    </w:div>
    <w:div w:id="1913730746">
      <w:bodyDiv w:val="1"/>
      <w:marLeft w:val="0"/>
      <w:marRight w:val="0"/>
      <w:marTop w:val="0"/>
      <w:marBottom w:val="0"/>
      <w:divBdr>
        <w:top w:val="none" w:sz="0" w:space="0" w:color="auto"/>
        <w:left w:val="none" w:sz="0" w:space="0" w:color="auto"/>
        <w:bottom w:val="none" w:sz="0" w:space="0" w:color="auto"/>
        <w:right w:val="none" w:sz="0" w:space="0" w:color="auto"/>
      </w:divBdr>
    </w:div>
    <w:div w:id="1965429675">
      <w:bodyDiv w:val="1"/>
      <w:marLeft w:val="0"/>
      <w:marRight w:val="0"/>
      <w:marTop w:val="0"/>
      <w:marBottom w:val="0"/>
      <w:divBdr>
        <w:top w:val="none" w:sz="0" w:space="0" w:color="auto"/>
        <w:left w:val="none" w:sz="0" w:space="0" w:color="auto"/>
        <w:bottom w:val="none" w:sz="0" w:space="0" w:color="auto"/>
        <w:right w:val="none" w:sz="0" w:space="0" w:color="auto"/>
      </w:divBdr>
    </w:div>
    <w:div w:id="207547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itu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ytas.stalnionis@citu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431DE-0EC2-4396-8B2F-442BEFDEF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1472</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Rytas</dc:creator>
  <cp:keywords/>
  <dc:description/>
  <cp:lastModifiedBy>Rytas Stalnionis</cp:lastModifiedBy>
  <cp:revision>4</cp:revision>
  <cp:lastPrinted>2018-09-12T07:36:00Z</cp:lastPrinted>
  <dcterms:created xsi:type="dcterms:W3CDTF">2020-03-12T12:38:00Z</dcterms:created>
  <dcterms:modified xsi:type="dcterms:W3CDTF">2020-03-12T12:48:00Z</dcterms:modified>
</cp:coreProperties>
</file>