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5B6B9" w14:textId="6761C3FD" w:rsidR="00177F44" w:rsidRPr="00EE2BEA" w:rsidRDefault="0035193F">
      <w:pPr>
        <w:rPr>
          <w:rFonts w:ascii="Open Sans Light" w:hAnsi="Open Sans Light" w:cs="Open Sans Light"/>
          <w:b/>
          <w:bCs/>
          <w:sz w:val="28"/>
          <w:szCs w:val="32"/>
        </w:rPr>
      </w:pPr>
      <w:r w:rsidRPr="0035193F">
        <w:rPr>
          <w:rFonts w:ascii="Open Sans Light" w:hAnsi="Open Sans Light" w:cs="Open Sans Light"/>
          <w:b/>
          <w:bCs/>
          <w:sz w:val="28"/>
          <w:szCs w:val="32"/>
        </w:rPr>
        <w:t>Viktorija Vanagė NT įmonėms linki drąsos: net ir didiesiems bankams „užsukus kranelius“ pinigų rinkoje – daugiau nei pakankamai</w:t>
      </w:r>
    </w:p>
    <w:p w14:paraId="51A17D40" w14:textId="73590AED" w:rsidR="00177F44" w:rsidRPr="001E7A0E" w:rsidRDefault="003B2FB1">
      <w:pPr>
        <w:rPr>
          <w:rFonts w:ascii="Open Sans Light" w:hAnsi="Open Sans Light" w:cs="Open Sans Light"/>
          <w:i/>
          <w:iCs/>
          <w:sz w:val="16"/>
          <w:szCs w:val="16"/>
        </w:rPr>
      </w:pPr>
      <w:r w:rsidRPr="001E7A0E">
        <w:rPr>
          <w:rFonts w:ascii="Open Sans Light" w:hAnsi="Open Sans Light" w:cs="Open Sans Light"/>
          <w:i/>
          <w:iCs/>
          <w:sz w:val="16"/>
          <w:szCs w:val="16"/>
        </w:rPr>
        <w:t>2020 m. rug</w:t>
      </w:r>
      <w:r w:rsidR="001C03EE">
        <w:rPr>
          <w:rFonts w:ascii="Open Sans Light" w:hAnsi="Open Sans Light" w:cs="Open Sans Light"/>
          <w:i/>
          <w:iCs/>
          <w:sz w:val="16"/>
          <w:szCs w:val="16"/>
        </w:rPr>
        <w:t>sėjo</w:t>
      </w:r>
      <w:r w:rsidRPr="001E7A0E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 w:rsidR="001C03EE">
        <w:rPr>
          <w:rFonts w:ascii="Open Sans Light" w:hAnsi="Open Sans Light" w:cs="Open Sans Light"/>
          <w:i/>
          <w:iCs/>
          <w:sz w:val="16"/>
          <w:szCs w:val="16"/>
        </w:rPr>
        <w:t>3</w:t>
      </w:r>
      <w:r w:rsidRPr="001E7A0E">
        <w:rPr>
          <w:rFonts w:ascii="Open Sans Light" w:hAnsi="Open Sans Light" w:cs="Open Sans Light"/>
          <w:i/>
          <w:iCs/>
          <w:sz w:val="16"/>
          <w:szCs w:val="16"/>
        </w:rPr>
        <w:t xml:space="preserve"> d.</w:t>
      </w:r>
    </w:p>
    <w:p w14:paraId="33A0CFB3" w14:textId="77777777" w:rsidR="008E2D60" w:rsidRDefault="008E2D60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2183A5B" w14:textId="79E017D2" w:rsidR="00EE2BEA" w:rsidRPr="00EE2BEA" w:rsidRDefault="00EE2BEA" w:rsidP="00546DB6">
      <w:pPr>
        <w:rPr>
          <w:rFonts w:ascii="Open Sans Light" w:hAnsi="Open Sans Light" w:cs="Open Sans Light"/>
          <w:i/>
          <w:iCs/>
          <w:sz w:val="20"/>
          <w:szCs w:val="20"/>
        </w:rPr>
      </w:pPr>
      <w:r>
        <w:rPr>
          <w:rFonts w:ascii="Open Sans Light" w:hAnsi="Open Sans Light" w:cs="Open Sans Light"/>
          <w:i/>
          <w:iCs/>
          <w:sz w:val="20"/>
          <w:szCs w:val="20"/>
        </w:rPr>
        <w:t xml:space="preserve">Viktorija </w:t>
      </w:r>
      <w:r w:rsidR="00862D84">
        <w:rPr>
          <w:rFonts w:ascii="Open Sans Light" w:hAnsi="Open Sans Light" w:cs="Open Sans Light"/>
          <w:i/>
          <w:iCs/>
          <w:sz w:val="20"/>
          <w:szCs w:val="20"/>
        </w:rPr>
        <w:t xml:space="preserve">Vanagė, sutelktinio </w:t>
      </w:r>
      <w:proofErr w:type="spellStart"/>
      <w:r w:rsidR="00862D84">
        <w:rPr>
          <w:rFonts w:ascii="Open Sans Light" w:hAnsi="Open Sans Light" w:cs="Open Sans Light"/>
          <w:i/>
          <w:iCs/>
          <w:sz w:val="20"/>
          <w:szCs w:val="20"/>
        </w:rPr>
        <w:t>finsansavimo</w:t>
      </w:r>
      <w:proofErr w:type="spellEnd"/>
      <w:r w:rsidR="00862D84">
        <w:rPr>
          <w:rFonts w:ascii="Open Sans Light" w:hAnsi="Open Sans Light" w:cs="Open Sans Light"/>
          <w:i/>
          <w:iCs/>
          <w:sz w:val="20"/>
          <w:szCs w:val="20"/>
        </w:rPr>
        <w:t xml:space="preserve"> platformos PROFITUS įkūrėja ir vadovė</w:t>
      </w:r>
    </w:p>
    <w:p w14:paraId="712BAAFE" w14:textId="706FC804" w:rsidR="00D0064C" w:rsidRDefault="00767FC0" w:rsidP="00546DB6">
      <w:pPr>
        <w:rPr>
          <w:rFonts w:ascii="Open Sans Light" w:hAnsi="Open Sans Light" w:cs="Open Sans Light"/>
          <w:b/>
          <w:bCs/>
          <w:sz w:val="20"/>
          <w:szCs w:val="20"/>
        </w:rPr>
      </w:pPr>
      <w:r>
        <w:rPr>
          <w:rFonts w:ascii="Open Sans Light" w:hAnsi="Open Sans Light" w:cs="Open Sans Light"/>
          <w:b/>
          <w:bCs/>
          <w:sz w:val="20"/>
          <w:szCs w:val="20"/>
        </w:rPr>
        <w:t>Šie metai sutelktinio finansavimo platformoms bu</w:t>
      </w:r>
      <w:r w:rsidR="000E2A23">
        <w:rPr>
          <w:rFonts w:ascii="Open Sans Light" w:hAnsi="Open Sans Light" w:cs="Open Sans Light"/>
          <w:b/>
          <w:bCs/>
          <w:sz w:val="20"/>
          <w:szCs w:val="20"/>
        </w:rPr>
        <w:t>s</w:t>
      </w:r>
      <w:r>
        <w:rPr>
          <w:rFonts w:ascii="Open Sans Light" w:hAnsi="Open Sans Light" w:cs="Open Sans Light"/>
          <w:b/>
          <w:bCs/>
          <w:sz w:val="20"/>
          <w:szCs w:val="20"/>
        </w:rPr>
        <w:t xml:space="preserve"> sėkming</w:t>
      </w:r>
      <w:r w:rsidR="000E2A23">
        <w:rPr>
          <w:rFonts w:ascii="Open Sans Light" w:hAnsi="Open Sans Light" w:cs="Open Sans Light"/>
          <w:b/>
          <w:bCs/>
          <w:sz w:val="20"/>
          <w:szCs w:val="20"/>
        </w:rPr>
        <w:t>esni nei ramūs ir augimo pažymėti pernykščiai</w:t>
      </w:r>
      <w:r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D0064C">
        <w:rPr>
          <w:rFonts w:ascii="Open Sans Light" w:hAnsi="Open Sans Light" w:cs="Open Sans Light"/>
          <w:b/>
          <w:bCs/>
          <w:sz w:val="20"/>
          <w:szCs w:val="20"/>
        </w:rPr>
        <w:t>Tokias tendencijas formuoja besitraukiantis bankų finansavimas</w:t>
      </w:r>
      <w:r w:rsidR="00C62DED">
        <w:rPr>
          <w:rFonts w:ascii="Open Sans Light" w:hAnsi="Open Sans Light" w:cs="Open Sans Light"/>
          <w:b/>
          <w:bCs/>
          <w:sz w:val="20"/>
          <w:szCs w:val="20"/>
        </w:rPr>
        <w:t xml:space="preserve"> – kaip mėgstama sakyti, „prisukti kraneliai“ – </w:t>
      </w:r>
      <w:r w:rsidR="00D0064C">
        <w:rPr>
          <w:rFonts w:ascii="Open Sans Light" w:hAnsi="Open Sans Light" w:cs="Open Sans Light"/>
          <w:b/>
          <w:bCs/>
          <w:sz w:val="20"/>
          <w:szCs w:val="20"/>
        </w:rPr>
        <w:t>NT projektams ir kol kas neslūgstantis šios rinkos patrauklumas.</w:t>
      </w:r>
    </w:p>
    <w:p w14:paraId="7E076D60" w14:textId="77777777" w:rsidR="00D0064C" w:rsidRDefault="00D0064C" w:rsidP="00546DB6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37202878" w14:textId="785F95E6" w:rsidR="0005379C" w:rsidRDefault="009B7218" w:rsidP="00546DB6">
      <w:pPr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Greičiau nei prognozuota po karantino atsigaunant Lietuvos būsto rinkai ir augant būsto paklausai, verslo poreikis skolintis NT projektų plėtrai taip pat išlieka </w:t>
      </w:r>
      <w:r w:rsidR="00E17DEF">
        <w:rPr>
          <w:rFonts w:ascii="Open Sans Light" w:hAnsi="Open Sans Light" w:cs="Open Sans Light"/>
          <w:sz w:val="20"/>
          <w:szCs w:val="20"/>
        </w:rPr>
        <w:t>didelis</w:t>
      </w:r>
      <w:r>
        <w:rPr>
          <w:rFonts w:ascii="Open Sans Light" w:hAnsi="Open Sans Light" w:cs="Open Sans Light"/>
          <w:sz w:val="20"/>
          <w:szCs w:val="20"/>
        </w:rPr>
        <w:t xml:space="preserve">. </w:t>
      </w:r>
      <w:r w:rsidR="0005379C">
        <w:rPr>
          <w:rFonts w:ascii="Open Sans Light" w:hAnsi="Open Sans Light" w:cs="Open Sans Light"/>
          <w:sz w:val="20"/>
          <w:szCs w:val="20"/>
        </w:rPr>
        <w:t xml:space="preserve">Tuo tarpu bankams </w:t>
      </w:r>
      <w:r w:rsidR="0005379C" w:rsidRPr="00546DB6">
        <w:rPr>
          <w:rFonts w:ascii="Open Sans Light" w:hAnsi="Open Sans Light" w:cs="Open Sans Light"/>
          <w:sz w:val="20"/>
          <w:szCs w:val="20"/>
        </w:rPr>
        <w:t>NT verslą ėm</w:t>
      </w:r>
      <w:r w:rsidR="0005379C">
        <w:rPr>
          <w:rFonts w:ascii="Open Sans Light" w:hAnsi="Open Sans Light" w:cs="Open Sans Light"/>
          <w:sz w:val="20"/>
          <w:szCs w:val="20"/>
        </w:rPr>
        <w:t>us</w:t>
      </w:r>
      <w:r w:rsidR="0005379C" w:rsidRPr="00546DB6">
        <w:rPr>
          <w:rFonts w:ascii="Open Sans Light" w:hAnsi="Open Sans Light" w:cs="Open Sans Light"/>
          <w:sz w:val="20"/>
          <w:szCs w:val="20"/>
        </w:rPr>
        <w:t xml:space="preserve"> vertinti kaip padidintos rizikos sektorių</w:t>
      </w:r>
      <w:r w:rsidR="0005379C">
        <w:rPr>
          <w:rFonts w:ascii="Open Sans Light" w:hAnsi="Open Sans Light" w:cs="Open Sans Light"/>
          <w:sz w:val="20"/>
          <w:szCs w:val="20"/>
        </w:rPr>
        <w:t xml:space="preserve">, </w:t>
      </w:r>
      <w:r w:rsidR="000E2A23">
        <w:rPr>
          <w:rFonts w:ascii="Open Sans Light" w:hAnsi="Open Sans Light" w:cs="Open Sans Light"/>
          <w:sz w:val="20"/>
          <w:szCs w:val="20"/>
        </w:rPr>
        <w:t>tenka</w:t>
      </w:r>
      <w:r w:rsidR="0005379C">
        <w:rPr>
          <w:rFonts w:ascii="Open Sans Light" w:hAnsi="Open Sans Light" w:cs="Open Sans Light"/>
          <w:sz w:val="20"/>
          <w:szCs w:val="20"/>
        </w:rPr>
        <w:t xml:space="preserve"> ieškoti alternatyvių finansavimo šaltinių</w:t>
      </w:r>
      <w:r w:rsidR="00C62DED">
        <w:rPr>
          <w:rFonts w:ascii="Open Sans Light" w:hAnsi="Open Sans Light" w:cs="Open Sans Light"/>
          <w:sz w:val="20"/>
          <w:szCs w:val="20"/>
        </w:rPr>
        <w:t>. T</w:t>
      </w:r>
      <w:r w:rsidR="0005379C">
        <w:rPr>
          <w:rFonts w:ascii="Open Sans Light" w:hAnsi="Open Sans Light" w:cs="Open Sans Light"/>
          <w:sz w:val="20"/>
          <w:szCs w:val="20"/>
        </w:rPr>
        <w:t xml:space="preserve">aigi jie </w:t>
      </w:r>
      <w:r w:rsidR="00C62DED">
        <w:rPr>
          <w:rFonts w:ascii="Open Sans Light" w:hAnsi="Open Sans Light" w:cs="Open Sans Light"/>
          <w:sz w:val="20"/>
          <w:szCs w:val="20"/>
        </w:rPr>
        <w:t xml:space="preserve">vis dažniau </w:t>
      </w:r>
      <w:r w:rsidR="0005379C">
        <w:rPr>
          <w:rFonts w:ascii="Open Sans Light" w:hAnsi="Open Sans Light" w:cs="Open Sans Light"/>
          <w:sz w:val="20"/>
          <w:szCs w:val="20"/>
        </w:rPr>
        <w:t>kreip</w:t>
      </w:r>
      <w:r w:rsidR="00C62DED">
        <w:rPr>
          <w:rFonts w:ascii="Open Sans Light" w:hAnsi="Open Sans Light" w:cs="Open Sans Light"/>
          <w:sz w:val="20"/>
          <w:szCs w:val="20"/>
        </w:rPr>
        <w:t>ia</w:t>
      </w:r>
      <w:r w:rsidR="0005379C">
        <w:rPr>
          <w:rFonts w:ascii="Open Sans Light" w:hAnsi="Open Sans Light" w:cs="Open Sans Light"/>
          <w:sz w:val="20"/>
          <w:szCs w:val="20"/>
        </w:rPr>
        <w:t xml:space="preserve">si į sutelktinio finansavimo platformas, kur projektai </w:t>
      </w:r>
      <w:r w:rsidR="0005379C" w:rsidRPr="00546DB6">
        <w:rPr>
          <w:rFonts w:ascii="Open Sans Light" w:hAnsi="Open Sans Light" w:cs="Open Sans Light"/>
          <w:sz w:val="20"/>
          <w:szCs w:val="20"/>
        </w:rPr>
        <w:t xml:space="preserve">net ir karantino metu buvo finansuojami greitai, o platformos </w:t>
      </w:r>
      <w:r w:rsidR="0005379C">
        <w:rPr>
          <w:rFonts w:ascii="Open Sans Light" w:hAnsi="Open Sans Light" w:cs="Open Sans Light"/>
          <w:sz w:val="20"/>
          <w:szCs w:val="20"/>
        </w:rPr>
        <w:t xml:space="preserve">visada galėjo </w:t>
      </w:r>
      <w:r w:rsidR="0005379C" w:rsidRPr="00546DB6">
        <w:rPr>
          <w:rFonts w:ascii="Open Sans Light" w:hAnsi="Open Sans Light" w:cs="Open Sans Light"/>
          <w:sz w:val="20"/>
          <w:szCs w:val="20"/>
        </w:rPr>
        <w:t xml:space="preserve">pasiūlyti </w:t>
      </w:r>
      <w:r w:rsidR="00C62DED">
        <w:rPr>
          <w:rFonts w:ascii="Open Sans Light" w:hAnsi="Open Sans Light" w:cs="Open Sans Light"/>
          <w:sz w:val="20"/>
          <w:szCs w:val="20"/>
        </w:rPr>
        <w:t>trumpai trunkančias</w:t>
      </w:r>
      <w:r w:rsidR="0005379C">
        <w:rPr>
          <w:rFonts w:ascii="Open Sans Light" w:hAnsi="Open Sans Light" w:cs="Open Sans Light"/>
          <w:sz w:val="20"/>
          <w:szCs w:val="20"/>
        </w:rPr>
        <w:t xml:space="preserve"> procedūras.</w:t>
      </w:r>
    </w:p>
    <w:p w14:paraId="0D23CD83" w14:textId="318FE37F" w:rsidR="0053316B" w:rsidRDefault="0053316B" w:rsidP="00546DB6">
      <w:pPr>
        <w:rPr>
          <w:rFonts w:ascii="Open Sans Light" w:hAnsi="Open Sans Light" w:cs="Open Sans Light"/>
          <w:sz w:val="20"/>
          <w:szCs w:val="20"/>
        </w:rPr>
      </w:pPr>
    </w:p>
    <w:p w14:paraId="78174EDB" w14:textId="32C25410" w:rsidR="0053316B" w:rsidRPr="0053316B" w:rsidRDefault="0053316B" w:rsidP="0053316B">
      <w:pPr>
        <w:pBdr>
          <w:top w:val="single" w:sz="12" w:space="3" w:color="FF4EFF"/>
          <w:left w:val="single" w:sz="12" w:space="3" w:color="FF4EFF"/>
          <w:bottom w:val="single" w:sz="12" w:space="3" w:color="FF4EFF"/>
          <w:right w:val="single" w:sz="12" w:space="3" w:color="FF4EFF"/>
        </w:pBdr>
        <w:ind w:left="284" w:right="276"/>
        <w:rPr>
          <w:rFonts w:ascii="Open Sans Light" w:hAnsi="Open Sans Light" w:cs="Open Sans Light"/>
          <w:i/>
          <w:iCs/>
          <w:sz w:val="18"/>
          <w:szCs w:val="18"/>
        </w:rPr>
      </w:pP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Per aštuonis šių metų mėnesius keturios Lietuvoje veikiančios sutelktinio finansavimo su nekilnojamojo turto (NT) įkeitimu platformos sutelkė 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>apie 2</w:t>
      </w:r>
      <w:r w:rsidR="002E0FB4">
        <w:rPr>
          <w:rFonts w:ascii="Open Sans Light" w:hAnsi="Open Sans Light" w:cs="Open Sans Light"/>
          <w:b/>
          <w:bCs/>
          <w:i/>
          <w:iCs/>
          <w:sz w:val="18"/>
          <w:szCs w:val="18"/>
        </w:rPr>
        <w:t>3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>,</w:t>
      </w:r>
      <w:r w:rsidR="002E0FB4">
        <w:rPr>
          <w:rFonts w:ascii="Open Sans Light" w:hAnsi="Open Sans Light" w:cs="Open Sans Light"/>
          <w:b/>
          <w:bCs/>
          <w:i/>
          <w:iCs/>
          <w:sz w:val="18"/>
          <w:szCs w:val="18"/>
        </w:rPr>
        <w:t>3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 mln. eurų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>, rodo PROFITUS ir Lietuvos banko</w:t>
      </w:r>
      <w:r w:rsidR="002E0FB4">
        <w:rPr>
          <w:rFonts w:ascii="Open Sans Light" w:hAnsi="Open Sans Light" w:cs="Open Sans Light"/>
          <w:i/>
          <w:iCs/>
          <w:sz w:val="18"/>
          <w:szCs w:val="18"/>
        </w:rPr>
        <w:t xml:space="preserve"> (LB)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 duomenys. Vien per </w:t>
      </w:r>
      <w:r>
        <w:rPr>
          <w:rFonts w:ascii="Open Sans Light" w:hAnsi="Open Sans Light" w:cs="Open Sans Light"/>
          <w:i/>
          <w:iCs/>
          <w:sz w:val="18"/>
          <w:szCs w:val="18"/>
        </w:rPr>
        <w:t>rugpjūtį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 verslui ir NT projektų plėtrai per šias platformas buvo 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paskolinta </w:t>
      </w:r>
      <w:r w:rsidR="002E0FB4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apie 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>3,5 mln. Eur</w:t>
      </w:r>
      <w:r>
        <w:rPr>
          <w:rFonts w:ascii="Open Sans Light" w:hAnsi="Open Sans Light" w:cs="Open Sans Light"/>
          <w:i/>
          <w:iCs/>
          <w:sz w:val="18"/>
          <w:szCs w:val="18"/>
        </w:rPr>
        <w:t>: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daugiau buvo sutelkta tik vasario (5,3</w:t>
      </w:r>
      <w:r w:rsidR="002E0FB4">
        <w:rPr>
          <w:rFonts w:ascii="Open Sans Light" w:hAnsi="Open Sans Light" w:cs="Open Sans Light"/>
          <w:i/>
          <w:iCs/>
          <w:sz w:val="18"/>
          <w:szCs w:val="18"/>
        </w:rPr>
        <w:t xml:space="preserve"> mln. Eur</w:t>
      </w:r>
      <w:r>
        <w:rPr>
          <w:rFonts w:ascii="Open Sans Light" w:hAnsi="Open Sans Light" w:cs="Open Sans Light"/>
          <w:i/>
          <w:iCs/>
          <w:sz w:val="18"/>
          <w:szCs w:val="18"/>
        </w:rPr>
        <w:t>) ir birželio mėnesiais (3,6</w:t>
      </w:r>
      <w:r w:rsidR="002E0FB4">
        <w:rPr>
          <w:rFonts w:ascii="Open Sans Light" w:hAnsi="Open Sans Light" w:cs="Open Sans Light"/>
          <w:i/>
          <w:iCs/>
          <w:sz w:val="18"/>
          <w:szCs w:val="18"/>
        </w:rPr>
        <w:t xml:space="preserve"> mln. Eur</w:t>
      </w:r>
      <w:r>
        <w:rPr>
          <w:rFonts w:ascii="Open Sans Light" w:hAnsi="Open Sans Light" w:cs="Open Sans Light"/>
          <w:i/>
          <w:iCs/>
          <w:sz w:val="18"/>
          <w:szCs w:val="18"/>
        </w:rPr>
        <w:t>).</w:t>
      </w:r>
    </w:p>
    <w:p w14:paraId="6803ADFE" w14:textId="3F272704" w:rsidR="0005379C" w:rsidRDefault="0005379C" w:rsidP="00546DB6">
      <w:pPr>
        <w:rPr>
          <w:rFonts w:ascii="Open Sans Light" w:hAnsi="Open Sans Light" w:cs="Open Sans Light"/>
          <w:sz w:val="20"/>
          <w:szCs w:val="20"/>
        </w:rPr>
      </w:pPr>
    </w:p>
    <w:p w14:paraId="15EA48E6" w14:textId="34FFEF7B" w:rsidR="001F19B0" w:rsidRDefault="001F19B0" w:rsidP="00D0064C">
      <w:pPr>
        <w:jc w:val="center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A33668">
        <w:rPr>
          <w:rFonts w:ascii="Open Sans Light" w:hAnsi="Open Sans Light" w:cs="Open Sans Light"/>
          <w:i/>
          <w:iCs/>
          <w:noProof/>
          <w:sz w:val="20"/>
          <w:szCs w:val="20"/>
        </w:rPr>
        <w:drawing>
          <wp:inline distT="0" distB="0" distL="0" distR="0" wp14:anchorId="59931D2B" wp14:editId="004A550D">
            <wp:extent cx="6086666" cy="28800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66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14EF3" w14:textId="77777777" w:rsidR="00A33668" w:rsidRDefault="00A33668" w:rsidP="00A33668">
      <w:pPr>
        <w:jc w:val="right"/>
        <w:rPr>
          <w:rFonts w:ascii="Open Sans Light" w:hAnsi="Open Sans Light" w:cs="Open Sans Light"/>
          <w:i/>
          <w:iCs/>
          <w:sz w:val="16"/>
          <w:szCs w:val="16"/>
        </w:rPr>
      </w:pPr>
      <w:r w:rsidRPr="00546DB6">
        <w:rPr>
          <w:rFonts w:ascii="Open Sans Light" w:hAnsi="Open Sans Light" w:cs="Open Sans Light"/>
          <w:i/>
          <w:iCs/>
          <w:sz w:val="16"/>
          <w:szCs w:val="16"/>
        </w:rPr>
        <w:t xml:space="preserve">Grafikas nr. 1: Lietuvos NT sutelktinio finansavimo rinkos dinamika 2019–2020 m. (PROFITUS </w:t>
      </w:r>
      <w:proofErr w:type="spellStart"/>
      <w:r w:rsidRPr="00546DB6">
        <w:rPr>
          <w:rFonts w:ascii="Open Sans Light" w:hAnsi="Open Sans Light" w:cs="Open Sans Light"/>
          <w:i/>
          <w:iCs/>
          <w:sz w:val="16"/>
          <w:szCs w:val="16"/>
        </w:rPr>
        <w:t>inf</w:t>
      </w:r>
      <w:proofErr w:type="spellEnd"/>
      <w:r w:rsidRPr="00546DB6">
        <w:rPr>
          <w:rFonts w:ascii="Open Sans Light" w:hAnsi="Open Sans Light" w:cs="Open Sans Light"/>
          <w:i/>
          <w:iCs/>
          <w:sz w:val="16"/>
          <w:szCs w:val="16"/>
        </w:rPr>
        <w:t>.)</w:t>
      </w:r>
    </w:p>
    <w:p w14:paraId="0EC02629" w14:textId="77777777" w:rsidR="001F19B0" w:rsidRDefault="001F19B0" w:rsidP="00546DB6">
      <w:pPr>
        <w:rPr>
          <w:rFonts w:ascii="Open Sans Light" w:hAnsi="Open Sans Light" w:cs="Open Sans Light"/>
          <w:sz w:val="20"/>
          <w:szCs w:val="20"/>
        </w:rPr>
      </w:pPr>
    </w:p>
    <w:p w14:paraId="5C10A8C8" w14:textId="12FD4C6A" w:rsidR="0005379C" w:rsidRDefault="0005379C" w:rsidP="00546DB6">
      <w:pPr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Iš kitos pusės, labai aktyvūs buvo ir investuotojai. </w:t>
      </w:r>
      <w:r w:rsidRPr="00546DB6">
        <w:rPr>
          <w:rFonts w:ascii="Open Sans Light" w:hAnsi="Open Sans Light" w:cs="Open Sans Light"/>
          <w:sz w:val="20"/>
          <w:szCs w:val="20"/>
        </w:rPr>
        <w:t>Karantino metu, žmonės, turėdami daugiau laiko ir daugiau jo praleisdami internete, dažniau surado galimybę investuoti sutelktinio finansavimo platformose.</w:t>
      </w:r>
      <w:r>
        <w:rPr>
          <w:rFonts w:ascii="Open Sans Light" w:hAnsi="Open Sans Light" w:cs="Open Sans Light"/>
          <w:sz w:val="20"/>
          <w:szCs w:val="20"/>
        </w:rPr>
        <w:t xml:space="preserve"> Tačiau dar svarbesnis aspektas buvo tai, kad tam tikras „spaudimas“ investuoti yra išties didelis: namų ūkių turimas finansinis turtas auga, </w:t>
      </w:r>
      <w:r w:rsidR="00842C88">
        <w:rPr>
          <w:rFonts w:ascii="Open Sans Light" w:hAnsi="Open Sans Light" w:cs="Open Sans Light"/>
          <w:sz w:val="20"/>
          <w:szCs w:val="20"/>
        </w:rPr>
        <w:t xml:space="preserve">auga ir infliacija, </w:t>
      </w:r>
      <w:r>
        <w:rPr>
          <w:rFonts w:ascii="Open Sans Light" w:hAnsi="Open Sans Light" w:cs="Open Sans Light"/>
          <w:sz w:val="20"/>
          <w:szCs w:val="20"/>
        </w:rPr>
        <w:t>o galimybė dėti indėlius, dėl mažų palūkanų, yra labai menkai patraukli.</w:t>
      </w:r>
    </w:p>
    <w:p w14:paraId="1A694492" w14:textId="53784225" w:rsidR="00C62DED" w:rsidRDefault="00C62DED" w:rsidP="00546DB6">
      <w:pPr>
        <w:rPr>
          <w:rFonts w:ascii="Open Sans Light" w:hAnsi="Open Sans Light" w:cs="Open Sans Light"/>
          <w:sz w:val="20"/>
          <w:szCs w:val="20"/>
        </w:rPr>
      </w:pPr>
    </w:p>
    <w:p w14:paraId="3DE9C7CF" w14:textId="19C93A8F" w:rsidR="00C62DED" w:rsidRDefault="00C62DED" w:rsidP="00C62DED">
      <w:pPr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Tai leido rinkai pristatyti net 172 naujus NT projektus – net po 25 rugpjūtį, liepą ir balandį. Tai – vos vienu projektu mažiau nei pernai per visus metus. Tačiau šis rezultatas galėjo būti ir dar geresnis. Kaip minėjau, rinkoje pinigų yra daug, investuotojai nusiteikę skolinti, o potencialo skolintis iš alternatyvių šaltinių netrūksta: kaimynėse Latvijoje ir Estijoje alternatyvaus skolinimo užimama skolinimosi rinkos dalis yra 5–6 kartus didesnė nei Lietuvoje. Taigi, verslas turėtų pasinaudoti šia galimybe.</w:t>
      </w:r>
    </w:p>
    <w:p w14:paraId="57D8330D" w14:textId="1C2B4EEB" w:rsidR="00C62DED" w:rsidRDefault="00C62DED" w:rsidP="00C62DED">
      <w:pPr>
        <w:rPr>
          <w:rFonts w:ascii="Open Sans Light" w:hAnsi="Open Sans Light" w:cs="Open Sans Light"/>
          <w:sz w:val="20"/>
          <w:szCs w:val="20"/>
        </w:rPr>
      </w:pPr>
    </w:p>
    <w:p w14:paraId="63ECD3B7" w14:textId="77777777" w:rsidR="00C62DED" w:rsidRDefault="00C62DED" w:rsidP="00C62DED">
      <w:pPr>
        <w:jc w:val="center"/>
        <w:rPr>
          <w:rFonts w:ascii="Open Sans Light" w:hAnsi="Open Sans Light" w:cs="Open Sans Light"/>
          <w:sz w:val="20"/>
          <w:szCs w:val="20"/>
        </w:rPr>
      </w:pPr>
      <w:r w:rsidRPr="00A33668">
        <w:rPr>
          <w:rFonts w:ascii="Open Sans Light" w:hAnsi="Open Sans Light" w:cs="Open Sans Light"/>
          <w:noProof/>
          <w:sz w:val="18"/>
          <w:szCs w:val="18"/>
        </w:rPr>
        <w:lastRenderedPageBreak/>
        <w:drawing>
          <wp:inline distT="0" distB="0" distL="0" distR="0" wp14:anchorId="2D5E4E62" wp14:editId="1F2EDA78">
            <wp:extent cx="6086666" cy="2880000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66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2F0D8" w14:textId="77777777" w:rsidR="00C62DED" w:rsidRDefault="00C62DED" w:rsidP="00C62DED">
      <w:pPr>
        <w:jc w:val="right"/>
        <w:rPr>
          <w:rFonts w:ascii="Open Sans Light" w:hAnsi="Open Sans Light" w:cs="Open Sans Light"/>
          <w:i/>
          <w:iCs/>
          <w:sz w:val="16"/>
          <w:szCs w:val="16"/>
        </w:rPr>
      </w:pPr>
      <w:r w:rsidRPr="00546DB6">
        <w:rPr>
          <w:rFonts w:ascii="Open Sans Light" w:hAnsi="Open Sans Light" w:cs="Open Sans Light"/>
          <w:i/>
          <w:iCs/>
          <w:sz w:val="16"/>
          <w:szCs w:val="16"/>
        </w:rPr>
        <w:t xml:space="preserve">Grafikas nr. 2: Sutelktinio finansavimo platformų finansuotų projektų skaičiaus dinamika 2019–2020 m., (PROFITUS </w:t>
      </w:r>
      <w:proofErr w:type="spellStart"/>
      <w:r w:rsidRPr="00546DB6">
        <w:rPr>
          <w:rFonts w:ascii="Open Sans Light" w:hAnsi="Open Sans Light" w:cs="Open Sans Light"/>
          <w:i/>
          <w:iCs/>
          <w:sz w:val="16"/>
          <w:szCs w:val="16"/>
        </w:rPr>
        <w:t>inf</w:t>
      </w:r>
      <w:proofErr w:type="spellEnd"/>
      <w:r w:rsidRPr="00546DB6">
        <w:rPr>
          <w:rFonts w:ascii="Open Sans Light" w:hAnsi="Open Sans Light" w:cs="Open Sans Light"/>
          <w:i/>
          <w:iCs/>
          <w:sz w:val="16"/>
          <w:szCs w:val="16"/>
        </w:rPr>
        <w:t>.)</w:t>
      </w:r>
    </w:p>
    <w:p w14:paraId="1BD07C24" w14:textId="28373856" w:rsidR="00842C88" w:rsidRDefault="00842C88" w:rsidP="00546DB6">
      <w:pPr>
        <w:rPr>
          <w:rFonts w:ascii="Open Sans Light" w:hAnsi="Open Sans Light" w:cs="Open Sans Light"/>
          <w:sz w:val="20"/>
          <w:szCs w:val="20"/>
        </w:rPr>
      </w:pPr>
    </w:p>
    <w:p w14:paraId="69790B1D" w14:textId="3214AA2B" w:rsidR="00842C88" w:rsidRPr="0053316B" w:rsidRDefault="00842C88" w:rsidP="0053316B">
      <w:pPr>
        <w:pBdr>
          <w:top w:val="single" w:sz="12" w:space="3" w:color="FF4EFF"/>
          <w:left w:val="single" w:sz="12" w:space="3" w:color="FF4EFF"/>
          <w:bottom w:val="single" w:sz="12" w:space="3" w:color="FF4EFF"/>
          <w:right w:val="single" w:sz="12" w:space="3" w:color="FF4EFF"/>
        </w:pBdr>
        <w:ind w:left="284" w:right="276"/>
        <w:rPr>
          <w:rFonts w:ascii="Open Sans Light" w:hAnsi="Open Sans Light" w:cs="Open Sans Light"/>
          <w:i/>
          <w:iCs/>
          <w:sz w:val="18"/>
          <w:szCs w:val="18"/>
        </w:rPr>
      </w:pP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LB duomenimis, per 10 pastarųjų metų Lietuvos namų ūkių finansinis turtas (grynieji pinigai ir indėliai, nuosavybės priemonės, investicinių fondų akcijos, pensijų sistemos ir kt.) išaugo daugiau nei dvigubai – 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>nuo 24,9 mlrd. Iki 50,4 mlrd. eurų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. Per tą patį laikotarpį suminė infliacija, remiantis Statistikos departamento pateikiama informacija, sudarė 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>net 17,1 proc.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 xml:space="preserve"> Tuo tarpu, namų ūkių indėlių palūkanos, LB duomenimis, per penkerius metus nukrito </w:t>
      </w:r>
      <w:r w:rsidRPr="0053316B">
        <w:rPr>
          <w:rFonts w:ascii="Open Sans Light" w:hAnsi="Open Sans Light" w:cs="Open Sans Light"/>
          <w:b/>
          <w:bCs/>
          <w:i/>
          <w:iCs/>
          <w:sz w:val="18"/>
          <w:szCs w:val="18"/>
        </w:rPr>
        <w:t>nuo 0,54 iki 0,17 proc.</w:t>
      </w:r>
      <w:r w:rsidRPr="0053316B">
        <w:rPr>
          <w:rFonts w:ascii="Open Sans Light" w:hAnsi="Open Sans Light" w:cs="Open Sans Light"/>
          <w:i/>
          <w:iCs/>
          <w:sz w:val="18"/>
          <w:szCs w:val="18"/>
        </w:rPr>
        <w:t>, taigi, yra gerokai mažesnės už infliaciją.</w:t>
      </w:r>
    </w:p>
    <w:p w14:paraId="7D6D4DD9" w14:textId="77777777" w:rsidR="0005379C" w:rsidRDefault="0005379C" w:rsidP="00546DB6">
      <w:pPr>
        <w:rPr>
          <w:rFonts w:ascii="Open Sans Light" w:hAnsi="Open Sans Light" w:cs="Open Sans Light"/>
          <w:sz w:val="20"/>
          <w:szCs w:val="20"/>
        </w:rPr>
      </w:pPr>
    </w:p>
    <w:p w14:paraId="2ED4C2D7" w14:textId="1E030E61" w:rsidR="00F544F5" w:rsidRPr="001F19B0" w:rsidRDefault="00F544F5" w:rsidP="00F544F5">
      <w:pPr>
        <w:rPr>
          <w:rFonts w:ascii="Open Sans Light" w:hAnsi="Open Sans Light" w:cs="Open Sans Light"/>
          <w:sz w:val="20"/>
          <w:szCs w:val="20"/>
        </w:rPr>
      </w:pPr>
      <w:r w:rsidRPr="001F19B0">
        <w:rPr>
          <w:rFonts w:ascii="Open Sans Light" w:hAnsi="Open Sans Light" w:cs="Open Sans Light"/>
          <w:sz w:val="20"/>
          <w:szCs w:val="20"/>
        </w:rPr>
        <w:t>Negana to, verslui pinga ir pačios paskolos: Euro zonoje nekilnojamojo turto (</w:t>
      </w:r>
      <w:bookmarkStart w:id="0" w:name="OLE_LINK1"/>
      <w:r w:rsidRPr="001F19B0">
        <w:rPr>
          <w:rFonts w:ascii="Open Sans Light" w:hAnsi="Open Sans Light" w:cs="Open Sans Light"/>
          <w:sz w:val="20"/>
          <w:szCs w:val="20"/>
        </w:rPr>
        <w:t xml:space="preserve">NT) įkeitimo arba hipotekos palūkanos </w:t>
      </w:r>
      <w:bookmarkEnd w:id="0"/>
      <w:r w:rsidRPr="001F19B0">
        <w:rPr>
          <w:rFonts w:ascii="Open Sans Light" w:hAnsi="Open Sans Light" w:cs="Open Sans Light"/>
          <w:sz w:val="20"/>
          <w:szCs w:val="20"/>
        </w:rPr>
        <w:t>(</w:t>
      </w:r>
      <w:r w:rsidRPr="001F19B0">
        <w:rPr>
          <w:rFonts w:ascii="Open Sans Light" w:hAnsi="Open Sans Light" w:cs="Open Sans Light"/>
          <w:i/>
          <w:iCs/>
          <w:sz w:val="20"/>
          <w:szCs w:val="20"/>
        </w:rPr>
        <w:t xml:space="preserve">angl. </w:t>
      </w:r>
      <w:proofErr w:type="spellStart"/>
      <w:r w:rsidRPr="001F19B0">
        <w:rPr>
          <w:rFonts w:ascii="Open Sans Light" w:hAnsi="Open Sans Light" w:cs="Open Sans Light"/>
          <w:i/>
          <w:iCs/>
          <w:sz w:val="20"/>
          <w:szCs w:val="20"/>
        </w:rPr>
        <w:t>mortgage</w:t>
      </w:r>
      <w:proofErr w:type="spellEnd"/>
      <w:r w:rsidRPr="001F19B0">
        <w:rPr>
          <w:rFonts w:ascii="Open Sans Light" w:hAnsi="Open Sans Light" w:cs="Open Sans Light"/>
          <w:i/>
          <w:iCs/>
          <w:sz w:val="20"/>
          <w:szCs w:val="20"/>
        </w:rPr>
        <w:t xml:space="preserve"> </w:t>
      </w:r>
      <w:proofErr w:type="spellStart"/>
      <w:r w:rsidRPr="001F19B0">
        <w:rPr>
          <w:rFonts w:ascii="Open Sans Light" w:hAnsi="Open Sans Light" w:cs="Open Sans Light"/>
          <w:i/>
          <w:iCs/>
          <w:sz w:val="20"/>
          <w:szCs w:val="20"/>
        </w:rPr>
        <w:t>interest</w:t>
      </w:r>
      <w:proofErr w:type="spellEnd"/>
      <w:r w:rsidRPr="001F19B0">
        <w:rPr>
          <w:rFonts w:ascii="Open Sans Light" w:hAnsi="Open Sans Light" w:cs="Open Sans Light"/>
          <w:i/>
          <w:iCs/>
          <w:sz w:val="20"/>
          <w:szCs w:val="20"/>
        </w:rPr>
        <w:t xml:space="preserve"> rate</w:t>
      </w:r>
      <w:r w:rsidRPr="001F19B0">
        <w:rPr>
          <w:rFonts w:ascii="Open Sans Light" w:hAnsi="Open Sans Light" w:cs="Open Sans Light"/>
          <w:sz w:val="20"/>
          <w:szCs w:val="20"/>
        </w:rPr>
        <w:t>), turinčios didelę įtaką galutinei NT kainai, nuosekliai mažėja. Jos mažėja ir didžiosiose Europos ekonomikose – Vokietijoje, Didžiojoje Britanijoje, Prancūzijoje, Italijoje, Olandijoje ir kitose.</w:t>
      </w:r>
    </w:p>
    <w:p w14:paraId="764B514A" w14:textId="77777777" w:rsidR="00F544F5" w:rsidRPr="001F19B0" w:rsidRDefault="00F544F5" w:rsidP="00F544F5">
      <w:pPr>
        <w:rPr>
          <w:rFonts w:ascii="Open Sans Light" w:hAnsi="Open Sans Light" w:cs="Open Sans Light"/>
          <w:sz w:val="20"/>
          <w:szCs w:val="20"/>
        </w:rPr>
      </w:pPr>
    </w:p>
    <w:p w14:paraId="6106C8CF" w14:textId="7468BCA6" w:rsidR="00F544F5" w:rsidRPr="001E7A0E" w:rsidRDefault="00F544F5" w:rsidP="00F544F5">
      <w:pPr>
        <w:rPr>
          <w:rFonts w:ascii="Open Sans Light" w:hAnsi="Open Sans Light" w:cs="Open Sans Light"/>
          <w:sz w:val="20"/>
          <w:szCs w:val="20"/>
        </w:rPr>
      </w:pPr>
      <w:r w:rsidRPr="001F19B0">
        <w:rPr>
          <w:rFonts w:ascii="Open Sans Light" w:hAnsi="Open Sans Light" w:cs="Open Sans Light"/>
          <w:sz w:val="20"/>
          <w:szCs w:val="20"/>
        </w:rPr>
        <w:t>Pastebiu, kad pastaruoju metu palūkanas mažina ir Lietuvoje veikiančios sutelktinio skolinimo platformos. Tai geras ženklas, nes didina konkurenciją visoje skolinimosi rinkoje. O investuotojai yra pasiryžę skolinti už mažesnes palūkanas, tačiau su mažesne rizika. Lyginant pirmuosius PROFITUS veiklos metus su antraisiais, palūkanos sumažėjo net nuo 10,3 proc. iki 9, o paskutiniai mūsų finansuoti projektai buvo su rekordiškai mažomis palūkanomis – pvz., 6</w:t>
      </w:r>
      <w:r w:rsidRPr="001F19B0">
        <w:rPr>
          <w:rFonts w:ascii="Open Sans Light" w:hAnsi="Open Sans Light" w:cs="Open Sans Light"/>
          <w:sz w:val="20"/>
          <w:szCs w:val="20"/>
          <w:lang w:val="en-US"/>
        </w:rPr>
        <w:t xml:space="preserve"> </w:t>
      </w:r>
      <w:r w:rsidRPr="001F19B0">
        <w:rPr>
          <w:rFonts w:ascii="Open Sans Light" w:hAnsi="Open Sans Light" w:cs="Open Sans Light"/>
          <w:sz w:val="20"/>
          <w:szCs w:val="20"/>
        </w:rPr>
        <w:t>ar 7,5</w:t>
      </w:r>
      <w:r w:rsidRPr="001F19B0">
        <w:rPr>
          <w:rFonts w:ascii="Open Sans Light" w:hAnsi="Open Sans Light" w:cs="Open Sans Light"/>
          <w:sz w:val="20"/>
          <w:szCs w:val="20"/>
          <w:lang w:val="en-US"/>
        </w:rPr>
        <w:t xml:space="preserve"> proc</w:t>
      </w:r>
      <w:r w:rsidRPr="001F19B0">
        <w:rPr>
          <w:rFonts w:ascii="Open Sans Light" w:hAnsi="Open Sans Light" w:cs="Open Sans Light"/>
          <w:sz w:val="20"/>
          <w:szCs w:val="20"/>
        </w:rPr>
        <w:t>.</w:t>
      </w:r>
    </w:p>
    <w:p w14:paraId="2EDA9EC4" w14:textId="14098605" w:rsidR="003F2F66" w:rsidRDefault="003F2F66" w:rsidP="004528AB">
      <w:pPr>
        <w:rPr>
          <w:rFonts w:ascii="Open Sans Light" w:hAnsi="Open Sans Light" w:cs="Open Sans Light"/>
          <w:sz w:val="20"/>
          <w:szCs w:val="20"/>
        </w:rPr>
      </w:pPr>
    </w:p>
    <w:p w14:paraId="40C48DC1" w14:textId="35F3D2B6" w:rsidR="003F2F66" w:rsidRDefault="003F2F66" w:rsidP="004528AB">
      <w:pPr>
        <w:rPr>
          <w:rFonts w:ascii="Open Sans Light" w:hAnsi="Open Sans Light" w:cs="Open Sans Light"/>
          <w:sz w:val="20"/>
          <w:szCs w:val="20"/>
        </w:rPr>
      </w:pPr>
      <w:r w:rsidRPr="003F2F66">
        <w:rPr>
          <w:rFonts w:ascii="Open Sans Light" w:hAnsi="Open Sans Light" w:cs="Open Sans Light"/>
          <w:sz w:val="20"/>
          <w:szCs w:val="20"/>
        </w:rPr>
        <w:t>Palankias rinkos nuotaikas rodo ir PROFITUS rezultatai. Labai džiaugiuosi, kad rugpjūtis tapo absoliučiai rekordiniu mėnesiu: per jį vienuolikai projektų buvo sutelkta 1,82 mln. Eur. Per visą laikotarpį 111 projektų jau esame sutelkę beveik 15,5 mln. Eur. Pirmaisiais veiklos metais (</w:t>
      </w:r>
      <w:r w:rsidR="00727F3E" w:rsidRPr="00727F3E">
        <w:rPr>
          <w:rFonts w:ascii="Open Sans Light" w:hAnsi="Open Sans Light" w:cs="Open Sans Light"/>
          <w:sz w:val="20"/>
          <w:szCs w:val="20"/>
        </w:rPr>
        <w:t>201</w:t>
      </w:r>
      <w:r w:rsidR="00727F3E">
        <w:rPr>
          <w:rFonts w:ascii="Open Sans Light" w:hAnsi="Open Sans Light" w:cs="Open Sans Light"/>
          <w:sz w:val="20"/>
          <w:szCs w:val="20"/>
        </w:rPr>
        <w:t>8</w:t>
      </w:r>
      <w:r w:rsidR="00727F3E" w:rsidRPr="00727F3E">
        <w:rPr>
          <w:rFonts w:ascii="Open Sans Light" w:hAnsi="Open Sans Light" w:cs="Open Sans Light"/>
          <w:sz w:val="20"/>
          <w:szCs w:val="20"/>
        </w:rPr>
        <w:t>–20</w:t>
      </w:r>
      <w:r w:rsidR="00727F3E">
        <w:rPr>
          <w:rFonts w:ascii="Open Sans Light" w:hAnsi="Open Sans Light" w:cs="Open Sans Light"/>
          <w:sz w:val="20"/>
          <w:szCs w:val="20"/>
        </w:rPr>
        <w:t>19 m.</w:t>
      </w:r>
      <w:r w:rsidRPr="003F2F66">
        <w:rPr>
          <w:rFonts w:ascii="Open Sans Light" w:hAnsi="Open Sans Light" w:cs="Open Sans Light"/>
          <w:sz w:val="20"/>
          <w:szCs w:val="20"/>
        </w:rPr>
        <w:t xml:space="preserve">) finansavome </w:t>
      </w:r>
      <w:r w:rsidR="00727F3E">
        <w:rPr>
          <w:rFonts w:ascii="Open Sans Light" w:hAnsi="Open Sans Light" w:cs="Open Sans Light"/>
          <w:sz w:val="20"/>
          <w:szCs w:val="20"/>
        </w:rPr>
        <w:t>31</w:t>
      </w:r>
      <w:r w:rsidRPr="003F2F66">
        <w:rPr>
          <w:rFonts w:ascii="Open Sans Light" w:hAnsi="Open Sans Light" w:cs="Open Sans Light"/>
          <w:sz w:val="20"/>
          <w:szCs w:val="20"/>
        </w:rPr>
        <w:t xml:space="preserve"> projekt</w:t>
      </w:r>
      <w:r w:rsidR="00727F3E">
        <w:rPr>
          <w:rFonts w:ascii="Open Sans Light" w:hAnsi="Open Sans Light" w:cs="Open Sans Light"/>
          <w:sz w:val="20"/>
          <w:szCs w:val="20"/>
        </w:rPr>
        <w:t>ą</w:t>
      </w:r>
      <w:r w:rsidRPr="003F2F66">
        <w:rPr>
          <w:rFonts w:ascii="Open Sans Light" w:hAnsi="Open Sans Light" w:cs="Open Sans Light"/>
          <w:sz w:val="20"/>
          <w:szCs w:val="20"/>
        </w:rPr>
        <w:t xml:space="preserve"> 5,</w:t>
      </w:r>
      <w:r w:rsidR="00727F3E">
        <w:rPr>
          <w:rFonts w:ascii="Open Sans Light" w:hAnsi="Open Sans Light" w:cs="Open Sans Light"/>
          <w:sz w:val="20"/>
          <w:szCs w:val="20"/>
        </w:rPr>
        <w:t>9</w:t>
      </w:r>
      <w:r w:rsidRPr="003F2F66">
        <w:rPr>
          <w:rFonts w:ascii="Open Sans Light" w:hAnsi="Open Sans Light" w:cs="Open Sans Light"/>
          <w:sz w:val="20"/>
          <w:szCs w:val="20"/>
        </w:rPr>
        <w:t xml:space="preserve"> mln. Eur sumai, antraisiais </w:t>
      </w:r>
      <w:r w:rsidR="00727F3E">
        <w:rPr>
          <w:rFonts w:ascii="Open Sans Light" w:hAnsi="Open Sans Light" w:cs="Open Sans Light"/>
          <w:sz w:val="20"/>
          <w:szCs w:val="20"/>
        </w:rPr>
        <w:t>veiklos metais (</w:t>
      </w:r>
      <w:r w:rsidR="00727F3E" w:rsidRPr="00727F3E">
        <w:rPr>
          <w:rFonts w:ascii="Open Sans Light" w:hAnsi="Open Sans Light" w:cs="Open Sans Light"/>
          <w:sz w:val="20"/>
          <w:szCs w:val="20"/>
        </w:rPr>
        <w:t>2019–2020</w:t>
      </w:r>
      <w:r w:rsidR="00727F3E">
        <w:rPr>
          <w:rFonts w:ascii="Open Sans Light" w:hAnsi="Open Sans Light" w:cs="Open Sans Light"/>
          <w:sz w:val="20"/>
          <w:szCs w:val="20"/>
        </w:rPr>
        <w:t xml:space="preserve"> m.) </w:t>
      </w:r>
      <w:r w:rsidRPr="003F2F66">
        <w:rPr>
          <w:rFonts w:ascii="Open Sans Light" w:hAnsi="Open Sans Light" w:cs="Open Sans Light"/>
          <w:sz w:val="20"/>
          <w:szCs w:val="20"/>
        </w:rPr>
        <w:t xml:space="preserve">projektų buvo jau 80, o suma išaugo </w:t>
      </w:r>
      <w:r w:rsidR="00727F3E">
        <w:rPr>
          <w:rFonts w:ascii="Open Sans Light" w:hAnsi="Open Sans Light" w:cs="Open Sans Light"/>
          <w:sz w:val="20"/>
          <w:szCs w:val="20"/>
        </w:rPr>
        <w:t>61</w:t>
      </w:r>
      <w:r w:rsidRPr="003F2F66">
        <w:rPr>
          <w:rFonts w:ascii="Open Sans Light" w:hAnsi="Open Sans Light" w:cs="Open Sans Light"/>
          <w:sz w:val="20"/>
          <w:szCs w:val="20"/>
        </w:rPr>
        <w:t xml:space="preserve"> proc. – iki 9,6 mln. Eur.</w:t>
      </w:r>
    </w:p>
    <w:p w14:paraId="65E76502" w14:textId="791AF635" w:rsidR="00D821E9" w:rsidRDefault="00D821E9" w:rsidP="004528AB">
      <w:pPr>
        <w:rPr>
          <w:rFonts w:ascii="Open Sans Light" w:hAnsi="Open Sans Light" w:cs="Open Sans Light"/>
          <w:sz w:val="20"/>
          <w:szCs w:val="20"/>
        </w:rPr>
      </w:pPr>
    </w:p>
    <w:p w14:paraId="0414BBF6" w14:textId="77777777" w:rsidR="00D821E9" w:rsidRDefault="00D821E9" w:rsidP="00D821E9">
      <w:pPr>
        <w:jc w:val="center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A33668">
        <w:rPr>
          <w:rFonts w:ascii="Open Sans Light" w:hAnsi="Open Sans Light" w:cs="Open Sans Light"/>
          <w:i/>
          <w:iCs/>
          <w:noProof/>
          <w:sz w:val="20"/>
          <w:szCs w:val="20"/>
        </w:rPr>
        <w:drawing>
          <wp:inline distT="0" distB="0" distL="0" distR="0" wp14:anchorId="5FE70780" wp14:editId="2A37FB9F">
            <wp:extent cx="6086668" cy="2880000"/>
            <wp:effectExtent l="0" t="0" r="0" b="3175"/>
            <wp:docPr id="3" name="Picture 3" descr="A close up of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text on a white background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66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45275" w14:textId="2A7B8697" w:rsidR="00D821E9" w:rsidRDefault="00D821E9" w:rsidP="00D821E9">
      <w:pPr>
        <w:jc w:val="right"/>
        <w:rPr>
          <w:rFonts w:ascii="Open Sans Light" w:hAnsi="Open Sans Light" w:cs="Open Sans Light"/>
          <w:sz w:val="20"/>
          <w:szCs w:val="20"/>
        </w:rPr>
      </w:pPr>
      <w:r w:rsidRPr="00546DB6">
        <w:rPr>
          <w:rFonts w:ascii="Open Sans Light" w:hAnsi="Open Sans Light" w:cs="Open Sans Light"/>
          <w:i/>
          <w:iCs/>
          <w:sz w:val="16"/>
          <w:szCs w:val="16"/>
        </w:rPr>
        <w:t xml:space="preserve">Grafikas nr. </w:t>
      </w:r>
      <w:r>
        <w:rPr>
          <w:rFonts w:ascii="Open Sans Light" w:hAnsi="Open Sans Light" w:cs="Open Sans Light"/>
          <w:i/>
          <w:iCs/>
          <w:sz w:val="16"/>
          <w:szCs w:val="16"/>
        </w:rPr>
        <w:t>3</w:t>
      </w:r>
      <w:r w:rsidRPr="00546DB6">
        <w:rPr>
          <w:rFonts w:ascii="Open Sans Light" w:hAnsi="Open Sans Light" w:cs="Open Sans Light"/>
          <w:i/>
          <w:iCs/>
          <w:sz w:val="16"/>
          <w:szCs w:val="16"/>
        </w:rPr>
        <w:t xml:space="preserve">: </w:t>
      </w:r>
      <w:r>
        <w:rPr>
          <w:rFonts w:ascii="Open Sans Light" w:hAnsi="Open Sans Light" w:cs="Open Sans Light"/>
          <w:i/>
          <w:iCs/>
          <w:sz w:val="16"/>
          <w:szCs w:val="16"/>
        </w:rPr>
        <w:t>PROFITUS</w:t>
      </w:r>
      <w:r w:rsidRPr="00546DB6">
        <w:rPr>
          <w:rFonts w:ascii="Open Sans Light" w:hAnsi="Open Sans Light" w:cs="Open Sans Light"/>
          <w:i/>
          <w:iCs/>
          <w:sz w:val="16"/>
          <w:szCs w:val="16"/>
        </w:rPr>
        <w:t xml:space="preserve"> </w:t>
      </w:r>
      <w:r>
        <w:rPr>
          <w:rFonts w:ascii="Open Sans Light" w:hAnsi="Open Sans Light" w:cs="Open Sans Light"/>
          <w:i/>
          <w:iCs/>
          <w:sz w:val="16"/>
          <w:szCs w:val="16"/>
        </w:rPr>
        <w:t>sutelktų sumų pokytis</w:t>
      </w:r>
      <w:r w:rsidRPr="00546DB6">
        <w:rPr>
          <w:rFonts w:ascii="Open Sans Light" w:hAnsi="Open Sans Light" w:cs="Open Sans Light"/>
          <w:i/>
          <w:iCs/>
          <w:sz w:val="16"/>
          <w:szCs w:val="16"/>
        </w:rPr>
        <w:t xml:space="preserve"> 2019–2020 m. (PROFITUS </w:t>
      </w:r>
      <w:proofErr w:type="spellStart"/>
      <w:r w:rsidRPr="00546DB6">
        <w:rPr>
          <w:rFonts w:ascii="Open Sans Light" w:hAnsi="Open Sans Light" w:cs="Open Sans Light"/>
          <w:i/>
          <w:iCs/>
          <w:sz w:val="16"/>
          <w:szCs w:val="16"/>
        </w:rPr>
        <w:t>inf</w:t>
      </w:r>
      <w:proofErr w:type="spellEnd"/>
      <w:r w:rsidRPr="00546DB6">
        <w:rPr>
          <w:rFonts w:ascii="Open Sans Light" w:hAnsi="Open Sans Light" w:cs="Open Sans Light"/>
          <w:i/>
          <w:iCs/>
          <w:sz w:val="16"/>
          <w:szCs w:val="16"/>
        </w:rPr>
        <w:t>.)</w:t>
      </w:r>
    </w:p>
    <w:p w14:paraId="526EE9CA" w14:textId="77777777" w:rsidR="00A33668" w:rsidRPr="00DA1399" w:rsidRDefault="00A33668" w:rsidP="004528AB">
      <w:pPr>
        <w:rPr>
          <w:rFonts w:ascii="Open Sans Light" w:hAnsi="Open Sans Light" w:cs="Open Sans Light"/>
          <w:i/>
          <w:iCs/>
          <w:sz w:val="20"/>
          <w:szCs w:val="20"/>
          <w:u w:val="single"/>
        </w:rPr>
      </w:pPr>
    </w:p>
    <w:p w14:paraId="4C6725DD" w14:textId="2070F9CB" w:rsidR="003F2F66" w:rsidRPr="00DA1399" w:rsidRDefault="003F2F66" w:rsidP="00DA1399">
      <w:pPr>
        <w:pBdr>
          <w:top w:val="single" w:sz="12" w:space="3" w:color="FF4EFF"/>
          <w:left w:val="single" w:sz="12" w:space="3" w:color="FF4EFF"/>
          <w:bottom w:val="single" w:sz="12" w:space="3" w:color="FF4EFF"/>
          <w:right w:val="single" w:sz="12" w:space="3" w:color="FF4EFF"/>
        </w:pBdr>
        <w:ind w:left="284" w:right="276"/>
        <w:rPr>
          <w:rFonts w:ascii="Open Sans Light" w:hAnsi="Open Sans Light" w:cs="Open Sans Light"/>
          <w:i/>
          <w:iCs/>
          <w:sz w:val="18"/>
          <w:szCs w:val="18"/>
        </w:rPr>
      </w:pPr>
      <w:r w:rsidRPr="00DA1399">
        <w:rPr>
          <w:rFonts w:ascii="Open Sans Light" w:hAnsi="Open Sans Light" w:cs="Open Sans Light"/>
          <w:i/>
          <w:iCs/>
          <w:sz w:val="18"/>
          <w:szCs w:val="18"/>
        </w:rPr>
        <w:lastRenderedPageBreak/>
        <w:t xml:space="preserve">Sutelktinio investavimo platforma PROFITUS šiuo metu yra subūrusi </w:t>
      </w:r>
      <w:r w:rsidRPr="00DA1399">
        <w:rPr>
          <w:rFonts w:ascii="Open Sans Light" w:hAnsi="Open Sans Light" w:cs="Open Sans Light"/>
          <w:b/>
          <w:bCs/>
          <w:i/>
          <w:iCs/>
          <w:sz w:val="18"/>
          <w:szCs w:val="18"/>
        </w:rPr>
        <w:t>daugiau nei 10 000 investuotojų bendruomenę</w:t>
      </w:r>
      <w:r w:rsidRPr="00DA1399">
        <w:rPr>
          <w:rFonts w:ascii="Open Sans Light" w:hAnsi="Open Sans Light" w:cs="Open Sans Light"/>
          <w:i/>
          <w:iCs/>
          <w:sz w:val="18"/>
          <w:szCs w:val="18"/>
        </w:rPr>
        <w:t xml:space="preserve">. Jos augimas buvo labai spartus: per pirmuosius veiklos metus (2018–2019) </w:t>
      </w:r>
      <w:r w:rsidR="00DA1399" w:rsidRPr="00DA1399">
        <w:rPr>
          <w:rFonts w:ascii="Open Sans Light" w:hAnsi="Open Sans Light" w:cs="Open Sans Light"/>
          <w:i/>
          <w:iCs/>
          <w:sz w:val="18"/>
          <w:szCs w:val="18"/>
        </w:rPr>
        <w:t>ji užaugo iki 3 117 narių, o antraisiais (2019–2020) pagausėjo net 7 074 nauj</w:t>
      </w:r>
      <w:r w:rsidR="00A53AEE">
        <w:rPr>
          <w:rFonts w:ascii="Open Sans Light" w:hAnsi="Open Sans Light" w:cs="Open Sans Light"/>
          <w:i/>
          <w:iCs/>
          <w:sz w:val="18"/>
          <w:szCs w:val="18"/>
        </w:rPr>
        <w:t>a</w:t>
      </w:r>
      <w:r w:rsidR="00DA1399" w:rsidRPr="00DA1399">
        <w:rPr>
          <w:rFonts w:ascii="Open Sans Light" w:hAnsi="Open Sans Light" w:cs="Open Sans Light"/>
          <w:i/>
          <w:iCs/>
          <w:sz w:val="18"/>
          <w:szCs w:val="18"/>
        </w:rPr>
        <w:t>i</w:t>
      </w:r>
      <w:r w:rsidR="00A53AEE">
        <w:rPr>
          <w:rFonts w:ascii="Open Sans Light" w:hAnsi="Open Sans Light" w:cs="Open Sans Light"/>
          <w:i/>
          <w:iCs/>
          <w:sz w:val="18"/>
          <w:szCs w:val="18"/>
        </w:rPr>
        <w:t>s</w:t>
      </w:r>
      <w:r w:rsidR="00DA1399" w:rsidRPr="00DA1399">
        <w:rPr>
          <w:rFonts w:ascii="Open Sans Light" w:hAnsi="Open Sans Light" w:cs="Open Sans Light"/>
          <w:i/>
          <w:iCs/>
          <w:sz w:val="18"/>
          <w:szCs w:val="18"/>
        </w:rPr>
        <w:t xml:space="preserve"> platformos vartotojai</w:t>
      </w:r>
      <w:r w:rsidR="00A53AEE">
        <w:rPr>
          <w:rFonts w:ascii="Open Sans Light" w:hAnsi="Open Sans Light" w:cs="Open Sans Light"/>
          <w:i/>
          <w:iCs/>
          <w:sz w:val="18"/>
          <w:szCs w:val="18"/>
        </w:rPr>
        <w:t>s</w:t>
      </w:r>
      <w:r w:rsidR="00DA1399" w:rsidRPr="00DA1399">
        <w:rPr>
          <w:rFonts w:ascii="Open Sans Light" w:hAnsi="Open Sans Light" w:cs="Open Sans Light"/>
          <w:i/>
          <w:iCs/>
          <w:sz w:val="18"/>
          <w:szCs w:val="18"/>
        </w:rPr>
        <w:t>.</w:t>
      </w:r>
    </w:p>
    <w:p w14:paraId="4B7CC8F3" w14:textId="0D35FDA7" w:rsidR="003F2F66" w:rsidRPr="00725440" w:rsidRDefault="003F2F66" w:rsidP="00DA1399">
      <w:pPr>
        <w:pBdr>
          <w:top w:val="single" w:sz="12" w:space="3" w:color="FF4EFF"/>
          <w:left w:val="single" w:sz="12" w:space="3" w:color="FF4EFF"/>
          <w:bottom w:val="single" w:sz="12" w:space="3" w:color="FF4EFF"/>
          <w:right w:val="single" w:sz="12" w:space="3" w:color="FF4EFF"/>
        </w:pBdr>
        <w:ind w:left="284" w:right="276"/>
        <w:rPr>
          <w:rFonts w:ascii="Open Sans Light" w:hAnsi="Open Sans Light" w:cs="Open Sans Light"/>
          <w:i/>
          <w:iCs/>
          <w:sz w:val="13"/>
          <w:szCs w:val="13"/>
        </w:rPr>
      </w:pPr>
    </w:p>
    <w:p w14:paraId="6B50AE4E" w14:textId="152FD7AF" w:rsidR="003F2F66" w:rsidRPr="00DA1399" w:rsidRDefault="003F2F66" w:rsidP="00DA1399">
      <w:pPr>
        <w:pBdr>
          <w:top w:val="single" w:sz="12" w:space="3" w:color="FF4EFF"/>
          <w:left w:val="single" w:sz="12" w:space="3" w:color="FF4EFF"/>
          <w:bottom w:val="single" w:sz="12" w:space="3" w:color="FF4EFF"/>
          <w:right w:val="single" w:sz="12" w:space="3" w:color="FF4EFF"/>
        </w:pBdr>
        <w:ind w:left="284" w:right="276"/>
        <w:rPr>
          <w:rFonts w:ascii="Open Sans Light" w:hAnsi="Open Sans Light" w:cs="Open Sans Light"/>
          <w:i/>
          <w:iCs/>
          <w:sz w:val="18"/>
          <w:szCs w:val="18"/>
        </w:rPr>
      </w:pPr>
      <w:r w:rsidRPr="00DA1399">
        <w:rPr>
          <w:rFonts w:ascii="Open Sans Light" w:hAnsi="Open Sans Light" w:cs="Open Sans Light"/>
          <w:i/>
          <w:iCs/>
          <w:sz w:val="18"/>
          <w:szCs w:val="18"/>
        </w:rPr>
        <w:t xml:space="preserve">Investuotojams per visą veiklos laikotarpį </w:t>
      </w:r>
      <w:r w:rsidR="00DA1399" w:rsidRPr="00DA1399">
        <w:rPr>
          <w:rFonts w:ascii="Open Sans Light" w:hAnsi="Open Sans Light" w:cs="Open Sans Light"/>
          <w:i/>
          <w:iCs/>
          <w:sz w:val="18"/>
          <w:szCs w:val="18"/>
        </w:rPr>
        <w:t xml:space="preserve">investuotojams </w:t>
      </w:r>
      <w:r w:rsidRPr="00DA1399">
        <w:rPr>
          <w:rFonts w:ascii="Open Sans Light" w:hAnsi="Open Sans Light" w:cs="Open Sans Light"/>
          <w:i/>
          <w:iCs/>
          <w:sz w:val="18"/>
          <w:szCs w:val="18"/>
        </w:rPr>
        <w:t xml:space="preserve">buvo </w:t>
      </w:r>
      <w:r w:rsidRPr="00DA1399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išmokėta </w:t>
      </w:r>
      <w:r w:rsidR="00DA1399" w:rsidRPr="00DA1399">
        <w:rPr>
          <w:rFonts w:ascii="Open Sans Light" w:hAnsi="Open Sans Light" w:cs="Open Sans Light"/>
          <w:b/>
          <w:bCs/>
          <w:i/>
          <w:iCs/>
          <w:sz w:val="18"/>
          <w:szCs w:val="18"/>
        </w:rPr>
        <w:t>654 350 Eur palūkanų</w:t>
      </w:r>
      <w:r w:rsidR="00DA1399" w:rsidRPr="00DA1399">
        <w:rPr>
          <w:rFonts w:ascii="Open Sans Light" w:hAnsi="Open Sans Light" w:cs="Open Sans Light"/>
          <w:i/>
          <w:iCs/>
          <w:sz w:val="18"/>
          <w:szCs w:val="18"/>
        </w:rPr>
        <w:t>: 123 500 Eur pirmaisiais ir net 530 850 Eur antraisiais veiklos metais.</w:t>
      </w:r>
    </w:p>
    <w:p w14:paraId="221EC57D" w14:textId="77777777" w:rsidR="00546DB6" w:rsidRDefault="00546DB6" w:rsidP="00546DB6">
      <w:pPr>
        <w:pBdr>
          <w:bottom w:val="single" w:sz="8" w:space="1" w:color="000033"/>
        </w:pBdr>
        <w:rPr>
          <w:rFonts w:ascii="Open Sans Light" w:hAnsi="Open Sans Light" w:cs="Open Sans Light"/>
          <w:sz w:val="18"/>
          <w:szCs w:val="18"/>
        </w:rPr>
      </w:pPr>
    </w:p>
    <w:p w14:paraId="4D0F8C3A" w14:textId="2930E4A5" w:rsidR="004A56E8" w:rsidRDefault="004A56E8">
      <w:pPr>
        <w:rPr>
          <w:rFonts w:ascii="Open Sans Light" w:hAnsi="Open Sans Light" w:cs="Open Sans Light"/>
          <w:sz w:val="18"/>
          <w:szCs w:val="18"/>
        </w:rPr>
      </w:pPr>
    </w:p>
    <w:p w14:paraId="305AF7AB" w14:textId="77777777" w:rsidR="00DE36A6" w:rsidRPr="00DE36A6" w:rsidRDefault="00DE36A6" w:rsidP="00DE36A6">
      <w:pPr>
        <w:spacing w:after="100" w:afterAutospacing="1"/>
        <w:contextualSpacing/>
        <w:mirrorIndents/>
        <w:outlineLvl w:val="0"/>
        <w:rPr>
          <w:rFonts w:ascii="Open Sans Light" w:hAnsi="Open Sans Light" w:cs="Open Sans Light"/>
          <w:b/>
          <w:bCs/>
          <w:sz w:val="16"/>
          <w:szCs w:val="16"/>
          <w:shd w:val="clear" w:color="auto" w:fill="FFFFFF"/>
        </w:rPr>
      </w:pPr>
      <w:r w:rsidRPr="00DE36A6">
        <w:rPr>
          <w:rFonts w:ascii="Open Sans Light" w:hAnsi="Open Sans Light" w:cs="Open Sans Light"/>
          <w:b/>
          <w:bCs/>
          <w:sz w:val="16"/>
          <w:szCs w:val="16"/>
          <w:shd w:val="clear" w:color="auto" w:fill="FFFFFF"/>
        </w:rPr>
        <w:t xml:space="preserve">Daugiau informacijos: </w:t>
      </w:r>
    </w:p>
    <w:p w14:paraId="72CC1BAE" w14:textId="37FF001B" w:rsidR="004A56E8" w:rsidRPr="00DE36A6" w:rsidRDefault="00DE36A6" w:rsidP="00DE36A6">
      <w:pPr>
        <w:jc w:val="left"/>
        <w:rPr>
          <w:rFonts w:ascii="Open Sans Light" w:hAnsi="Open Sans Light" w:cs="Open Sans Light"/>
          <w:color w:val="3B3838" w:themeColor="background2" w:themeShade="40"/>
          <w:sz w:val="16"/>
          <w:szCs w:val="16"/>
          <w:lang w:eastAsia="lt-LT"/>
        </w:rPr>
      </w:pPr>
      <w:r w:rsidRPr="00DE36A6">
        <w:rPr>
          <w:rFonts w:ascii="Open Sans Light" w:hAnsi="Open Sans Light" w:cs="Open Sans Light"/>
          <w:sz w:val="16"/>
          <w:szCs w:val="16"/>
          <w:lang w:eastAsia="lt-LT"/>
        </w:rPr>
        <w:t>Rytas Stalnionis</w:t>
      </w:r>
      <w:r w:rsidRPr="00DE36A6">
        <w:rPr>
          <w:rFonts w:ascii="Open Sans Light" w:hAnsi="Open Sans Light" w:cs="Open Sans Light"/>
          <w:sz w:val="16"/>
          <w:szCs w:val="16"/>
          <w:lang w:eastAsia="lt-LT"/>
        </w:rPr>
        <w:br/>
        <w:t>Komunikacijos vadovas</w:t>
      </w:r>
      <w:r w:rsidRPr="00DE36A6">
        <w:rPr>
          <w:rFonts w:ascii="Open Sans Light" w:hAnsi="Open Sans Light" w:cs="Open Sans Light"/>
          <w:sz w:val="16"/>
          <w:szCs w:val="16"/>
          <w:lang w:eastAsia="lt-LT"/>
        </w:rPr>
        <w:br/>
        <w:t>Tel.: +370 614 01829</w:t>
      </w:r>
      <w:r w:rsidRPr="00DE36A6">
        <w:rPr>
          <w:rFonts w:ascii="Open Sans Light" w:hAnsi="Open Sans Light" w:cs="Open Sans Light"/>
          <w:sz w:val="16"/>
          <w:szCs w:val="16"/>
          <w:lang w:eastAsia="lt-LT"/>
        </w:rPr>
        <w:br/>
        <w:t xml:space="preserve">El. paštas </w:t>
      </w:r>
      <w:hyperlink r:id="rId7" w:history="1">
        <w:r w:rsidR="00026D7F">
          <w:rPr>
            <w:rStyle w:val="Hyperlink"/>
            <w:rFonts w:ascii="Open Sans Light" w:hAnsi="Open Sans Light" w:cs="Open Sans Light"/>
            <w:b/>
            <w:bCs/>
            <w:color w:val="3B3838" w:themeColor="background2" w:themeShade="40"/>
            <w:sz w:val="16"/>
            <w:szCs w:val="16"/>
            <w:u w:val="none"/>
            <w:lang w:eastAsia="lt-LT"/>
          </w:rPr>
          <w:t>rytas@profitus.lt</w:t>
        </w:r>
      </w:hyperlink>
      <w:r w:rsidRPr="00DE36A6">
        <w:rPr>
          <w:rFonts w:ascii="Open Sans Light" w:hAnsi="Open Sans Light" w:cs="Open Sans Light"/>
          <w:b/>
          <w:bCs/>
          <w:sz w:val="16"/>
          <w:szCs w:val="16"/>
          <w:lang w:eastAsia="lt-LT"/>
        </w:rPr>
        <w:br/>
      </w:r>
      <w:hyperlink r:id="rId8" w:history="1">
        <w:r w:rsidR="00026D7F">
          <w:rPr>
            <w:rStyle w:val="Hyperlink"/>
            <w:rFonts w:ascii="Open Sans Light" w:hAnsi="Open Sans Light" w:cs="Open Sans Light"/>
            <w:b/>
            <w:bCs/>
            <w:color w:val="3B3838" w:themeColor="background2" w:themeShade="40"/>
            <w:sz w:val="16"/>
            <w:szCs w:val="16"/>
            <w:u w:val="none"/>
            <w:lang w:eastAsia="lt-LT"/>
          </w:rPr>
          <w:t>www.profitus.lt</w:t>
        </w:r>
      </w:hyperlink>
    </w:p>
    <w:sectPr w:rsidR="004A56E8" w:rsidRPr="00DE36A6" w:rsidSect="00F4137E">
      <w:pgSz w:w="11900" w:h="16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 (Headings)">
    <w:altName w:val="Calibri Light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BD"/>
    <w:rsid w:val="000006C2"/>
    <w:rsid w:val="000029B4"/>
    <w:rsid w:val="00023EDC"/>
    <w:rsid w:val="00026D7F"/>
    <w:rsid w:val="0003392C"/>
    <w:rsid w:val="000356E0"/>
    <w:rsid w:val="00036E7B"/>
    <w:rsid w:val="00047D55"/>
    <w:rsid w:val="0005184F"/>
    <w:rsid w:val="0005379C"/>
    <w:rsid w:val="00072645"/>
    <w:rsid w:val="00073622"/>
    <w:rsid w:val="00080EDE"/>
    <w:rsid w:val="00085449"/>
    <w:rsid w:val="000B67FF"/>
    <w:rsid w:val="000D5CC1"/>
    <w:rsid w:val="000D7E1B"/>
    <w:rsid w:val="000E2A23"/>
    <w:rsid w:val="000E4A77"/>
    <w:rsid w:val="000E7CB0"/>
    <w:rsid w:val="000F33AA"/>
    <w:rsid w:val="00105CDC"/>
    <w:rsid w:val="001156FF"/>
    <w:rsid w:val="00116662"/>
    <w:rsid w:val="001215AE"/>
    <w:rsid w:val="00122081"/>
    <w:rsid w:val="001309E5"/>
    <w:rsid w:val="00141A9F"/>
    <w:rsid w:val="00172947"/>
    <w:rsid w:val="00177F44"/>
    <w:rsid w:val="001B2AF0"/>
    <w:rsid w:val="001C03EE"/>
    <w:rsid w:val="001D1D7F"/>
    <w:rsid w:val="001E7A0E"/>
    <w:rsid w:val="001F19B0"/>
    <w:rsid w:val="001F28D6"/>
    <w:rsid w:val="002100CD"/>
    <w:rsid w:val="0021393B"/>
    <w:rsid w:val="00213D5C"/>
    <w:rsid w:val="00217FED"/>
    <w:rsid w:val="0022005C"/>
    <w:rsid w:val="00223360"/>
    <w:rsid w:val="00224FF0"/>
    <w:rsid w:val="0022674A"/>
    <w:rsid w:val="00233580"/>
    <w:rsid w:val="00237973"/>
    <w:rsid w:val="00242118"/>
    <w:rsid w:val="00267E94"/>
    <w:rsid w:val="00277561"/>
    <w:rsid w:val="00284636"/>
    <w:rsid w:val="002921A4"/>
    <w:rsid w:val="002A5ED8"/>
    <w:rsid w:val="002D2E96"/>
    <w:rsid w:val="002E0FB4"/>
    <w:rsid w:val="002F3302"/>
    <w:rsid w:val="00305291"/>
    <w:rsid w:val="003052FC"/>
    <w:rsid w:val="00333003"/>
    <w:rsid w:val="00335979"/>
    <w:rsid w:val="003440C8"/>
    <w:rsid w:val="0035193F"/>
    <w:rsid w:val="00364198"/>
    <w:rsid w:val="00365E01"/>
    <w:rsid w:val="00366B7E"/>
    <w:rsid w:val="00367688"/>
    <w:rsid w:val="003823EE"/>
    <w:rsid w:val="00383101"/>
    <w:rsid w:val="003A0824"/>
    <w:rsid w:val="003B2FB1"/>
    <w:rsid w:val="003C7C63"/>
    <w:rsid w:val="003E368C"/>
    <w:rsid w:val="003F2F66"/>
    <w:rsid w:val="00412C52"/>
    <w:rsid w:val="004141D1"/>
    <w:rsid w:val="00427819"/>
    <w:rsid w:val="004462DF"/>
    <w:rsid w:val="004528AB"/>
    <w:rsid w:val="0045675D"/>
    <w:rsid w:val="004A56E8"/>
    <w:rsid w:val="004B2CC4"/>
    <w:rsid w:val="004C3F90"/>
    <w:rsid w:val="004D35EF"/>
    <w:rsid w:val="004D4E55"/>
    <w:rsid w:val="00500D76"/>
    <w:rsid w:val="005063B9"/>
    <w:rsid w:val="00521FC9"/>
    <w:rsid w:val="00526C62"/>
    <w:rsid w:val="00526D90"/>
    <w:rsid w:val="0053316B"/>
    <w:rsid w:val="00544510"/>
    <w:rsid w:val="00546DB6"/>
    <w:rsid w:val="005542D0"/>
    <w:rsid w:val="0056798A"/>
    <w:rsid w:val="00567AF9"/>
    <w:rsid w:val="00572C2F"/>
    <w:rsid w:val="005A0ACC"/>
    <w:rsid w:val="005A4E07"/>
    <w:rsid w:val="005C4B60"/>
    <w:rsid w:val="005D7AB7"/>
    <w:rsid w:val="006104C8"/>
    <w:rsid w:val="00635D05"/>
    <w:rsid w:val="00645251"/>
    <w:rsid w:val="0064560D"/>
    <w:rsid w:val="00692C17"/>
    <w:rsid w:val="006A4C06"/>
    <w:rsid w:val="006A5F3D"/>
    <w:rsid w:val="006B0992"/>
    <w:rsid w:val="006B16E6"/>
    <w:rsid w:val="006C1EDA"/>
    <w:rsid w:val="006D134C"/>
    <w:rsid w:val="00713D6B"/>
    <w:rsid w:val="00725440"/>
    <w:rsid w:val="00727F3E"/>
    <w:rsid w:val="00733933"/>
    <w:rsid w:val="00740171"/>
    <w:rsid w:val="007452CB"/>
    <w:rsid w:val="00767FC0"/>
    <w:rsid w:val="00780F04"/>
    <w:rsid w:val="0078352C"/>
    <w:rsid w:val="007940B8"/>
    <w:rsid w:val="00794CB0"/>
    <w:rsid w:val="00794FD0"/>
    <w:rsid w:val="007B694C"/>
    <w:rsid w:val="007D4DD8"/>
    <w:rsid w:val="007E72F1"/>
    <w:rsid w:val="00825F12"/>
    <w:rsid w:val="00842C88"/>
    <w:rsid w:val="00854938"/>
    <w:rsid w:val="00862D84"/>
    <w:rsid w:val="00863EB3"/>
    <w:rsid w:val="008718FA"/>
    <w:rsid w:val="00873019"/>
    <w:rsid w:val="00876445"/>
    <w:rsid w:val="008811CA"/>
    <w:rsid w:val="00886863"/>
    <w:rsid w:val="00894E8B"/>
    <w:rsid w:val="008A4DA5"/>
    <w:rsid w:val="008B1CFB"/>
    <w:rsid w:val="008B2F4F"/>
    <w:rsid w:val="008E2D60"/>
    <w:rsid w:val="008F5ABE"/>
    <w:rsid w:val="009279BC"/>
    <w:rsid w:val="00985803"/>
    <w:rsid w:val="00995769"/>
    <w:rsid w:val="009B4B88"/>
    <w:rsid w:val="009B7218"/>
    <w:rsid w:val="009C0E4C"/>
    <w:rsid w:val="009D2439"/>
    <w:rsid w:val="009E00C8"/>
    <w:rsid w:val="009E14B1"/>
    <w:rsid w:val="00A05838"/>
    <w:rsid w:val="00A169E9"/>
    <w:rsid w:val="00A21184"/>
    <w:rsid w:val="00A33668"/>
    <w:rsid w:val="00A3703F"/>
    <w:rsid w:val="00A53AEE"/>
    <w:rsid w:val="00A61930"/>
    <w:rsid w:val="00A67B0F"/>
    <w:rsid w:val="00AA3B4F"/>
    <w:rsid w:val="00AC1FA2"/>
    <w:rsid w:val="00AC30A8"/>
    <w:rsid w:val="00AE3EC9"/>
    <w:rsid w:val="00AE5797"/>
    <w:rsid w:val="00B035DB"/>
    <w:rsid w:val="00B05E33"/>
    <w:rsid w:val="00B17B08"/>
    <w:rsid w:val="00B664DD"/>
    <w:rsid w:val="00BB1ED3"/>
    <w:rsid w:val="00BB3E9C"/>
    <w:rsid w:val="00C52A5D"/>
    <w:rsid w:val="00C614CC"/>
    <w:rsid w:val="00C62DED"/>
    <w:rsid w:val="00C67845"/>
    <w:rsid w:val="00C9048F"/>
    <w:rsid w:val="00CA0F5E"/>
    <w:rsid w:val="00CB543E"/>
    <w:rsid w:val="00CC00BD"/>
    <w:rsid w:val="00CC37FD"/>
    <w:rsid w:val="00CC5A4B"/>
    <w:rsid w:val="00CD1D80"/>
    <w:rsid w:val="00CF77FE"/>
    <w:rsid w:val="00D0064C"/>
    <w:rsid w:val="00D01CFD"/>
    <w:rsid w:val="00D049FE"/>
    <w:rsid w:val="00D244C7"/>
    <w:rsid w:val="00D277A9"/>
    <w:rsid w:val="00D34CEB"/>
    <w:rsid w:val="00D35548"/>
    <w:rsid w:val="00D3781B"/>
    <w:rsid w:val="00D57D7E"/>
    <w:rsid w:val="00D63BC9"/>
    <w:rsid w:val="00D75AF4"/>
    <w:rsid w:val="00D821E9"/>
    <w:rsid w:val="00DA1399"/>
    <w:rsid w:val="00DA36FE"/>
    <w:rsid w:val="00DA580C"/>
    <w:rsid w:val="00DB3433"/>
    <w:rsid w:val="00DB4A94"/>
    <w:rsid w:val="00DD2508"/>
    <w:rsid w:val="00DD588E"/>
    <w:rsid w:val="00DE013E"/>
    <w:rsid w:val="00DE36A6"/>
    <w:rsid w:val="00DF115C"/>
    <w:rsid w:val="00DF654C"/>
    <w:rsid w:val="00E078A8"/>
    <w:rsid w:val="00E17DEF"/>
    <w:rsid w:val="00E25EBD"/>
    <w:rsid w:val="00EB122B"/>
    <w:rsid w:val="00EB24B1"/>
    <w:rsid w:val="00EC001B"/>
    <w:rsid w:val="00EC05A7"/>
    <w:rsid w:val="00EE2BEA"/>
    <w:rsid w:val="00EE7CD9"/>
    <w:rsid w:val="00F13AB1"/>
    <w:rsid w:val="00F4137E"/>
    <w:rsid w:val="00F43A2F"/>
    <w:rsid w:val="00F52D0B"/>
    <w:rsid w:val="00F5331C"/>
    <w:rsid w:val="00F544F5"/>
    <w:rsid w:val="00F61A6F"/>
    <w:rsid w:val="00F63677"/>
    <w:rsid w:val="00F92DDB"/>
    <w:rsid w:val="00FA07A3"/>
    <w:rsid w:val="00FB05FE"/>
    <w:rsid w:val="00FB27AB"/>
    <w:rsid w:val="00F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7CACB5"/>
  <w15:chartTrackingRefBased/>
  <w15:docId w15:val="{881EFDAA-EDE4-AD4C-90C0-7A33FD0A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 Light" w:eastAsiaTheme="minorHAnsi" w:hAnsi="Calibri Light" w:cs="Calibri Light (Headings)"/>
        <w:sz w:val="21"/>
        <w:szCs w:val="21"/>
        <w:lang w:val="en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E0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E01"/>
    <w:rPr>
      <w:rFonts w:ascii="Times New Roman" w:hAnsi="Times New Roman" w:cs="Times New Roman"/>
      <w:sz w:val="18"/>
      <w:szCs w:val="18"/>
      <w:lang w:val="lt-LT"/>
    </w:rPr>
  </w:style>
  <w:style w:type="character" w:styleId="Hyperlink">
    <w:name w:val="Hyperlink"/>
    <w:basedOn w:val="DefaultParagraphFont"/>
    <w:uiPriority w:val="99"/>
    <w:unhideWhenUsed/>
    <w:rsid w:val="00365E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E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5A4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7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C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CD9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CD9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fitus.l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ytas@profitus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 Stalnionis</dc:creator>
  <cp:keywords/>
  <dc:description/>
  <cp:lastModifiedBy>Rytas Stalnionis</cp:lastModifiedBy>
  <cp:revision>19</cp:revision>
  <dcterms:created xsi:type="dcterms:W3CDTF">2020-08-20T12:31:00Z</dcterms:created>
  <dcterms:modified xsi:type="dcterms:W3CDTF">2020-09-03T13:55:00Z</dcterms:modified>
</cp:coreProperties>
</file>