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87BD66" w14:textId="6CBC8FD2" w:rsidR="00A023E8" w:rsidRPr="00146A7B" w:rsidRDefault="00963C6D" w:rsidP="0039775D">
      <w:pPr>
        <w:jc w:val="both"/>
        <w:rPr>
          <w:rFonts w:cs="Arial"/>
          <w:i/>
          <w:iCs/>
          <w:lang w:val="en-GB"/>
        </w:rPr>
      </w:pPr>
      <w:r w:rsidRPr="00146A7B">
        <w:rPr>
          <w:rFonts w:cs="Arial"/>
          <w:i/>
          <w:iCs/>
        </w:rPr>
        <w:t>Pranešimas</w:t>
      </w:r>
      <w:r w:rsidR="0096606A" w:rsidRPr="00146A7B">
        <w:rPr>
          <w:rFonts w:cs="Arial"/>
          <w:i/>
          <w:iCs/>
        </w:rPr>
        <w:t xml:space="preserve"> žiniasklaidai</w:t>
      </w:r>
      <w:r w:rsidR="003333A9" w:rsidRPr="00146A7B">
        <w:rPr>
          <w:rFonts w:cs="Arial"/>
          <w:i/>
          <w:iCs/>
        </w:rPr>
        <w:t xml:space="preserve"> </w:t>
      </w:r>
      <w:r w:rsidR="00A023E8" w:rsidRPr="00146A7B">
        <w:rPr>
          <w:rFonts w:cs="Arial"/>
          <w:i/>
          <w:iCs/>
          <w:lang w:val="en-GB"/>
        </w:rPr>
        <w:t>2021 01 04</w:t>
      </w:r>
    </w:p>
    <w:p w14:paraId="5C64FCD4" w14:textId="77777777" w:rsidR="00A023E8" w:rsidRPr="00086488" w:rsidRDefault="00A023E8" w:rsidP="00A023E8">
      <w:pPr>
        <w:spacing w:after="0"/>
        <w:rPr>
          <w:b/>
          <w:bCs/>
          <w:sz w:val="32"/>
          <w:szCs w:val="32"/>
        </w:rPr>
      </w:pPr>
      <w:r w:rsidRPr="00086488">
        <w:rPr>
          <w:b/>
          <w:bCs/>
          <w:sz w:val="32"/>
          <w:szCs w:val="32"/>
        </w:rPr>
        <w:t>Rokas Masiulis tapo „ConnectPay“ nepriklausomu valdybos nariu</w:t>
      </w:r>
    </w:p>
    <w:p w14:paraId="2944375F" w14:textId="77777777" w:rsidR="00A023E8" w:rsidRPr="006769AD" w:rsidRDefault="00A023E8" w:rsidP="00A023E8">
      <w:pPr>
        <w:spacing w:after="0"/>
      </w:pPr>
    </w:p>
    <w:p w14:paraId="4051F590" w14:textId="5614BA75" w:rsidR="00A023E8" w:rsidRPr="00782F9D" w:rsidRDefault="00A023E8" w:rsidP="00B7564E">
      <w:pPr>
        <w:jc w:val="both"/>
        <w:rPr>
          <w:b/>
          <w:bCs/>
        </w:rPr>
      </w:pPr>
      <w:r w:rsidRPr="006769AD">
        <w:rPr>
          <w:b/>
          <w:bCs/>
        </w:rPr>
        <w:t>Nuo sausio 4 d. prie finansinių technologijų UAB „ConnectPay“ valdybos prisijungė nepriklausomas narys</w:t>
      </w:r>
      <w:r w:rsidR="00086488">
        <w:rPr>
          <w:b/>
          <w:bCs/>
        </w:rPr>
        <w:t xml:space="preserve"> –</w:t>
      </w:r>
      <w:r w:rsidR="009E797E">
        <w:rPr>
          <w:b/>
          <w:bCs/>
        </w:rPr>
        <w:t xml:space="preserve"> buvęs susisiekimo ministras</w:t>
      </w:r>
      <w:r w:rsidRPr="006769AD">
        <w:rPr>
          <w:b/>
          <w:bCs/>
        </w:rPr>
        <w:t xml:space="preserve"> Rokas Masiulis. Jis taip pat užims įmonės Rizikos komiteto pirmininko pareigas ir bus atsakingas už pinigų plovimo ir terorizmo finansavimo prevenciją, rizikų valdymą ir teisinės atitikties kontrolę. </w:t>
      </w:r>
    </w:p>
    <w:p w14:paraId="6205E71C" w14:textId="46A29B1C" w:rsidR="00A023E8" w:rsidRPr="006769AD" w:rsidRDefault="00A023E8" w:rsidP="00B7564E">
      <w:pPr>
        <w:jc w:val="both"/>
      </w:pPr>
      <w:r>
        <w:t>R. Masiulis 2016–2019 m. vadovavo Susisiekimo ministerijai</w:t>
      </w:r>
      <w:r w:rsidR="00185784">
        <w:t>, taip pat jis</w:t>
      </w:r>
      <w:r w:rsidR="000A65A0">
        <w:t xml:space="preserve"> </w:t>
      </w:r>
      <w:r>
        <w:t xml:space="preserve">turi sukaupęs daugiau nei 13 m. auditoriaus patirties verslo konsultacijų ir audito bendrovėje EY, kur specializavosi finansinių įstaigų audite. </w:t>
      </w:r>
      <w:r w:rsidR="00185784">
        <w:t>Be to,</w:t>
      </w:r>
      <w:r>
        <w:t xml:space="preserve"> R. Masiulis turi 10 m. patirties griežtai reguliuojamų sektorių įmonių valdybose</w:t>
      </w:r>
      <w:r w:rsidR="33A305C2">
        <w:t>.</w:t>
      </w:r>
      <w:r>
        <w:t xml:space="preserve"> Tarp jų </w:t>
      </w:r>
      <w:r w:rsidR="00DF3FD3">
        <w:t>–</w:t>
      </w:r>
      <w:r w:rsidR="0956F200">
        <w:t xml:space="preserve"> </w:t>
      </w:r>
      <w:r>
        <w:t>AB LEO LT, UAB „Baltpool“, UAB „Litgas“, AB „Klaipėdos nafta“, AB Vilniaus šilumos tinklai.</w:t>
      </w:r>
    </w:p>
    <w:p w14:paraId="289D816E" w14:textId="5ED101AC" w:rsidR="00A023E8" w:rsidRDefault="00A023E8" w:rsidP="00B7564E">
      <w:pPr>
        <w:jc w:val="both"/>
      </w:pPr>
      <w:r>
        <w:t>„Labai džiaugiuosi galimybe prisijungti prie ambicingos ir</w:t>
      </w:r>
      <w:r w:rsidR="00590EC0">
        <w:t xml:space="preserve"> sparčiai augančios</w:t>
      </w:r>
      <w:r w:rsidRPr="00B7564E">
        <w:t xml:space="preserve"> „</w:t>
      </w:r>
      <w:r w:rsidR="008C6656">
        <w:t>ConnectPay</w:t>
      </w:r>
      <w:r w:rsidRPr="00B7564E">
        <w:t>“</w:t>
      </w:r>
      <w:r w:rsidR="008C6656">
        <w:t xml:space="preserve"> komandos</w:t>
      </w:r>
      <w:r>
        <w:t xml:space="preserve">, </w:t>
      </w:r>
      <w:r w:rsidR="000A65A0">
        <w:t>užsibrėžusios itin aukštų</w:t>
      </w:r>
      <w:r>
        <w:t xml:space="preserve"> tikslų. Neabejoju, kad mano patirtis rizikų valdymo, vidinės kontrolės srityse bus pilnai panaudota. </w:t>
      </w:r>
      <w:r w:rsidR="00CE15A3">
        <w:t>Man</w:t>
      </w:r>
      <w:r>
        <w:t xml:space="preserve"> bus labai </w:t>
      </w:r>
      <w:r w:rsidR="00FE6998">
        <w:t xml:space="preserve">malonu </w:t>
      </w:r>
      <w:r w:rsidR="00590EC0">
        <w:t>kartu vystyti</w:t>
      </w:r>
      <w:r>
        <w:t xml:space="preserve"> </w:t>
      </w:r>
      <w:r w:rsidR="008C6656">
        <w:t>inovatyvius</w:t>
      </w:r>
      <w:r>
        <w:t xml:space="preserve"> bankininkystės produkt</w:t>
      </w:r>
      <w:r w:rsidR="00590EC0">
        <w:t>us</w:t>
      </w:r>
      <w:r>
        <w:t xml:space="preserve">, kurie padės Lietuvos ir užsienio finansinių paslaugų naudotojams gauti </w:t>
      </w:r>
      <w:r w:rsidR="00590EC0">
        <w:t>aukšto lygio skaitmenizuotas</w:t>
      </w:r>
      <w:r>
        <w:t xml:space="preserve"> paslaugas“, – sako R. Masiulis. </w:t>
      </w:r>
    </w:p>
    <w:p w14:paraId="6BDFED2D" w14:textId="327AD6B1" w:rsidR="00590EC0" w:rsidRPr="00B7564E" w:rsidRDefault="00590EC0" w:rsidP="00B7564E">
      <w:pPr>
        <w:pStyle w:val="CommentText"/>
        <w:jc w:val="both"/>
        <w:rPr>
          <w:sz w:val="22"/>
          <w:szCs w:val="22"/>
        </w:rPr>
      </w:pPr>
      <w:r w:rsidRPr="00B7564E">
        <w:rPr>
          <w:sz w:val="22"/>
          <w:szCs w:val="22"/>
        </w:rPr>
        <w:t>2018 m. veiklą pradėjusi „ConnectPay“ yra antra didžiausia elektroninių pinigų įstaig</w:t>
      </w:r>
      <w:r w:rsidR="007C090F" w:rsidRPr="00B7564E">
        <w:rPr>
          <w:sz w:val="22"/>
          <w:szCs w:val="22"/>
        </w:rPr>
        <w:t>a</w:t>
      </w:r>
      <w:r w:rsidRPr="00B7564E">
        <w:rPr>
          <w:sz w:val="22"/>
          <w:szCs w:val="22"/>
        </w:rPr>
        <w:t xml:space="preserve"> Lietuvoje pagal</w:t>
      </w:r>
      <w:r w:rsidR="00B7564E">
        <w:rPr>
          <w:sz w:val="22"/>
          <w:szCs w:val="22"/>
        </w:rPr>
        <w:t xml:space="preserve"> </w:t>
      </w:r>
      <w:r w:rsidRPr="00B7564E">
        <w:rPr>
          <w:sz w:val="22"/>
          <w:szCs w:val="22"/>
        </w:rPr>
        <w:t xml:space="preserve">aptarnaujamų mokėjimų vertę. 2019 m. įmonėje aptarnautų mokėjimų vertė siekė 0,9 mlrd. eurų, </w:t>
      </w:r>
      <w:r w:rsidR="00855F08">
        <w:rPr>
          <w:sz w:val="22"/>
          <w:szCs w:val="22"/>
        </w:rPr>
        <w:t xml:space="preserve">o per </w:t>
      </w:r>
      <w:r w:rsidRPr="00B7564E">
        <w:rPr>
          <w:sz w:val="22"/>
          <w:szCs w:val="22"/>
        </w:rPr>
        <w:t xml:space="preserve">2020 m. </w:t>
      </w:r>
      <w:r w:rsidR="00855F08">
        <w:rPr>
          <w:sz w:val="22"/>
          <w:szCs w:val="22"/>
        </w:rPr>
        <w:t>pria</w:t>
      </w:r>
      <w:r w:rsidRPr="00B7564E">
        <w:rPr>
          <w:sz w:val="22"/>
          <w:szCs w:val="22"/>
        </w:rPr>
        <w:t>rtėj</w:t>
      </w:r>
      <w:r w:rsidR="002D7B8C">
        <w:rPr>
          <w:sz w:val="22"/>
          <w:szCs w:val="22"/>
        </w:rPr>
        <w:t>o</w:t>
      </w:r>
      <w:r w:rsidRPr="00B7564E">
        <w:rPr>
          <w:sz w:val="22"/>
          <w:szCs w:val="22"/>
        </w:rPr>
        <w:t xml:space="preserve"> </w:t>
      </w:r>
      <w:r w:rsidRPr="00F12E65">
        <w:rPr>
          <w:sz w:val="22"/>
          <w:szCs w:val="22"/>
        </w:rPr>
        <w:t xml:space="preserve">prie </w:t>
      </w:r>
      <w:r w:rsidR="00F12E65" w:rsidRPr="00F12E65">
        <w:rPr>
          <w:sz w:val="22"/>
          <w:szCs w:val="22"/>
        </w:rPr>
        <w:t>5,5</w:t>
      </w:r>
      <w:r w:rsidRPr="00F12E65">
        <w:rPr>
          <w:sz w:val="22"/>
          <w:szCs w:val="22"/>
        </w:rPr>
        <w:t xml:space="preserve"> mlrd</w:t>
      </w:r>
      <w:r w:rsidRPr="00B7564E">
        <w:rPr>
          <w:sz w:val="22"/>
          <w:szCs w:val="22"/>
        </w:rPr>
        <w:t>. eurų per metus.</w:t>
      </w:r>
    </w:p>
    <w:p w14:paraId="089AD921" w14:textId="65C8084D" w:rsidR="00590EC0" w:rsidRPr="00B7564E" w:rsidRDefault="00590EC0" w:rsidP="00B7564E">
      <w:pPr>
        <w:pStyle w:val="CommentText"/>
        <w:jc w:val="both"/>
        <w:rPr>
          <w:sz w:val="22"/>
          <w:szCs w:val="22"/>
        </w:rPr>
      </w:pPr>
      <w:r w:rsidRPr="00B7564E">
        <w:rPr>
          <w:sz w:val="22"/>
          <w:szCs w:val="22"/>
        </w:rPr>
        <w:t xml:space="preserve">„ConnectPay“ pajamos augo nuo 1,5 mln. eurų 2019 m. iki 4,5 mln. eurų </w:t>
      </w:r>
      <w:r w:rsidR="00086488">
        <w:rPr>
          <w:sz w:val="22"/>
          <w:szCs w:val="22"/>
        </w:rPr>
        <w:t>2020 m</w:t>
      </w:r>
      <w:r w:rsidRPr="00B7564E">
        <w:rPr>
          <w:sz w:val="22"/>
          <w:szCs w:val="22"/>
        </w:rPr>
        <w:t>. 2021-aisiais bendrovė ketina augti 2,5 karto ir pasiekti maždaug 11 mln. eurų metines pajamas.</w:t>
      </w:r>
    </w:p>
    <w:p w14:paraId="0FCDCFB1" w14:textId="40643AAA" w:rsidR="00A023E8" w:rsidRPr="006769AD" w:rsidRDefault="00A023E8" w:rsidP="00B7564E">
      <w:pPr>
        <w:jc w:val="both"/>
      </w:pPr>
      <w:r w:rsidRPr="006769AD">
        <w:t>„Turime ambicingą tikslą – iki 2024 m. išauginti milijard</w:t>
      </w:r>
      <w:r w:rsidR="00185784">
        <w:t>o</w:t>
      </w:r>
      <w:r w:rsidRPr="006769AD">
        <w:t xml:space="preserve"> vertės įmonę. Tai reiškia, kad esame didelio ir greito augimo etape, kuriame vienas svarbiausių prioritetų – rizikų valdymas ir teisinė atitiktis. Dėl to ne tik investuojame į technologinius sprendimus, mokymus, geriausių specialistų prisitraukimą, bet ir stipriname strateginį lygmenį. Tikime, kad </w:t>
      </w:r>
      <w:r w:rsidR="00B24B1A" w:rsidRPr="006769AD">
        <w:t>R</w:t>
      </w:r>
      <w:r w:rsidR="00B24B1A">
        <w:t>. Masiulio</w:t>
      </w:r>
      <w:r w:rsidR="00B24B1A" w:rsidRPr="006769AD">
        <w:t xml:space="preserve"> </w:t>
      </w:r>
      <w:r w:rsidRPr="006769AD">
        <w:t>patirtis – tiek kaip auditoriaus, tiek kaip valdybos nario stipriai reguliuojamų sektorių įmonėse – mums padės tapti finansinių technologijų rinkos lyderiais. Negana to, Rokas yra puikus vadovas, kuris prisidės prie komandos lydery</w:t>
      </w:r>
      <w:r>
        <w:t>s</w:t>
      </w:r>
      <w:r w:rsidRPr="006769AD">
        <w:t>tės stiprinimo“, – sako Marius Galdikas, „ConnectPay“ generalinis direktorius.</w:t>
      </w:r>
    </w:p>
    <w:p w14:paraId="14ACF297" w14:textId="602B6811" w:rsidR="00A023E8" w:rsidRPr="006769AD" w:rsidRDefault="00A023E8" w:rsidP="00B7564E">
      <w:pPr>
        <w:jc w:val="both"/>
      </w:pPr>
      <w:r w:rsidRPr="006769AD">
        <w:t>„ConnectPay“ orientuojasi į klientus, kurie daugiausia savo veiklą vykdo internete. Bendrovė suteikia galimybę verslo klientams atsidaryti IBAN tipo sąskaitą, gauti ir siųsti mokėjimus. Šių metų lapkričio gale „ConnectPay“ taip pat gavo Lietuvos banko leidimą papildyti jos turimą elektroninių pinigų įstaigos licenciją teise teikti dvi papildomas mokėjimo paslaugas – mokėjimo inicijavimo ir sąskaitos informacijos.</w:t>
      </w:r>
    </w:p>
    <w:p w14:paraId="12972F92" w14:textId="6323ED65" w:rsidR="00782F9D" w:rsidRPr="00782F9D" w:rsidRDefault="00A023E8" w:rsidP="00B7564E">
      <w:pPr>
        <w:jc w:val="both"/>
        <w:rPr>
          <w:b/>
          <w:bCs/>
        </w:rPr>
      </w:pPr>
      <w:r w:rsidRPr="006769AD">
        <w:rPr>
          <w:b/>
          <w:bCs/>
        </w:rPr>
        <w:t>Apie „ConnectPay“</w:t>
      </w:r>
    </w:p>
    <w:p w14:paraId="46C23DCE" w14:textId="7457166D" w:rsidR="00A023E8" w:rsidRDefault="00A023E8" w:rsidP="00B7564E">
      <w:pPr>
        <w:jc w:val="both"/>
      </w:pPr>
      <w:r w:rsidRPr="006769AD">
        <w:t>100 proc. UAB „ConnectPay“ akcijų priklauso Britanijos piliečiui, rizikos kapitalo investuotojui Deependra Singh Bhartari, kuris turi sukaupęs 17 metų patirties mokėjimų ir programinės įrangos kūrimo rinkoje. Jis investuoja į įvairiuose sektoriuose veikiančias interneto verslo įmones.</w:t>
      </w:r>
    </w:p>
    <w:p w14:paraId="5022A6C7" w14:textId="5BC8137D" w:rsidR="00A023E8" w:rsidRPr="00B7564E" w:rsidRDefault="00A023E8" w:rsidP="00B7564E">
      <w:pPr>
        <w:jc w:val="both"/>
      </w:pPr>
      <w:r w:rsidRPr="006769AD">
        <w:t>Lietuvą savo investicijoms D. S. Bhartari pasirinko dėl palankių teisinių sąlygų finansų technologijų („fintech“) srities įmonėms ir finansų srityje patyrusių lietuvių partnerių. ,,ConnectPay“ vadovai yra sukaupę patirties tokiose institucijose kaip SEB, „Western Union“, „Investuok Lietuvoje“, IBM, N26, Barclays ir t.t.</w:t>
      </w:r>
    </w:p>
    <w:p w14:paraId="53A1DCAD" w14:textId="412A0188" w:rsidR="00685896" w:rsidRPr="000D618D" w:rsidRDefault="007570B8" w:rsidP="00483CF6">
      <w:pPr>
        <w:jc w:val="both"/>
        <w:rPr>
          <w:rFonts w:cs="Arial"/>
          <w:b/>
          <w:bCs/>
        </w:rPr>
      </w:pPr>
      <w:r w:rsidRPr="000D618D">
        <w:rPr>
          <w:rFonts w:cs="Arial"/>
          <w:b/>
          <w:bCs/>
        </w:rPr>
        <w:t>Kontaktai žiniasklaidai:</w:t>
      </w:r>
    </w:p>
    <w:p w14:paraId="47231C81" w14:textId="2D6F7698" w:rsidR="000D618D" w:rsidRDefault="007570B8" w:rsidP="000D618D">
      <w:pPr>
        <w:spacing w:after="0" w:line="240" w:lineRule="auto"/>
        <w:jc w:val="both"/>
        <w:rPr>
          <w:rFonts w:cs="Arial"/>
        </w:rPr>
      </w:pPr>
      <w:r w:rsidRPr="003333A9">
        <w:rPr>
          <w:rFonts w:cs="Arial"/>
        </w:rPr>
        <w:t>Greta Jankaitytė</w:t>
      </w:r>
    </w:p>
    <w:p w14:paraId="7691D533" w14:textId="73DED876" w:rsidR="007570B8" w:rsidRPr="000D618D" w:rsidRDefault="007570B8" w:rsidP="000D618D">
      <w:pPr>
        <w:spacing w:after="0" w:line="240" w:lineRule="auto"/>
        <w:jc w:val="both"/>
        <w:rPr>
          <w:rFonts w:cs="Arial"/>
        </w:rPr>
      </w:pPr>
      <w:r w:rsidRPr="00794848">
        <w:rPr>
          <w:rFonts w:cs="Arial"/>
          <w:lang w:val="pl-PL"/>
        </w:rPr>
        <w:t>+37061273440</w:t>
      </w:r>
    </w:p>
    <w:p w14:paraId="03509633" w14:textId="506E2ADE" w:rsidR="007570B8" w:rsidRPr="00794848" w:rsidRDefault="00831C1A" w:rsidP="000D618D">
      <w:pPr>
        <w:spacing w:after="0" w:line="240" w:lineRule="auto"/>
        <w:jc w:val="both"/>
        <w:rPr>
          <w:rFonts w:cs="Arial"/>
          <w:lang w:val="pl-PL"/>
        </w:rPr>
      </w:pPr>
      <w:hyperlink w:history="1">
        <w:r w:rsidR="005D5C92" w:rsidRPr="006B78B0">
          <w:rPr>
            <w:rStyle w:val="Hyperlink"/>
            <w:rFonts w:cs="Arial"/>
          </w:rPr>
          <w:t>greta.j</w:t>
        </w:r>
        <w:r w:rsidR="005D5C92" w:rsidRPr="006B78B0">
          <w:rPr>
            <w:rStyle w:val="Hyperlink"/>
            <w:rFonts w:cs="Arial"/>
            <w:lang w:val="pl-PL"/>
          </w:rPr>
          <w:t>@coagency.lt</w:t>
        </w:r>
      </w:hyperlink>
    </w:p>
    <w:p w14:paraId="11AAECD8" w14:textId="654CE6F8" w:rsidR="00620814" w:rsidRDefault="00620814" w:rsidP="00483CF6">
      <w:pPr>
        <w:jc w:val="both"/>
        <w:rPr>
          <w:rFonts w:asciiTheme="majorHAnsi" w:hAnsiTheme="majorHAnsi" w:cstheme="majorHAnsi"/>
        </w:rPr>
      </w:pPr>
    </w:p>
    <w:p w14:paraId="5245A364" w14:textId="77777777" w:rsidR="00620814" w:rsidRPr="003333A9" w:rsidRDefault="00620814" w:rsidP="00483CF6">
      <w:pPr>
        <w:jc w:val="both"/>
        <w:rPr>
          <w:rFonts w:cs="Arial"/>
        </w:rPr>
      </w:pPr>
    </w:p>
    <w:p w14:paraId="454A6300" w14:textId="77777777" w:rsidR="006E6928" w:rsidRPr="003333A9" w:rsidRDefault="006E6928" w:rsidP="00483CF6">
      <w:pPr>
        <w:jc w:val="both"/>
        <w:rPr>
          <w:rFonts w:cs="Arial"/>
        </w:rPr>
      </w:pPr>
    </w:p>
    <w:p w14:paraId="4D5C0C65" w14:textId="77777777" w:rsidR="00087BBA" w:rsidRPr="003333A9" w:rsidRDefault="00087BBA" w:rsidP="00483CF6">
      <w:pPr>
        <w:jc w:val="both"/>
        <w:rPr>
          <w:rFonts w:cs="Arial"/>
        </w:rPr>
      </w:pPr>
    </w:p>
    <w:sectPr w:rsidR="00087BBA" w:rsidRPr="003333A9" w:rsidSect="00782F9D">
      <w:headerReference w:type="first" r:id="rId11"/>
      <w:pgSz w:w="11906" w:h="16838"/>
      <w:pgMar w:top="1560" w:right="70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5F9E1" w14:textId="77777777" w:rsidR="00831C1A" w:rsidRDefault="00831C1A" w:rsidP="00FE194C">
      <w:pPr>
        <w:spacing w:after="0" w:line="240" w:lineRule="auto"/>
      </w:pPr>
      <w:r>
        <w:separator/>
      </w:r>
    </w:p>
  </w:endnote>
  <w:endnote w:type="continuationSeparator" w:id="0">
    <w:p w14:paraId="26789A81" w14:textId="77777777" w:rsidR="00831C1A" w:rsidRDefault="00831C1A" w:rsidP="00FE1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B13C7" w14:textId="77777777" w:rsidR="00831C1A" w:rsidRDefault="00831C1A" w:rsidP="00FE194C">
      <w:pPr>
        <w:spacing w:after="0" w:line="240" w:lineRule="auto"/>
      </w:pPr>
      <w:r>
        <w:separator/>
      </w:r>
    </w:p>
  </w:footnote>
  <w:footnote w:type="continuationSeparator" w:id="0">
    <w:p w14:paraId="66C55D7E" w14:textId="77777777" w:rsidR="00831C1A" w:rsidRDefault="00831C1A" w:rsidP="00FE19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87C65" w14:textId="291FDFE5" w:rsidR="003333A9" w:rsidRDefault="003333A9" w:rsidP="0042283D">
    <w:pPr>
      <w:pStyle w:val="Header"/>
      <w:jc w:val="right"/>
    </w:pPr>
    <w:r>
      <w:rPr>
        <w:noProof/>
      </w:rPr>
      <w:drawing>
        <wp:inline distT="0" distB="0" distL="0" distR="0" wp14:anchorId="46DD0D5D" wp14:editId="295672F7">
          <wp:extent cx="2030730" cy="1065436"/>
          <wp:effectExtent l="0" t="0" r="762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logn White.png"/>
                  <pic:cNvPicPr/>
                </pic:nvPicPr>
                <pic:blipFill rotWithShape="1">
                  <a:blip r:embed="rId1">
                    <a:extLst>
                      <a:ext uri="{28A0092B-C50C-407E-A947-70E740481C1C}">
                        <a14:useLocalDpi xmlns:a14="http://schemas.microsoft.com/office/drawing/2010/main" val="0"/>
                      </a:ext>
                    </a:extLst>
                  </a:blip>
                  <a:srcRect l="23956" t="31193" r="19674" b="26558"/>
                  <a:stretch/>
                </pic:blipFill>
                <pic:spPr bwMode="auto">
                  <a:xfrm>
                    <a:off x="0" y="0"/>
                    <a:ext cx="2034672" cy="1067504"/>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6B4D46"/>
    <w:multiLevelType w:val="hybridMultilevel"/>
    <w:tmpl w:val="BF70B8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E1E131A"/>
    <w:multiLevelType w:val="hybridMultilevel"/>
    <w:tmpl w:val="E6062F3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C7D4EEE"/>
    <w:multiLevelType w:val="hybridMultilevel"/>
    <w:tmpl w:val="78D29ACA"/>
    <w:lvl w:ilvl="0" w:tplc="E18C5348">
      <w:start w:val="1"/>
      <w:numFmt w:val="bullet"/>
      <w:lvlText w:val=""/>
      <w:lvlJc w:val="left"/>
      <w:pPr>
        <w:tabs>
          <w:tab w:val="num" w:pos="720"/>
        </w:tabs>
        <w:ind w:left="720" w:hanging="360"/>
      </w:pPr>
      <w:rPr>
        <w:rFonts w:ascii="Symbol" w:hAnsi="Symbol" w:hint="default"/>
        <w:sz w:val="20"/>
      </w:rPr>
    </w:lvl>
    <w:lvl w:ilvl="1" w:tplc="507AD1C4" w:tentative="1">
      <w:start w:val="1"/>
      <w:numFmt w:val="bullet"/>
      <w:lvlText w:val=""/>
      <w:lvlJc w:val="left"/>
      <w:pPr>
        <w:tabs>
          <w:tab w:val="num" w:pos="1440"/>
        </w:tabs>
        <w:ind w:left="1440" w:hanging="360"/>
      </w:pPr>
      <w:rPr>
        <w:rFonts w:ascii="Symbol" w:hAnsi="Symbol" w:hint="default"/>
        <w:sz w:val="20"/>
      </w:rPr>
    </w:lvl>
    <w:lvl w:ilvl="2" w:tplc="E1EE112E" w:tentative="1">
      <w:start w:val="1"/>
      <w:numFmt w:val="bullet"/>
      <w:lvlText w:val=""/>
      <w:lvlJc w:val="left"/>
      <w:pPr>
        <w:tabs>
          <w:tab w:val="num" w:pos="2160"/>
        </w:tabs>
        <w:ind w:left="2160" w:hanging="360"/>
      </w:pPr>
      <w:rPr>
        <w:rFonts w:ascii="Symbol" w:hAnsi="Symbol" w:hint="default"/>
        <w:sz w:val="20"/>
      </w:rPr>
    </w:lvl>
    <w:lvl w:ilvl="3" w:tplc="4DE6C136" w:tentative="1">
      <w:start w:val="1"/>
      <w:numFmt w:val="bullet"/>
      <w:lvlText w:val=""/>
      <w:lvlJc w:val="left"/>
      <w:pPr>
        <w:tabs>
          <w:tab w:val="num" w:pos="2880"/>
        </w:tabs>
        <w:ind w:left="2880" w:hanging="360"/>
      </w:pPr>
      <w:rPr>
        <w:rFonts w:ascii="Symbol" w:hAnsi="Symbol" w:hint="default"/>
        <w:sz w:val="20"/>
      </w:rPr>
    </w:lvl>
    <w:lvl w:ilvl="4" w:tplc="DB1C47F0" w:tentative="1">
      <w:start w:val="1"/>
      <w:numFmt w:val="bullet"/>
      <w:lvlText w:val=""/>
      <w:lvlJc w:val="left"/>
      <w:pPr>
        <w:tabs>
          <w:tab w:val="num" w:pos="3600"/>
        </w:tabs>
        <w:ind w:left="3600" w:hanging="360"/>
      </w:pPr>
      <w:rPr>
        <w:rFonts w:ascii="Symbol" w:hAnsi="Symbol" w:hint="default"/>
        <w:sz w:val="20"/>
      </w:rPr>
    </w:lvl>
    <w:lvl w:ilvl="5" w:tplc="156ADAAC" w:tentative="1">
      <w:start w:val="1"/>
      <w:numFmt w:val="bullet"/>
      <w:lvlText w:val=""/>
      <w:lvlJc w:val="left"/>
      <w:pPr>
        <w:tabs>
          <w:tab w:val="num" w:pos="4320"/>
        </w:tabs>
        <w:ind w:left="4320" w:hanging="360"/>
      </w:pPr>
      <w:rPr>
        <w:rFonts w:ascii="Symbol" w:hAnsi="Symbol" w:hint="default"/>
        <w:sz w:val="20"/>
      </w:rPr>
    </w:lvl>
    <w:lvl w:ilvl="6" w:tplc="70723C46" w:tentative="1">
      <w:start w:val="1"/>
      <w:numFmt w:val="bullet"/>
      <w:lvlText w:val=""/>
      <w:lvlJc w:val="left"/>
      <w:pPr>
        <w:tabs>
          <w:tab w:val="num" w:pos="5040"/>
        </w:tabs>
        <w:ind w:left="5040" w:hanging="360"/>
      </w:pPr>
      <w:rPr>
        <w:rFonts w:ascii="Symbol" w:hAnsi="Symbol" w:hint="default"/>
        <w:sz w:val="20"/>
      </w:rPr>
    </w:lvl>
    <w:lvl w:ilvl="7" w:tplc="93EC5170" w:tentative="1">
      <w:start w:val="1"/>
      <w:numFmt w:val="bullet"/>
      <w:lvlText w:val=""/>
      <w:lvlJc w:val="left"/>
      <w:pPr>
        <w:tabs>
          <w:tab w:val="num" w:pos="5760"/>
        </w:tabs>
        <w:ind w:left="5760" w:hanging="360"/>
      </w:pPr>
      <w:rPr>
        <w:rFonts w:ascii="Symbol" w:hAnsi="Symbol" w:hint="default"/>
        <w:sz w:val="20"/>
      </w:rPr>
    </w:lvl>
    <w:lvl w:ilvl="8" w:tplc="C73850B0"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9A2"/>
    <w:rsid w:val="00000194"/>
    <w:rsid w:val="00000BEE"/>
    <w:rsid w:val="00000DD6"/>
    <w:rsid w:val="00013AD9"/>
    <w:rsid w:val="00024D94"/>
    <w:rsid w:val="000263FA"/>
    <w:rsid w:val="00040D7F"/>
    <w:rsid w:val="000422DA"/>
    <w:rsid w:val="000561D3"/>
    <w:rsid w:val="00060C38"/>
    <w:rsid w:val="00074963"/>
    <w:rsid w:val="00086488"/>
    <w:rsid w:val="000866AD"/>
    <w:rsid w:val="00087BBA"/>
    <w:rsid w:val="000919D0"/>
    <w:rsid w:val="00092392"/>
    <w:rsid w:val="000A138E"/>
    <w:rsid w:val="000A1D40"/>
    <w:rsid w:val="000A6002"/>
    <w:rsid w:val="000A65A0"/>
    <w:rsid w:val="000C37D4"/>
    <w:rsid w:val="000D0E3D"/>
    <w:rsid w:val="000D2BD2"/>
    <w:rsid w:val="000D618D"/>
    <w:rsid w:val="000F1110"/>
    <w:rsid w:val="000F3E1C"/>
    <w:rsid w:val="00104099"/>
    <w:rsid w:val="00106996"/>
    <w:rsid w:val="0011596C"/>
    <w:rsid w:val="00115C9A"/>
    <w:rsid w:val="001248B3"/>
    <w:rsid w:val="00124963"/>
    <w:rsid w:val="00125022"/>
    <w:rsid w:val="00133B34"/>
    <w:rsid w:val="0013431E"/>
    <w:rsid w:val="00143F7D"/>
    <w:rsid w:val="00146A7B"/>
    <w:rsid w:val="0015690C"/>
    <w:rsid w:val="001569B8"/>
    <w:rsid w:val="001577EC"/>
    <w:rsid w:val="001725A3"/>
    <w:rsid w:val="0017311C"/>
    <w:rsid w:val="00174EF0"/>
    <w:rsid w:val="001778D6"/>
    <w:rsid w:val="00181D5A"/>
    <w:rsid w:val="001824E3"/>
    <w:rsid w:val="00185784"/>
    <w:rsid w:val="00187123"/>
    <w:rsid w:val="00187760"/>
    <w:rsid w:val="0019195E"/>
    <w:rsid w:val="00197202"/>
    <w:rsid w:val="001B1DC3"/>
    <w:rsid w:val="001B7E7D"/>
    <w:rsid w:val="001C0C8B"/>
    <w:rsid w:val="001C3532"/>
    <w:rsid w:val="001D19A0"/>
    <w:rsid w:val="001D3D5B"/>
    <w:rsid w:val="001D7D80"/>
    <w:rsid w:val="001E355B"/>
    <w:rsid w:val="001E72F1"/>
    <w:rsid w:val="002019A2"/>
    <w:rsid w:val="002112C4"/>
    <w:rsid w:val="002147A8"/>
    <w:rsid w:val="00217F39"/>
    <w:rsid w:val="00225CE3"/>
    <w:rsid w:val="00232AC4"/>
    <w:rsid w:val="00233A66"/>
    <w:rsid w:val="002361B4"/>
    <w:rsid w:val="002363EC"/>
    <w:rsid w:val="00237C2D"/>
    <w:rsid w:val="00241442"/>
    <w:rsid w:val="00246E6C"/>
    <w:rsid w:val="002475DF"/>
    <w:rsid w:val="00271149"/>
    <w:rsid w:val="00276C52"/>
    <w:rsid w:val="00292785"/>
    <w:rsid w:val="00295A27"/>
    <w:rsid w:val="002A326E"/>
    <w:rsid w:val="002A36AA"/>
    <w:rsid w:val="002A5250"/>
    <w:rsid w:val="002C48FB"/>
    <w:rsid w:val="002C74D2"/>
    <w:rsid w:val="002D2408"/>
    <w:rsid w:val="002D52D4"/>
    <w:rsid w:val="002D5B00"/>
    <w:rsid w:val="002D6F4A"/>
    <w:rsid w:val="002D7B8C"/>
    <w:rsid w:val="002E0FBF"/>
    <w:rsid w:val="002F1128"/>
    <w:rsid w:val="002F1B38"/>
    <w:rsid w:val="002F4BCA"/>
    <w:rsid w:val="003015FA"/>
    <w:rsid w:val="00312ECB"/>
    <w:rsid w:val="00314BA4"/>
    <w:rsid w:val="003209D9"/>
    <w:rsid w:val="0032175F"/>
    <w:rsid w:val="003333A9"/>
    <w:rsid w:val="00335792"/>
    <w:rsid w:val="00341727"/>
    <w:rsid w:val="00345BEF"/>
    <w:rsid w:val="003504ED"/>
    <w:rsid w:val="003609B2"/>
    <w:rsid w:val="00363D77"/>
    <w:rsid w:val="00371D2F"/>
    <w:rsid w:val="00372AFF"/>
    <w:rsid w:val="003777BD"/>
    <w:rsid w:val="0038005D"/>
    <w:rsid w:val="00392405"/>
    <w:rsid w:val="00392F50"/>
    <w:rsid w:val="0039775D"/>
    <w:rsid w:val="003A1430"/>
    <w:rsid w:val="003A2016"/>
    <w:rsid w:val="003A21E8"/>
    <w:rsid w:val="003A6344"/>
    <w:rsid w:val="003A7C4A"/>
    <w:rsid w:val="003C0154"/>
    <w:rsid w:val="003C15D1"/>
    <w:rsid w:val="003D5BE9"/>
    <w:rsid w:val="003E2A66"/>
    <w:rsid w:val="003E2C11"/>
    <w:rsid w:val="003E7556"/>
    <w:rsid w:val="003F20D3"/>
    <w:rsid w:val="004077EC"/>
    <w:rsid w:val="004108E1"/>
    <w:rsid w:val="00412F2F"/>
    <w:rsid w:val="00415EDC"/>
    <w:rsid w:val="004169C6"/>
    <w:rsid w:val="004170C4"/>
    <w:rsid w:val="0042283D"/>
    <w:rsid w:val="00425F98"/>
    <w:rsid w:val="00444E23"/>
    <w:rsid w:val="00446778"/>
    <w:rsid w:val="00447617"/>
    <w:rsid w:val="00456724"/>
    <w:rsid w:val="00456CD2"/>
    <w:rsid w:val="00463193"/>
    <w:rsid w:val="00467147"/>
    <w:rsid w:val="00477E91"/>
    <w:rsid w:val="00481ACF"/>
    <w:rsid w:val="00483CF6"/>
    <w:rsid w:val="004974ED"/>
    <w:rsid w:val="004A0150"/>
    <w:rsid w:val="004A22A9"/>
    <w:rsid w:val="004A42F4"/>
    <w:rsid w:val="004A5338"/>
    <w:rsid w:val="004A544E"/>
    <w:rsid w:val="004B0B0C"/>
    <w:rsid w:val="004B338C"/>
    <w:rsid w:val="004B6D50"/>
    <w:rsid w:val="004C0301"/>
    <w:rsid w:val="004C1E67"/>
    <w:rsid w:val="004D22DE"/>
    <w:rsid w:val="004D49F6"/>
    <w:rsid w:val="004D6211"/>
    <w:rsid w:val="004D7665"/>
    <w:rsid w:val="004D7B29"/>
    <w:rsid w:val="004D7E8D"/>
    <w:rsid w:val="004D7F18"/>
    <w:rsid w:val="004E1AB5"/>
    <w:rsid w:val="004E2577"/>
    <w:rsid w:val="004F4B2A"/>
    <w:rsid w:val="004F664A"/>
    <w:rsid w:val="00500EF9"/>
    <w:rsid w:val="005031A7"/>
    <w:rsid w:val="00506113"/>
    <w:rsid w:val="005069B0"/>
    <w:rsid w:val="0052221F"/>
    <w:rsid w:val="00522628"/>
    <w:rsid w:val="00532A9E"/>
    <w:rsid w:val="005363AD"/>
    <w:rsid w:val="0053698F"/>
    <w:rsid w:val="00540747"/>
    <w:rsid w:val="00552509"/>
    <w:rsid w:val="005614C2"/>
    <w:rsid w:val="005634BD"/>
    <w:rsid w:val="005654D3"/>
    <w:rsid w:val="005718CE"/>
    <w:rsid w:val="00573425"/>
    <w:rsid w:val="00573429"/>
    <w:rsid w:val="00581A37"/>
    <w:rsid w:val="00584D1A"/>
    <w:rsid w:val="00590910"/>
    <w:rsid w:val="00590EC0"/>
    <w:rsid w:val="00592C84"/>
    <w:rsid w:val="005960D1"/>
    <w:rsid w:val="005A3511"/>
    <w:rsid w:val="005A7276"/>
    <w:rsid w:val="005B08B2"/>
    <w:rsid w:val="005B67D9"/>
    <w:rsid w:val="005B7E70"/>
    <w:rsid w:val="005C0B48"/>
    <w:rsid w:val="005C5D15"/>
    <w:rsid w:val="005D5C92"/>
    <w:rsid w:val="005E2126"/>
    <w:rsid w:val="005E41FF"/>
    <w:rsid w:val="005E59DC"/>
    <w:rsid w:val="005E5AD4"/>
    <w:rsid w:val="005F18B6"/>
    <w:rsid w:val="00602F49"/>
    <w:rsid w:val="00607631"/>
    <w:rsid w:val="00607ACF"/>
    <w:rsid w:val="0061034D"/>
    <w:rsid w:val="00611D03"/>
    <w:rsid w:val="00613E77"/>
    <w:rsid w:val="00614041"/>
    <w:rsid w:val="006156EE"/>
    <w:rsid w:val="00620464"/>
    <w:rsid w:val="00620814"/>
    <w:rsid w:val="00621129"/>
    <w:rsid w:val="00624E91"/>
    <w:rsid w:val="0062507F"/>
    <w:rsid w:val="00625A37"/>
    <w:rsid w:val="00635E89"/>
    <w:rsid w:val="00636FCE"/>
    <w:rsid w:val="00637FDD"/>
    <w:rsid w:val="006432EC"/>
    <w:rsid w:val="00653142"/>
    <w:rsid w:val="0065359D"/>
    <w:rsid w:val="006611BE"/>
    <w:rsid w:val="006674C9"/>
    <w:rsid w:val="00667E05"/>
    <w:rsid w:val="006708DE"/>
    <w:rsid w:val="0067754D"/>
    <w:rsid w:val="00685896"/>
    <w:rsid w:val="006921AF"/>
    <w:rsid w:val="00694E9E"/>
    <w:rsid w:val="006956C6"/>
    <w:rsid w:val="006A0144"/>
    <w:rsid w:val="006A2593"/>
    <w:rsid w:val="006A3A10"/>
    <w:rsid w:val="006B3197"/>
    <w:rsid w:val="006B4B1A"/>
    <w:rsid w:val="006B4B7E"/>
    <w:rsid w:val="006C647D"/>
    <w:rsid w:val="006D15D7"/>
    <w:rsid w:val="006E0E9E"/>
    <w:rsid w:val="006E3EC3"/>
    <w:rsid w:val="006E5938"/>
    <w:rsid w:val="006E6928"/>
    <w:rsid w:val="006F3A29"/>
    <w:rsid w:val="007023D9"/>
    <w:rsid w:val="00704013"/>
    <w:rsid w:val="00705635"/>
    <w:rsid w:val="007071F0"/>
    <w:rsid w:val="00713178"/>
    <w:rsid w:val="00722473"/>
    <w:rsid w:val="0072378D"/>
    <w:rsid w:val="00723C3F"/>
    <w:rsid w:val="00743044"/>
    <w:rsid w:val="00750F0E"/>
    <w:rsid w:val="007570B8"/>
    <w:rsid w:val="0075744A"/>
    <w:rsid w:val="0076052F"/>
    <w:rsid w:val="007620A7"/>
    <w:rsid w:val="007727C3"/>
    <w:rsid w:val="00773477"/>
    <w:rsid w:val="00777718"/>
    <w:rsid w:val="00782072"/>
    <w:rsid w:val="00782539"/>
    <w:rsid w:val="00782F9D"/>
    <w:rsid w:val="007920E0"/>
    <w:rsid w:val="00793A16"/>
    <w:rsid w:val="007940EA"/>
    <w:rsid w:val="00794848"/>
    <w:rsid w:val="007B1648"/>
    <w:rsid w:val="007C090F"/>
    <w:rsid w:val="007C2CB9"/>
    <w:rsid w:val="007C483B"/>
    <w:rsid w:val="007C7B40"/>
    <w:rsid w:val="007D0427"/>
    <w:rsid w:val="007D087B"/>
    <w:rsid w:val="007D1A9D"/>
    <w:rsid w:val="007E1239"/>
    <w:rsid w:val="007E2B3B"/>
    <w:rsid w:val="00802DD2"/>
    <w:rsid w:val="0080358B"/>
    <w:rsid w:val="00806543"/>
    <w:rsid w:val="008165FC"/>
    <w:rsid w:val="008166C2"/>
    <w:rsid w:val="00817935"/>
    <w:rsid w:val="00820382"/>
    <w:rsid w:val="00830366"/>
    <w:rsid w:val="00831C1A"/>
    <w:rsid w:val="00833309"/>
    <w:rsid w:val="008424F0"/>
    <w:rsid w:val="00843039"/>
    <w:rsid w:val="00847AAD"/>
    <w:rsid w:val="00847BA1"/>
    <w:rsid w:val="008509FC"/>
    <w:rsid w:val="008513EA"/>
    <w:rsid w:val="00853352"/>
    <w:rsid w:val="00855E0A"/>
    <w:rsid w:val="00855F08"/>
    <w:rsid w:val="00861F74"/>
    <w:rsid w:val="008765FE"/>
    <w:rsid w:val="00880079"/>
    <w:rsid w:val="00886D93"/>
    <w:rsid w:val="008A6579"/>
    <w:rsid w:val="008B0999"/>
    <w:rsid w:val="008B419B"/>
    <w:rsid w:val="008B627F"/>
    <w:rsid w:val="008C6656"/>
    <w:rsid w:val="008C6C53"/>
    <w:rsid w:val="008D0956"/>
    <w:rsid w:val="008D1FCC"/>
    <w:rsid w:val="008D2DBE"/>
    <w:rsid w:val="008D702B"/>
    <w:rsid w:val="008D75B4"/>
    <w:rsid w:val="008E06F7"/>
    <w:rsid w:val="008E3C4D"/>
    <w:rsid w:val="008E4AE4"/>
    <w:rsid w:val="008F240F"/>
    <w:rsid w:val="008F707F"/>
    <w:rsid w:val="008F7C11"/>
    <w:rsid w:val="00903374"/>
    <w:rsid w:val="00913CDD"/>
    <w:rsid w:val="0091403B"/>
    <w:rsid w:val="00922EDE"/>
    <w:rsid w:val="0092398F"/>
    <w:rsid w:val="00925657"/>
    <w:rsid w:val="00935DDC"/>
    <w:rsid w:val="00955D6A"/>
    <w:rsid w:val="0096329E"/>
    <w:rsid w:val="00963C6D"/>
    <w:rsid w:val="0096606A"/>
    <w:rsid w:val="0097019B"/>
    <w:rsid w:val="00984AA6"/>
    <w:rsid w:val="00987AB0"/>
    <w:rsid w:val="0099033C"/>
    <w:rsid w:val="00990628"/>
    <w:rsid w:val="009949A8"/>
    <w:rsid w:val="0099773F"/>
    <w:rsid w:val="009A1217"/>
    <w:rsid w:val="009A3794"/>
    <w:rsid w:val="009B164C"/>
    <w:rsid w:val="009B3349"/>
    <w:rsid w:val="009C326C"/>
    <w:rsid w:val="009C5F08"/>
    <w:rsid w:val="009D0CE3"/>
    <w:rsid w:val="009D3E25"/>
    <w:rsid w:val="009D6F6B"/>
    <w:rsid w:val="009E6543"/>
    <w:rsid w:val="009E6C45"/>
    <w:rsid w:val="009E797E"/>
    <w:rsid w:val="009F06E6"/>
    <w:rsid w:val="009F4971"/>
    <w:rsid w:val="00A023E8"/>
    <w:rsid w:val="00A04836"/>
    <w:rsid w:val="00A07C52"/>
    <w:rsid w:val="00A12BB9"/>
    <w:rsid w:val="00A1363F"/>
    <w:rsid w:val="00A146BD"/>
    <w:rsid w:val="00A15A11"/>
    <w:rsid w:val="00A27BC6"/>
    <w:rsid w:val="00A32445"/>
    <w:rsid w:val="00A32D1F"/>
    <w:rsid w:val="00A411CC"/>
    <w:rsid w:val="00A461CC"/>
    <w:rsid w:val="00A55CC5"/>
    <w:rsid w:val="00A579A2"/>
    <w:rsid w:val="00A64BF0"/>
    <w:rsid w:val="00A70610"/>
    <w:rsid w:val="00A82983"/>
    <w:rsid w:val="00A83BAF"/>
    <w:rsid w:val="00A85859"/>
    <w:rsid w:val="00A85BA3"/>
    <w:rsid w:val="00A911EE"/>
    <w:rsid w:val="00A92A32"/>
    <w:rsid w:val="00A9302C"/>
    <w:rsid w:val="00AA0308"/>
    <w:rsid w:val="00AA3E30"/>
    <w:rsid w:val="00AA6413"/>
    <w:rsid w:val="00AB0806"/>
    <w:rsid w:val="00AC57CD"/>
    <w:rsid w:val="00AD5DF9"/>
    <w:rsid w:val="00AE028F"/>
    <w:rsid w:val="00AE3D53"/>
    <w:rsid w:val="00B0656E"/>
    <w:rsid w:val="00B067FE"/>
    <w:rsid w:val="00B14BF5"/>
    <w:rsid w:val="00B15A57"/>
    <w:rsid w:val="00B21BD8"/>
    <w:rsid w:val="00B21D7E"/>
    <w:rsid w:val="00B227BE"/>
    <w:rsid w:val="00B24B1A"/>
    <w:rsid w:val="00B268D0"/>
    <w:rsid w:val="00B50AF1"/>
    <w:rsid w:val="00B6433E"/>
    <w:rsid w:val="00B7564E"/>
    <w:rsid w:val="00B83C59"/>
    <w:rsid w:val="00B83DF9"/>
    <w:rsid w:val="00B86EA6"/>
    <w:rsid w:val="00B93056"/>
    <w:rsid w:val="00B936F0"/>
    <w:rsid w:val="00B942FD"/>
    <w:rsid w:val="00B94BAA"/>
    <w:rsid w:val="00B95F6D"/>
    <w:rsid w:val="00BA2F1C"/>
    <w:rsid w:val="00BA6A0D"/>
    <w:rsid w:val="00BA7293"/>
    <w:rsid w:val="00BA72B3"/>
    <w:rsid w:val="00BB1096"/>
    <w:rsid w:val="00BB3E62"/>
    <w:rsid w:val="00BB6536"/>
    <w:rsid w:val="00BC508D"/>
    <w:rsid w:val="00BD7900"/>
    <w:rsid w:val="00BE0751"/>
    <w:rsid w:val="00BE33EB"/>
    <w:rsid w:val="00BF027F"/>
    <w:rsid w:val="00BF19FF"/>
    <w:rsid w:val="00BF3791"/>
    <w:rsid w:val="00BF4CDF"/>
    <w:rsid w:val="00BF5A72"/>
    <w:rsid w:val="00BF62BA"/>
    <w:rsid w:val="00C16534"/>
    <w:rsid w:val="00C16671"/>
    <w:rsid w:val="00C20B0E"/>
    <w:rsid w:val="00C3277B"/>
    <w:rsid w:val="00C36C9E"/>
    <w:rsid w:val="00C44130"/>
    <w:rsid w:val="00C45F65"/>
    <w:rsid w:val="00C47F43"/>
    <w:rsid w:val="00C50790"/>
    <w:rsid w:val="00C5150E"/>
    <w:rsid w:val="00C557A7"/>
    <w:rsid w:val="00C656EC"/>
    <w:rsid w:val="00C6741A"/>
    <w:rsid w:val="00C7769E"/>
    <w:rsid w:val="00C82367"/>
    <w:rsid w:val="00C933B8"/>
    <w:rsid w:val="00C94E3E"/>
    <w:rsid w:val="00CA45CE"/>
    <w:rsid w:val="00CB5B86"/>
    <w:rsid w:val="00CB7900"/>
    <w:rsid w:val="00CC131F"/>
    <w:rsid w:val="00CD0A9B"/>
    <w:rsid w:val="00CD3D26"/>
    <w:rsid w:val="00CD4FEB"/>
    <w:rsid w:val="00CE0EC8"/>
    <w:rsid w:val="00CE15A3"/>
    <w:rsid w:val="00CE32E3"/>
    <w:rsid w:val="00CE6DCC"/>
    <w:rsid w:val="00CF2C25"/>
    <w:rsid w:val="00D051C1"/>
    <w:rsid w:val="00D1185F"/>
    <w:rsid w:val="00D145BC"/>
    <w:rsid w:val="00D214CB"/>
    <w:rsid w:val="00D27B34"/>
    <w:rsid w:val="00D31273"/>
    <w:rsid w:val="00D31F60"/>
    <w:rsid w:val="00D3402E"/>
    <w:rsid w:val="00D35607"/>
    <w:rsid w:val="00D41282"/>
    <w:rsid w:val="00D44321"/>
    <w:rsid w:val="00D62DA3"/>
    <w:rsid w:val="00D64D7D"/>
    <w:rsid w:val="00D869B1"/>
    <w:rsid w:val="00D9408E"/>
    <w:rsid w:val="00DA4FBA"/>
    <w:rsid w:val="00DA538C"/>
    <w:rsid w:val="00DA7166"/>
    <w:rsid w:val="00DA778E"/>
    <w:rsid w:val="00DB4BCA"/>
    <w:rsid w:val="00DB5DBB"/>
    <w:rsid w:val="00DC6C8D"/>
    <w:rsid w:val="00DD0413"/>
    <w:rsid w:val="00DD1695"/>
    <w:rsid w:val="00DD37CE"/>
    <w:rsid w:val="00DE18C3"/>
    <w:rsid w:val="00DF0A74"/>
    <w:rsid w:val="00DF3FD3"/>
    <w:rsid w:val="00E00C5E"/>
    <w:rsid w:val="00E04143"/>
    <w:rsid w:val="00E078B1"/>
    <w:rsid w:val="00E16E84"/>
    <w:rsid w:val="00E23F67"/>
    <w:rsid w:val="00E30750"/>
    <w:rsid w:val="00E32300"/>
    <w:rsid w:val="00E34AC3"/>
    <w:rsid w:val="00E430B9"/>
    <w:rsid w:val="00E476AF"/>
    <w:rsid w:val="00E52665"/>
    <w:rsid w:val="00E60A9B"/>
    <w:rsid w:val="00E62C72"/>
    <w:rsid w:val="00E74486"/>
    <w:rsid w:val="00E76889"/>
    <w:rsid w:val="00E83C33"/>
    <w:rsid w:val="00E855B2"/>
    <w:rsid w:val="00E931B9"/>
    <w:rsid w:val="00E96800"/>
    <w:rsid w:val="00E9695A"/>
    <w:rsid w:val="00EA03E8"/>
    <w:rsid w:val="00EA2B28"/>
    <w:rsid w:val="00EB53DC"/>
    <w:rsid w:val="00EC3182"/>
    <w:rsid w:val="00EC592D"/>
    <w:rsid w:val="00ED0699"/>
    <w:rsid w:val="00EF22BB"/>
    <w:rsid w:val="00F0773F"/>
    <w:rsid w:val="00F11A0F"/>
    <w:rsid w:val="00F12E65"/>
    <w:rsid w:val="00F153E6"/>
    <w:rsid w:val="00F17B34"/>
    <w:rsid w:val="00F24B37"/>
    <w:rsid w:val="00F368AE"/>
    <w:rsid w:val="00F40411"/>
    <w:rsid w:val="00F4166E"/>
    <w:rsid w:val="00F42742"/>
    <w:rsid w:val="00F4776C"/>
    <w:rsid w:val="00F6173E"/>
    <w:rsid w:val="00F676A1"/>
    <w:rsid w:val="00F744C1"/>
    <w:rsid w:val="00F80599"/>
    <w:rsid w:val="00F8301C"/>
    <w:rsid w:val="00F837FA"/>
    <w:rsid w:val="00F8634D"/>
    <w:rsid w:val="00F87488"/>
    <w:rsid w:val="00F91524"/>
    <w:rsid w:val="00F97F45"/>
    <w:rsid w:val="00FA12ED"/>
    <w:rsid w:val="00FA6E27"/>
    <w:rsid w:val="00FB1E8A"/>
    <w:rsid w:val="00FB29E8"/>
    <w:rsid w:val="00FB3F93"/>
    <w:rsid w:val="00FB71EB"/>
    <w:rsid w:val="00FC0787"/>
    <w:rsid w:val="00FC70EC"/>
    <w:rsid w:val="00FC748C"/>
    <w:rsid w:val="00FD1278"/>
    <w:rsid w:val="00FD2297"/>
    <w:rsid w:val="00FD65DF"/>
    <w:rsid w:val="00FE194C"/>
    <w:rsid w:val="00FE6998"/>
    <w:rsid w:val="00FF42E5"/>
    <w:rsid w:val="0956F200"/>
    <w:rsid w:val="0E3764A9"/>
    <w:rsid w:val="33A305C2"/>
    <w:rsid w:val="3B5B9410"/>
    <w:rsid w:val="3E9334D2"/>
    <w:rsid w:val="4416A0E9"/>
    <w:rsid w:val="4735194E"/>
    <w:rsid w:val="4B0D726B"/>
    <w:rsid w:val="4E821C96"/>
    <w:rsid w:val="57D2CD16"/>
    <w:rsid w:val="5FC281F2"/>
    <w:rsid w:val="72D6A0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B16FB"/>
  <w15:chartTrackingRefBased/>
  <w15:docId w15:val="{6ED0CE9F-1660-4B78-809F-0D4A2E766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36FCE"/>
    <w:rPr>
      <w:sz w:val="16"/>
      <w:szCs w:val="16"/>
    </w:rPr>
  </w:style>
  <w:style w:type="paragraph" w:styleId="CommentText">
    <w:name w:val="annotation text"/>
    <w:basedOn w:val="Normal"/>
    <w:link w:val="CommentTextChar"/>
    <w:uiPriority w:val="99"/>
    <w:semiHidden/>
    <w:unhideWhenUsed/>
    <w:rsid w:val="00636FCE"/>
    <w:pPr>
      <w:spacing w:line="240" w:lineRule="auto"/>
    </w:pPr>
    <w:rPr>
      <w:sz w:val="20"/>
      <w:szCs w:val="20"/>
    </w:rPr>
  </w:style>
  <w:style w:type="character" w:customStyle="1" w:styleId="CommentTextChar">
    <w:name w:val="Comment Text Char"/>
    <w:basedOn w:val="DefaultParagraphFont"/>
    <w:link w:val="CommentText"/>
    <w:uiPriority w:val="99"/>
    <w:semiHidden/>
    <w:rsid w:val="00636FCE"/>
    <w:rPr>
      <w:sz w:val="20"/>
      <w:szCs w:val="20"/>
    </w:rPr>
  </w:style>
  <w:style w:type="paragraph" w:styleId="CommentSubject">
    <w:name w:val="annotation subject"/>
    <w:basedOn w:val="CommentText"/>
    <w:next w:val="CommentText"/>
    <w:link w:val="CommentSubjectChar"/>
    <w:uiPriority w:val="99"/>
    <w:semiHidden/>
    <w:unhideWhenUsed/>
    <w:rsid w:val="00636FCE"/>
    <w:rPr>
      <w:b/>
      <w:bCs/>
    </w:rPr>
  </w:style>
  <w:style w:type="character" w:customStyle="1" w:styleId="CommentSubjectChar">
    <w:name w:val="Comment Subject Char"/>
    <w:basedOn w:val="CommentTextChar"/>
    <w:link w:val="CommentSubject"/>
    <w:uiPriority w:val="99"/>
    <w:semiHidden/>
    <w:rsid w:val="00636FCE"/>
    <w:rPr>
      <w:b/>
      <w:bCs/>
      <w:sz w:val="20"/>
      <w:szCs w:val="20"/>
    </w:rPr>
  </w:style>
  <w:style w:type="paragraph" w:styleId="BalloonText">
    <w:name w:val="Balloon Text"/>
    <w:basedOn w:val="Normal"/>
    <w:link w:val="BalloonTextChar"/>
    <w:uiPriority w:val="99"/>
    <w:semiHidden/>
    <w:unhideWhenUsed/>
    <w:rsid w:val="00636F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6FCE"/>
    <w:rPr>
      <w:rFonts w:ascii="Segoe UI" w:hAnsi="Segoe UI" w:cs="Segoe UI"/>
      <w:sz w:val="18"/>
      <w:szCs w:val="18"/>
    </w:rPr>
  </w:style>
  <w:style w:type="paragraph" w:customStyle="1" w:styleId="m7231332564958278533msolistparagraph">
    <w:name w:val="m_7231332564958278533msolistparagraph"/>
    <w:basedOn w:val="Normal"/>
    <w:rsid w:val="00087B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7570B8"/>
    <w:rPr>
      <w:color w:val="0563C1" w:themeColor="hyperlink"/>
      <w:u w:val="single"/>
    </w:rPr>
  </w:style>
  <w:style w:type="character" w:styleId="UnresolvedMention">
    <w:name w:val="Unresolved Mention"/>
    <w:basedOn w:val="DefaultParagraphFont"/>
    <w:uiPriority w:val="99"/>
    <w:semiHidden/>
    <w:unhideWhenUsed/>
    <w:rsid w:val="007570B8"/>
    <w:rPr>
      <w:color w:val="605E5C"/>
      <w:shd w:val="clear" w:color="auto" w:fill="E1DFDD"/>
    </w:rPr>
  </w:style>
  <w:style w:type="paragraph" w:styleId="Header">
    <w:name w:val="header"/>
    <w:basedOn w:val="Normal"/>
    <w:link w:val="HeaderChar"/>
    <w:uiPriority w:val="99"/>
    <w:unhideWhenUsed/>
    <w:rsid w:val="00FE194C"/>
    <w:pPr>
      <w:tabs>
        <w:tab w:val="center" w:pos="4819"/>
        <w:tab w:val="right" w:pos="9638"/>
      </w:tabs>
      <w:spacing w:after="0" w:line="240" w:lineRule="auto"/>
    </w:pPr>
  </w:style>
  <w:style w:type="character" w:customStyle="1" w:styleId="HeaderChar">
    <w:name w:val="Header Char"/>
    <w:basedOn w:val="DefaultParagraphFont"/>
    <w:link w:val="Header"/>
    <w:uiPriority w:val="99"/>
    <w:rsid w:val="00FE194C"/>
  </w:style>
  <w:style w:type="paragraph" w:styleId="Footer">
    <w:name w:val="footer"/>
    <w:basedOn w:val="Normal"/>
    <w:link w:val="FooterChar"/>
    <w:uiPriority w:val="99"/>
    <w:unhideWhenUsed/>
    <w:rsid w:val="00FE194C"/>
    <w:pPr>
      <w:tabs>
        <w:tab w:val="center" w:pos="4819"/>
        <w:tab w:val="right" w:pos="9638"/>
      </w:tabs>
      <w:spacing w:after="0" w:line="240" w:lineRule="auto"/>
    </w:pPr>
  </w:style>
  <w:style w:type="character" w:customStyle="1" w:styleId="FooterChar">
    <w:name w:val="Footer Char"/>
    <w:basedOn w:val="DefaultParagraphFont"/>
    <w:link w:val="Footer"/>
    <w:uiPriority w:val="99"/>
    <w:rsid w:val="00FE194C"/>
  </w:style>
  <w:style w:type="paragraph" w:styleId="ListParagraph">
    <w:name w:val="List Paragraph"/>
    <w:basedOn w:val="Normal"/>
    <w:uiPriority w:val="34"/>
    <w:qFormat/>
    <w:rsid w:val="006E0E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44913">
      <w:bodyDiv w:val="1"/>
      <w:marLeft w:val="0"/>
      <w:marRight w:val="0"/>
      <w:marTop w:val="0"/>
      <w:marBottom w:val="0"/>
      <w:divBdr>
        <w:top w:val="none" w:sz="0" w:space="0" w:color="auto"/>
        <w:left w:val="none" w:sz="0" w:space="0" w:color="auto"/>
        <w:bottom w:val="none" w:sz="0" w:space="0" w:color="auto"/>
        <w:right w:val="none" w:sz="0" w:space="0" w:color="auto"/>
      </w:divBdr>
    </w:div>
    <w:div w:id="289435727">
      <w:bodyDiv w:val="1"/>
      <w:marLeft w:val="0"/>
      <w:marRight w:val="0"/>
      <w:marTop w:val="0"/>
      <w:marBottom w:val="0"/>
      <w:divBdr>
        <w:top w:val="none" w:sz="0" w:space="0" w:color="auto"/>
        <w:left w:val="none" w:sz="0" w:space="0" w:color="auto"/>
        <w:bottom w:val="none" w:sz="0" w:space="0" w:color="auto"/>
        <w:right w:val="none" w:sz="0" w:space="0" w:color="auto"/>
      </w:divBdr>
    </w:div>
    <w:div w:id="1207791259">
      <w:bodyDiv w:val="1"/>
      <w:marLeft w:val="0"/>
      <w:marRight w:val="0"/>
      <w:marTop w:val="0"/>
      <w:marBottom w:val="0"/>
      <w:divBdr>
        <w:top w:val="none" w:sz="0" w:space="0" w:color="auto"/>
        <w:left w:val="none" w:sz="0" w:space="0" w:color="auto"/>
        <w:bottom w:val="none" w:sz="0" w:space="0" w:color="auto"/>
        <w:right w:val="none" w:sz="0" w:space="0" w:color="auto"/>
      </w:divBdr>
    </w:div>
    <w:div w:id="1298222121">
      <w:bodyDiv w:val="1"/>
      <w:marLeft w:val="0"/>
      <w:marRight w:val="0"/>
      <w:marTop w:val="0"/>
      <w:marBottom w:val="0"/>
      <w:divBdr>
        <w:top w:val="none" w:sz="0" w:space="0" w:color="auto"/>
        <w:left w:val="none" w:sz="0" w:space="0" w:color="auto"/>
        <w:bottom w:val="none" w:sz="0" w:space="0" w:color="auto"/>
        <w:right w:val="none" w:sz="0" w:space="0" w:color="auto"/>
      </w:divBdr>
    </w:div>
    <w:div w:id="1485779570">
      <w:bodyDiv w:val="1"/>
      <w:marLeft w:val="0"/>
      <w:marRight w:val="0"/>
      <w:marTop w:val="0"/>
      <w:marBottom w:val="0"/>
      <w:divBdr>
        <w:top w:val="none" w:sz="0" w:space="0" w:color="auto"/>
        <w:left w:val="none" w:sz="0" w:space="0" w:color="auto"/>
        <w:bottom w:val="none" w:sz="0" w:space="0" w:color="auto"/>
        <w:right w:val="none" w:sz="0" w:space="0" w:color="auto"/>
      </w:divBdr>
    </w:div>
    <w:div w:id="1903176547">
      <w:bodyDiv w:val="1"/>
      <w:marLeft w:val="0"/>
      <w:marRight w:val="0"/>
      <w:marTop w:val="0"/>
      <w:marBottom w:val="0"/>
      <w:divBdr>
        <w:top w:val="none" w:sz="0" w:space="0" w:color="auto"/>
        <w:left w:val="none" w:sz="0" w:space="0" w:color="auto"/>
        <w:bottom w:val="none" w:sz="0" w:space="0" w:color="auto"/>
        <w:right w:val="none" w:sz="0" w:space="0" w:color="auto"/>
      </w:divBdr>
    </w:div>
    <w:div w:id="1958365059">
      <w:bodyDiv w:val="1"/>
      <w:marLeft w:val="0"/>
      <w:marRight w:val="0"/>
      <w:marTop w:val="0"/>
      <w:marBottom w:val="0"/>
      <w:divBdr>
        <w:top w:val="none" w:sz="0" w:space="0" w:color="auto"/>
        <w:left w:val="none" w:sz="0" w:space="0" w:color="auto"/>
        <w:bottom w:val="none" w:sz="0" w:space="0" w:color="auto"/>
        <w:right w:val="none" w:sz="0" w:space="0" w:color="auto"/>
      </w:divBdr>
      <w:divsChild>
        <w:div w:id="749276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D481568E0C94C41A80AF985327EBD3E" ma:contentTypeVersion="14" ma:contentTypeDescription="Kurkite naują dokumentą." ma:contentTypeScope="" ma:versionID="ba8d0b649064210e3cf4ca58b1c4ff8e">
  <xsd:schema xmlns:xsd="http://www.w3.org/2001/XMLSchema" xmlns:xs="http://www.w3.org/2001/XMLSchema" xmlns:p="http://schemas.microsoft.com/office/2006/metadata/properties" xmlns:ns1="http://schemas.microsoft.com/sharepoint/v3" xmlns:ns3="14bbbd2b-7fb5-465f-8982-510c580e629c" xmlns:ns4="f31ca2d2-6869-45c1-9d77-b50238432bf5" targetNamespace="http://schemas.microsoft.com/office/2006/metadata/properties" ma:root="true" ma:fieldsID="6a420effebc27c889fac5bd1aa141737" ns1:_="" ns3:_="" ns4:_="">
    <xsd:import namespace="http://schemas.microsoft.com/sharepoint/v3"/>
    <xsd:import namespace="14bbbd2b-7fb5-465f-8982-510c580e629c"/>
    <xsd:import namespace="f31ca2d2-6869-45c1-9d77-b50238432bf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1:_ip_UnifiedCompliancePolicyProperties" minOccurs="0"/>
                <xsd:element ref="ns1:_ip_UnifiedCompliancePolicyUIAction"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Bendrosios atitikties strategijos ypatybės" ma:hidden="true" ma:internalName="_ip_UnifiedCompliancePolicyProperties">
      <xsd:simpleType>
        <xsd:restriction base="dms:Note"/>
      </xsd:simpleType>
    </xsd:element>
    <xsd:element name="_ip_UnifiedCompliancePolicyUIAction" ma:index="18"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bbbd2b-7fb5-465f-8982-510c580e629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ca2d2-6869-45c1-9d77-b50238432bf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B3E8E5-19A2-4CC2-85F0-8D9CE171F037}">
  <ds:schemaRefs>
    <ds:schemaRef ds:uri="http://schemas.microsoft.com/sharepoint/v3/contenttype/forms"/>
  </ds:schemaRefs>
</ds:datastoreItem>
</file>

<file path=customXml/itemProps2.xml><?xml version="1.0" encoding="utf-8"?>
<ds:datastoreItem xmlns:ds="http://schemas.openxmlformats.org/officeDocument/2006/customXml" ds:itemID="{F8ACBDF5-9A39-4DBB-807C-FAD06B0439D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5C81218-0475-4422-B7DA-6F6B78EBD6A8}">
  <ds:schemaRefs>
    <ds:schemaRef ds:uri="http://schemas.openxmlformats.org/officeDocument/2006/bibliography"/>
  </ds:schemaRefs>
</ds:datastoreItem>
</file>

<file path=customXml/itemProps4.xml><?xml version="1.0" encoding="utf-8"?>
<ds:datastoreItem xmlns:ds="http://schemas.openxmlformats.org/officeDocument/2006/customXml" ds:itemID="{3DCC0C8D-9AFE-476C-9C00-10A6D2024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4bbbd2b-7fb5-465f-8982-510c580e629c"/>
    <ds:schemaRef ds:uri="f31ca2d2-6869-45c1-9d77-b50238432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2240</Words>
  <Characters>1277</Characters>
  <Application>Microsoft Office Word</Application>
  <DocSecurity>0</DocSecurity>
  <Lines>10</Lines>
  <Paragraphs>7</Paragraphs>
  <ScaleCrop>false</ScaleCrop>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Jankaityte</dc:creator>
  <cp:keywords/>
  <dc:description/>
  <cp:lastModifiedBy>Greta Jankaitytė</cp:lastModifiedBy>
  <cp:revision>2</cp:revision>
  <dcterms:created xsi:type="dcterms:W3CDTF">2021-01-04T06:52:00Z</dcterms:created>
  <dcterms:modified xsi:type="dcterms:W3CDTF">2021-01-04T06:52:00Z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0x0101004D481568E0C94C41A80AF985327EBD3E</vt:lpwstr>
  </property>
</Properties>
</file>