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69859" w14:textId="5F685875" w:rsidR="0028088D" w:rsidRPr="009B67F8" w:rsidRDefault="00FC2D3C" w:rsidP="00847167">
      <w:pPr>
        <w:rPr>
          <w:b/>
          <w:bCs/>
          <w:sz w:val="28"/>
          <w:szCs w:val="28"/>
          <w:lang w:val="lt-LT"/>
        </w:rPr>
      </w:pPr>
      <w:r w:rsidRPr="009B67F8">
        <w:rPr>
          <w:b/>
          <w:bCs/>
          <w:sz w:val="28"/>
          <w:szCs w:val="28"/>
          <w:lang w:val="lt-LT"/>
        </w:rPr>
        <w:t>Pirmą kartą s</w:t>
      </w:r>
      <w:r w:rsidR="00AE3C2A" w:rsidRPr="009B67F8">
        <w:rPr>
          <w:b/>
          <w:bCs/>
          <w:sz w:val="28"/>
          <w:szCs w:val="28"/>
          <w:lang w:val="lt-LT"/>
        </w:rPr>
        <w:t>kelbiama</w:t>
      </w:r>
      <w:r w:rsidR="00A12AA6">
        <w:rPr>
          <w:b/>
          <w:bCs/>
          <w:sz w:val="28"/>
          <w:szCs w:val="28"/>
          <w:lang w:val="lt-LT"/>
        </w:rPr>
        <w:t xml:space="preserve"> 30</w:t>
      </w:r>
      <w:r w:rsidRPr="009B67F8">
        <w:rPr>
          <w:b/>
          <w:bCs/>
          <w:sz w:val="28"/>
          <w:szCs w:val="28"/>
          <w:lang w:val="lt-LT"/>
        </w:rPr>
        <w:t xml:space="preserve"> vertingiausių įmonių Baltijos šalyse</w:t>
      </w:r>
      <w:r w:rsidR="00050EBD" w:rsidRPr="009B67F8">
        <w:rPr>
          <w:b/>
          <w:bCs/>
          <w:sz w:val="28"/>
          <w:szCs w:val="28"/>
          <w:lang w:val="lt-LT"/>
        </w:rPr>
        <w:t xml:space="preserve">: </w:t>
      </w:r>
      <w:r w:rsidR="0028088D" w:rsidRPr="009B67F8">
        <w:rPr>
          <w:b/>
          <w:bCs/>
          <w:sz w:val="28"/>
          <w:szCs w:val="28"/>
          <w:lang w:val="lt-LT"/>
        </w:rPr>
        <w:t xml:space="preserve">pirmoje vietoje – </w:t>
      </w:r>
      <w:r w:rsidR="00AE3C2A" w:rsidRPr="009B67F8">
        <w:rPr>
          <w:b/>
          <w:bCs/>
          <w:sz w:val="28"/>
          <w:szCs w:val="28"/>
          <w:lang w:val="lt-LT"/>
        </w:rPr>
        <w:t xml:space="preserve">per </w:t>
      </w:r>
      <w:r w:rsidR="00B42E83" w:rsidRPr="009B67F8">
        <w:rPr>
          <w:b/>
          <w:bCs/>
          <w:sz w:val="28"/>
          <w:szCs w:val="28"/>
          <w:lang w:val="lt-LT"/>
        </w:rPr>
        <w:t xml:space="preserve">pandemiją </w:t>
      </w:r>
      <w:r w:rsidR="00AE3C2A" w:rsidRPr="009B67F8">
        <w:rPr>
          <w:b/>
          <w:bCs/>
          <w:sz w:val="28"/>
          <w:szCs w:val="28"/>
          <w:lang w:val="lt-LT"/>
        </w:rPr>
        <w:t xml:space="preserve">vertę </w:t>
      </w:r>
      <w:r w:rsidR="00A12AA6">
        <w:rPr>
          <w:b/>
          <w:bCs/>
          <w:sz w:val="28"/>
          <w:szCs w:val="28"/>
          <w:lang w:val="lt-LT"/>
        </w:rPr>
        <w:t>1 mlrd. eurų</w:t>
      </w:r>
      <w:r w:rsidR="00AE3C2A" w:rsidRPr="009B67F8">
        <w:rPr>
          <w:b/>
          <w:bCs/>
          <w:sz w:val="28"/>
          <w:szCs w:val="28"/>
          <w:lang w:val="lt-LT"/>
        </w:rPr>
        <w:t xml:space="preserve"> kilstelėjusi </w:t>
      </w:r>
      <w:r w:rsidR="0028088D" w:rsidRPr="009B67F8">
        <w:rPr>
          <w:b/>
          <w:bCs/>
          <w:sz w:val="28"/>
          <w:szCs w:val="28"/>
          <w:lang w:val="lt-LT"/>
        </w:rPr>
        <w:t>Lietuvos bendrovė</w:t>
      </w:r>
    </w:p>
    <w:p w14:paraId="6E6C80C1" w14:textId="798E5FFC" w:rsidR="008419AD" w:rsidRPr="00B52CF4" w:rsidRDefault="008E23C2" w:rsidP="00847167">
      <w:pPr>
        <w:rPr>
          <w:b/>
          <w:bCs/>
          <w:lang w:val="lt-LT"/>
        </w:rPr>
      </w:pPr>
      <w:r w:rsidRPr="00B52CF4">
        <w:rPr>
          <w:b/>
          <w:bCs/>
          <w:lang w:val="lt-LT"/>
        </w:rPr>
        <w:t xml:space="preserve">Jei vienoms įmonėms pandemija atnešė nuostolius ir praradimus, tai kitoms </w:t>
      </w:r>
      <w:r w:rsidR="00F443AF" w:rsidRPr="00B52CF4">
        <w:rPr>
          <w:b/>
          <w:bCs/>
          <w:lang w:val="lt-LT"/>
        </w:rPr>
        <w:t xml:space="preserve">atvėrė vartus į sėkmę. </w:t>
      </w:r>
      <w:r w:rsidR="00D03491" w:rsidRPr="00B52CF4">
        <w:rPr>
          <w:b/>
          <w:bCs/>
          <w:lang w:val="lt-LT"/>
        </w:rPr>
        <w:t xml:space="preserve">Tarp pastarųjų – ir </w:t>
      </w:r>
      <w:r w:rsidR="00416787" w:rsidRPr="00B52CF4">
        <w:rPr>
          <w:b/>
          <w:bCs/>
          <w:lang w:val="lt-LT"/>
        </w:rPr>
        <w:t xml:space="preserve">bendrovė „Vilniaus prekyba“, </w:t>
      </w:r>
      <w:r w:rsidR="007C0E13" w:rsidRPr="00B52CF4">
        <w:rPr>
          <w:b/>
          <w:bCs/>
          <w:lang w:val="lt-LT"/>
        </w:rPr>
        <w:t xml:space="preserve">kuri </w:t>
      </w:r>
      <w:r w:rsidR="00416787" w:rsidRPr="00B52CF4">
        <w:rPr>
          <w:b/>
          <w:bCs/>
          <w:lang w:val="lt-LT"/>
        </w:rPr>
        <w:t xml:space="preserve">karantinų </w:t>
      </w:r>
      <w:r w:rsidR="008419AD" w:rsidRPr="00B52CF4">
        <w:rPr>
          <w:b/>
          <w:bCs/>
          <w:lang w:val="lt-LT"/>
        </w:rPr>
        <w:t xml:space="preserve">ir ekonomikos ribojimų </w:t>
      </w:r>
      <w:r w:rsidR="00416787" w:rsidRPr="00B52CF4">
        <w:rPr>
          <w:b/>
          <w:bCs/>
          <w:lang w:val="lt-LT"/>
        </w:rPr>
        <w:t xml:space="preserve">paženklintais metais </w:t>
      </w:r>
      <w:r w:rsidR="008419AD" w:rsidRPr="00B52CF4">
        <w:rPr>
          <w:b/>
          <w:bCs/>
          <w:lang w:val="lt-LT"/>
        </w:rPr>
        <w:t>padidin</w:t>
      </w:r>
      <w:r w:rsidR="007C0E13" w:rsidRPr="00B52CF4">
        <w:rPr>
          <w:b/>
          <w:bCs/>
          <w:lang w:val="lt-LT"/>
        </w:rPr>
        <w:t xml:space="preserve">o </w:t>
      </w:r>
      <w:r w:rsidR="008419AD" w:rsidRPr="00B52CF4">
        <w:rPr>
          <w:b/>
          <w:bCs/>
          <w:lang w:val="lt-LT"/>
        </w:rPr>
        <w:t>savo vertę milijardu eurų</w:t>
      </w:r>
      <w:r w:rsidR="007C0E13" w:rsidRPr="00B52CF4">
        <w:rPr>
          <w:b/>
          <w:bCs/>
          <w:lang w:val="lt-LT"/>
        </w:rPr>
        <w:t xml:space="preserve"> ir tapo pirmą kartą sudaryto </w:t>
      </w:r>
      <w:r w:rsidR="0040694B" w:rsidRPr="00B52CF4">
        <w:rPr>
          <w:b/>
          <w:bCs/>
          <w:lang w:val="lt-LT"/>
        </w:rPr>
        <w:t xml:space="preserve">30-ies </w:t>
      </w:r>
      <w:r w:rsidR="007C0E13" w:rsidRPr="00B52CF4">
        <w:rPr>
          <w:b/>
          <w:bCs/>
          <w:lang w:val="lt-LT"/>
        </w:rPr>
        <w:t xml:space="preserve">vertingiausių įmonių Baltijos šalyse </w:t>
      </w:r>
      <w:r w:rsidR="0040694B" w:rsidRPr="00B52CF4">
        <w:rPr>
          <w:b/>
          <w:bCs/>
          <w:lang w:val="lt-LT"/>
        </w:rPr>
        <w:t>sąrašo</w:t>
      </w:r>
      <w:r w:rsidR="007C0E13" w:rsidRPr="00B52CF4">
        <w:rPr>
          <w:b/>
          <w:bCs/>
          <w:lang w:val="lt-LT"/>
        </w:rPr>
        <w:t xml:space="preserve"> lydere.</w:t>
      </w:r>
    </w:p>
    <w:p w14:paraId="6A1114BA" w14:textId="111AF395" w:rsidR="00D13F68" w:rsidRPr="00211D22" w:rsidRDefault="00D13F68" w:rsidP="00D13F68">
      <w:r>
        <w:rPr>
          <w:lang w:val="lt-LT"/>
        </w:rPr>
        <w:t>Vertingiausių įmonių Baltijos šalyse sąrašas sudarytas</w:t>
      </w:r>
      <w:r w:rsidR="00ED7DDC">
        <w:rPr>
          <w:lang w:val="lt-LT"/>
        </w:rPr>
        <w:t xml:space="preserve"> įmonėms „Confidentus“ ir „Prudentia“</w:t>
      </w:r>
      <w:r>
        <w:rPr>
          <w:lang w:val="lt-LT"/>
        </w:rPr>
        <w:t xml:space="preserve"> atlikus didelės apimties įmonių </w:t>
      </w:r>
      <w:r w:rsidR="00ED7DDC">
        <w:rPr>
          <w:lang w:val="lt-LT"/>
        </w:rPr>
        <w:t xml:space="preserve">finansinę </w:t>
      </w:r>
      <w:r>
        <w:rPr>
          <w:lang w:val="lt-LT"/>
        </w:rPr>
        <w:t>analizę</w:t>
      </w:r>
      <w:r w:rsidR="00ED7DDC">
        <w:rPr>
          <w:lang w:val="lt-LT"/>
        </w:rPr>
        <w:t xml:space="preserve"> bei </w:t>
      </w:r>
      <w:r w:rsidR="00FA195B">
        <w:rPr>
          <w:lang w:val="lt-LT"/>
        </w:rPr>
        <w:t xml:space="preserve">remiantis </w:t>
      </w:r>
      <w:proofErr w:type="spellStart"/>
      <w:r w:rsidRPr="00211D22">
        <w:t>vieš</w:t>
      </w:r>
      <w:r w:rsidR="00FA195B">
        <w:t>os</w:t>
      </w:r>
      <w:proofErr w:type="spellEnd"/>
      <w:r w:rsidRPr="00211D22">
        <w:t xml:space="preserve"> </w:t>
      </w:r>
      <w:proofErr w:type="spellStart"/>
      <w:r w:rsidRPr="00211D22">
        <w:t>informacij</w:t>
      </w:r>
      <w:r w:rsidR="007535EE">
        <w:t>os</w:t>
      </w:r>
      <w:proofErr w:type="spellEnd"/>
      <w:r w:rsidR="007535EE">
        <w:t xml:space="preserve"> </w:t>
      </w:r>
      <w:proofErr w:type="spellStart"/>
      <w:r w:rsidRPr="00211D22">
        <w:t>apie</w:t>
      </w:r>
      <w:proofErr w:type="spellEnd"/>
      <w:r w:rsidRPr="00211D22">
        <w:t xml:space="preserve"> </w:t>
      </w:r>
      <w:proofErr w:type="spellStart"/>
      <w:r w:rsidRPr="00211D22">
        <w:t>įmon</w:t>
      </w:r>
      <w:r w:rsidR="00ED7DDC">
        <w:t>ių</w:t>
      </w:r>
      <w:proofErr w:type="spellEnd"/>
      <w:r w:rsidR="00ED7DDC">
        <w:t xml:space="preserve"> </w:t>
      </w:r>
      <w:proofErr w:type="spellStart"/>
      <w:r w:rsidRPr="00211D22">
        <w:t>valdymą</w:t>
      </w:r>
      <w:proofErr w:type="spellEnd"/>
      <w:r w:rsidRPr="00211D22">
        <w:t xml:space="preserve"> </w:t>
      </w:r>
      <w:proofErr w:type="spellStart"/>
      <w:r w:rsidRPr="00211D22">
        <w:t>ir</w:t>
      </w:r>
      <w:proofErr w:type="spellEnd"/>
      <w:r w:rsidRPr="00211D22">
        <w:t xml:space="preserve"> </w:t>
      </w:r>
      <w:proofErr w:type="spellStart"/>
      <w:r w:rsidRPr="00211D22">
        <w:t>skaidrumą</w:t>
      </w:r>
      <w:proofErr w:type="spellEnd"/>
      <w:r w:rsidR="007535EE">
        <w:t xml:space="preserve"> </w:t>
      </w:r>
      <w:proofErr w:type="spellStart"/>
      <w:r w:rsidR="007535EE">
        <w:t>vertinim</w:t>
      </w:r>
      <w:r w:rsidR="00CB0088">
        <w:t>u</w:t>
      </w:r>
      <w:proofErr w:type="spellEnd"/>
      <w:r w:rsidR="00ED7DDC">
        <w:t xml:space="preserve">, </w:t>
      </w:r>
      <w:proofErr w:type="spellStart"/>
      <w:r w:rsidR="00ED7DDC">
        <w:t>kurį</w:t>
      </w:r>
      <w:proofErr w:type="spellEnd"/>
      <w:r w:rsidR="00ED7DDC">
        <w:t xml:space="preserve"> </w:t>
      </w:r>
      <w:proofErr w:type="spellStart"/>
      <w:r w:rsidR="00ED7DDC">
        <w:t>atliko</w:t>
      </w:r>
      <w:proofErr w:type="spellEnd"/>
      <w:r w:rsidR="00ED7DDC">
        <w:t xml:space="preserve"> </w:t>
      </w:r>
      <w:r w:rsidR="00ED7DDC">
        <w:rPr>
          <w:lang w:val="lt-LT"/>
        </w:rPr>
        <w:t>„</w:t>
      </w:r>
      <w:r w:rsidRPr="00211D22">
        <w:t>Nasdaq</w:t>
      </w:r>
      <w:r w:rsidR="00ED7DDC">
        <w:t xml:space="preserve">” </w:t>
      </w:r>
      <w:proofErr w:type="spellStart"/>
      <w:r w:rsidRPr="00211D22">
        <w:t>atstovybių</w:t>
      </w:r>
      <w:proofErr w:type="spellEnd"/>
      <w:r w:rsidRPr="00211D22">
        <w:t xml:space="preserve"> </w:t>
      </w:r>
      <w:proofErr w:type="spellStart"/>
      <w:r w:rsidRPr="00211D22">
        <w:t>Vilniuje</w:t>
      </w:r>
      <w:proofErr w:type="spellEnd"/>
      <w:r w:rsidRPr="00211D22">
        <w:t xml:space="preserve">, </w:t>
      </w:r>
      <w:proofErr w:type="spellStart"/>
      <w:r w:rsidRPr="00211D22">
        <w:t>Rygoje</w:t>
      </w:r>
      <w:proofErr w:type="spellEnd"/>
      <w:r w:rsidRPr="00211D22">
        <w:t xml:space="preserve"> </w:t>
      </w:r>
      <w:proofErr w:type="spellStart"/>
      <w:r w:rsidRPr="00211D22">
        <w:t>ir</w:t>
      </w:r>
      <w:proofErr w:type="spellEnd"/>
      <w:r w:rsidRPr="00211D22">
        <w:t xml:space="preserve"> </w:t>
      </w:r>
      <w:proofErr w:type="spellStart"/>
      <w:r w:rsidRPr="00211D22">
        <w:t>Taline</w:t>
      </w:r>
      <w:proofErr w:type="spellEnd"/>
      <w:r w:rsidRPr="00211D22">
        <w:t xml:space="preserve"> </w:t>
      </w:r>
      <w:proofErr w:type="spellStart"/>
      <w:r w:rsidR="00ED7DDC">
        <w:t>eksperta</w:t>
      </w:r>
      <w:r w:rsidRPr="00211D22">
        <w:t>i</w:t>
      </w:r>
      <w:proofErr w:type="spellEnd"/>
      <w:r w:rsidRPr="00211D22">
        <w:t>.</w:t>
      </w:r>
    </w:p>
    <w:p w14:paraId="31102F37" w14:textId="794FD75F" w:rsidR="006E55F4" w:rsidRDefault="00C538F0" w:rsidP="00C538F0">
      <w:pPr>
        <w:rPr>
          <w:lang w:val="lt-LT"/>
        </w:rPr>
      </w:pPr>
      <w:r>
        <w:rPr>
          <w:lang w:val="lt-LT"/>
        </w:rPr>
        <w:t>Į vertingiausių įmonių Baltijos šalyse trisdešimtuką pateko</w:t>
      </w:r>
      <w:r w:rsidR="00BB38BF">
        <w:rPr>
          <w:lang w:val="lt-LT"/>
        </w:rPr>
        <w:t xml:space="preserve"> įmonės, kurių vertė svyruoja nuo 56</w:t>
      </w:r>
      <w:r w:rsidR="006C5A34">
        <w:rPr>
          <w:lang w:val="lt-LT"/>
        </w:rPr>
        <w:t>9</w:t>
      </w:r>
      <w:r w:rsidR="00BB38BF">
        <w:rPr>
          <w:lang w:val="lt-LT"/>
        </w:rPr>
        <w:t xml:space="preserve"> mln. iki 4,7 mlrd. eurų. Tarp jų yra </w:t>
      </w:r>
      <w:r w:rsidR="00C2146F">
        <w:rPr>
          <w:lang w:val="lt-LT"/>
        </w:rPr>
        <w:t>dešimt bendrovių, kurių būstinės yra Lietuvoje</w:t>
      </w:r>
      <w:r w:rsidR="00205780">
        <w:rPr>
          <w:lang w:val="lt-LT"/>
        </w:rPr>
        <w:t xml:space="preserve">. </w:t>
      </w:r>
    </w:p>
    <w:p w14:paraId="6A046073" w14:textId="16C20510" w:rsidR="00205780" w:rsidRDefault="00205780" w:rsidP="00C538F0">
      <w:pPr>
        <w:rPr>
          <w:lang w:val="lt-LT"/>
        </w:rPr>
      </w:pPr>
      <w:r>
        <w:rPr>
          <w:lang w:val="lt-LT"/>
        </w:rPr>
        <w:t xml:space="preserve">Vertingiausių įmonių sąraše yra ir </w:t>
      </w:r>
      <w:r w:rsidR="00A5708C">
        <w:rPr>
          <w:lang w:val="lt-LT"/>
        </w:rPr>
        <w:t>dešimt bendrovių, turinčių būstines Estijoje</w:t>
      </w:r>
      <w:r w:rsidR="00BB38BF">
        <w:rPr>
          <w:lang w:val="lt-LT"/>
        </w:rPr>
        <w:t>,</w:t>
      </w:r>
      <w:r w:rsidR="00A5708C">
        <w:rPr>
          <w:lang w:val="lt-LT"/>
        </w:rPr>
        <w:t xml:space="preserve"> </w:t>
      </w:r>
      <w:r>
        <w:rPr>
          <w:lang w:val="lt-LT"/>
        </w:rPr>
        <w:t xml:space="preserve">bei </w:t>
      </w:r>
      <w:r w:rsidR="00324012">
        <w:rPr>
          <w:lang w:val="lt-LT"/>
        </w:rPr>
        <w:t xml:space="preserve">trys </w:t>
      </w:r>
      <w:r w:rsidR="00A5708C">
        <w:rPr>
          <w:lang w:val="lt-LT"/>
        </w:rPr>
        <w:t>įmonės, kurių būstinės yra Latvijoje</w:t>
      </w:r>
      <w:r w:rsidR="00A471F7">
        <w:rPr>
          <w:lang w:val="lt-LT"/>
        </w:rPr>
        <w:t xml:space="preserve">. </w:t>
      </w:r>
      <w:r w:rsidR="00B07409">
        <w:rPr>
          <w:lang w:val="lt-LT"/>
        </w:rPr>
        <w:t xml:space="preserve">Dalis </w:t>
      </w:r>
      <w:r w:rsidR="00BB38BF">
        <w:rPr>
          <w:lang w:val="lt-LT"/>
        </w:rPr>
        <w:t>šių įmonių</w:t>
      </w:r>
      <w:r w:rsidR="00BD680A">
        <w:rPr>
          <w:lang w:val="lt-LT"/>
        </w:rPr>
        <w:t xml:space="preserve"> </w:t>
      </w:r>
      <w:r w:rsidR="000F47FE">
        <w:rPr>
          <w:lang w:val="lt-LT"/>
        </w:rPr>
        <w:t xml:space="preserve">turi </w:t>
      </w:r>
      <w:r w:rsidR="00BD680A">
        <w:rPr>
          <w:lang w:val="lt-LT"/>
        </w:rPr>
        <w:t xml:space="preserve">penkias </w:t>
      </w:r>
      <w:r w:rsidR="00A5708C">
        <w:rPr>
          <w:lang w:val="lt-LT"/>
        </w:rPr>
        <w:t>dukterin</w:t>
      </w:r>
      <w:r w:rsidR="00BB38BF">
        <w:rPr>
          <w:lang w:val="lt-LT"/>
        </w:rPr>
        <w:t>es bendroves</w:t>
      </w:r>
      <w:r w:rsidR="00A5708C">
        <w:rPr>
          <w:lang w:val="lt-LT"/>
        </w:rPr>
        <w:t>, veikianči</w:t>
      </w:r>
      <w:r w:rsidR="00BB38BF">
        <w:rPr>
          <w:lang w:val="lt-LT"/>
        </w:rPr>
        <w:t xml:space="preserve">as </w:t>
      </w:r>
      <w:r w:rsidR="00A5708C">
        <w:rPr>
          <w:lang w:val="lt-LT"/>
        </w:rPr>
        <w:t>ir Lietuvoj</w:t>
      </w:r>
      <w:r w:rsidR="00BD680A">
        <w:rPr>
          <w:lang w:val="lt-LT"/>
        </w:rPr>
        <w:t xml:space="preserve">e. </w:t>
      </w:r>
    </w:p>
    <w:p w14:paraId="09E6260C" w14:textId="54A663FD" w:rsidR="00A5708C" w:rsidRDefault="00A5708C" w:rsidP="00C538F0">
      <w:pPr>
        <w:rPr>
          <w:lang w:val="lt-LT"/>
        </w:rPr>
      </w:pPr>
      <w:r>
        <w:rPr>
          <w:lang w:val="lt-LT"/>
        </w:rPr>
        <w:t xml:space="preserve"> </w:t>
      </w:r>
      <w:r w:rsidR="00871468">
        <w:rPr>
          <w:lang w:val="lt-LT"/>
        </w:rPr>
        <w:t>Į trisdešimtuką</w:t>
      </w:r>
      <w:r w:rsidR="00205780">
        <w:rPr>
          <w:lang w:val="lt-LT"/>
        </w:rPr>
        <w:t xml:space="preserve"> taip pat</w:t>
      </w:r>
      <w:r w:rsidR="00871468">
        <w:rPr>
          <w:lang w:val="lt-LT"/>
        </w:rPr>
        <w:t xml:space="preserve"> pateko </w:t>
      </w:r>
      <w:r w:rsidR="00324012">
        <w:rPr>
          <w:lang w:val="lt-LT"/>
        </w:rPr>
        <w:t xml:space="preserve">septynios </w:t>
      </w:r>
      <w:r w:rsidR="00BB38BF">
        <w:rPr>
          <w:lang w:val="lt-LT"/>
        </w:rPr>
        <w:t>įmonė</w:t>
      </w:r>
      <w:r w:rsidR="001F77B9">
        <w:rPr>
          <w:lang w:val="lt-LT"/>
        </w:rPr>
        <w:t>s</w:t>
      </w:r>
      <w:r w:rsidR="009C62E1">
        <w:rPr>
          <w:lang w:val="lt-LT"/>
        </w:rPr>
        <w:t>, kurių veikla plačiai iš</w:t>
      </w:r>
      <w:r w:rsidR="00BB38BF">
        <w:rPr>
          <w:lang w:val="lt-LT"/>
        </w:rPr>
        <w:t>plėtota</w:t>
      </w:r>
      <w:r w:rsidR="009C62E1">
        <w:rPr>
          <w:lang w:val="lt-LT"/>
        </w:rPr>
        <w:t xml:space="preserve"> visose trijose Baltijos šalyse (pvz., „Swedbank“, „SEB“ bankai, „Tel</w:t>
      </w:r>
      <w:r w:rsidR="00F76AC8">
        <w:rPr>
          <w:lang w:val="lt-LT"/>
        </w:rPr>
        <w:t>e2“</w:t>
      </w:r>
      <w:r w:rsidR="009C62E1">
        <w:rPr>
          <w:lang w:val="lt-LT"/>
        </w:rPr>
        <w:t xml:space="preserve"> ir kt.), nors jų būstinės yra kitose šalyse.</w:t>
      </w:r>
    </w:p>
    <w:p w14:paraId="0E56B415" w14:textId="389DD4C8" w:rsidR="00EF28E0" w:rsidRPr="00EF28E0" w:rsidRDefault="001C20FA" w:rsidP="00C538F0">
      <w:pPr>
        <w:rPr>
          <w:b/>
          <w:bCs/>
          <w:lang w:val="lt-LT"/>
        </w:rPr>
      </w:pPr>
      <w:r>
        <w:rPr>
          <w:b/>
          <w:bCs/>
          <w:lang w:val="lt-LT"/>
        </w:rPr>
        <w:t>Sąrašo lyderiai p</w:t>
      </w:r>
      <w:r w:rsidR="00EF28E0" w:rsidRPr="00EF28E0">
        <w:rPr>
          <w:b/>
          <w:bCs/>
          <w:lang w:val="lt-LT"/>
        </w:rPr>
        <w:t>andemiją</w:t>
      </w:r>
      <w:r w:rsidR="0045106E">
        <w:rPr>
          <w:b/>
          <w:bCs/>
          <w:lang w:val="lt-LT"/>
        </w:rPr>
        <w:t xml:space="preserve"> pasitelkė</w:t>
      </w:r>
      <w:r w:rsidR="00EF28E0" w:rsidRPr="00EF28E0">
        <w:rPr>
          <w:b/>
          <w:bCs/>
          <w:lang w:val="lt-LT"/>
        </w:rPr>
        <w:t xml:space="preserve"> verslo sėkmei</w:t>
      </w:r>
    </w:p>
    <w:p w14:paraId="4B923399" w14:textId="2133ACA8" w:rsidR="001461C3" w:rsidRDefault="009C4F4C" w:rsidP="00B76EDF">
      <w:pPr>
        <w:rPr>
          <w:lang w:val="lt-LT"/>
        </w:rPr>
      </w:pPr>
      <w:r>
        <w:rPr>
          <w:lang w:val="lt-LT"/>
        </w:rPr>
        <w:t>Į</w:t>
      </w:r>
      <w:r w:rsidR="000F47FE">
        <w:rPr>
          <w:lang w:val="lt-LT"/>
        </w:rPr>
        <w:t xml:space="preserve"> </w:t>
      </w:r>
      <w:r w:rsidR="00C97DA2">
        <w:rPr>
          <w:lang w:val="lt-LT"/>
        </w:rPr>
        <w:t xml:space="preserve">pirmą vietą </w:t>
      </w:r>
      <w:r>
        <w:rPr>
          <w:lang w:val="lt-LT"/>
        </w:rPr>
        <w:t xml:space="preserve">vertingiausių įmonių trisdešimtuke </w:t>
      </w:r>
      <w:r w:rsidR="00C97DA2">
        <w:rPr>
          <w:lang w:val="lt-LT"/>
        </w:rPr>
        <w:t>iškopusi „Vilniaus prekyba“</w:t>
      </w:r>
      <w:r w:rsidR="00BF4644">
        <w:rPr>
          <w:lang w:val="lt-LT"/>
        </w:rPr>
        <w:t xml:space="preserve"> </w:t>
      </w:r>
      <w:r w:rsidR="00B77F55">
        <w:rPr>
          <w:lang w:val="lt-LT"/>
        </w:rPr>
        <w:t xml:space="preserve">per dukterines įmones </w:t>
      </w:r>
      <w:r w:rsidR="00D5353E">
        <w:rPr>
          <w:lang w:val="lt-LT"/>
        </w:rPr>
        <w:t>vald</w:t>
      </w:r>
      <w:r>
        <w:rPr>
          <w:lang w:val="lt-LT"/>
        </w:rPr>
        <w:t>o</w:t>
      </w:r>
      <w:r w:rsidR="00BF4644">
        <w:rPr>
          <w:lang w:val="lt-LT"/>
        </w:rPr>
        <w:t xml:space="preserve"> </w:t>
      </w:r>
      <w:r w:rsidR="00D5353E">
        <w:rPr>
          <w:lang w:val="lt-LT"/>
        </w:rPr>
        <w:t xml:space="preserve">prekybos centrus „Maxima“, „Akropolis“, „Ermitažas“, </w:t>
      </w:r>
      <w:r w:rsidR="009818AA">
        <w:rPr>
          <w:lang w:val="lt-LT"/>
        </w:rPr>
        <w:t>vaistinių tinkl</w:t>
      </w:r>
      <w:r w:rsidR="00A83AAE">
        <w:rPr>
          <w:lang w:val="lt-LT"/>
        </w:rPr>
        <w:t>ą</w:t>
      </w:r>
      <w:r w:rsidR="009818AA">
        <w:rPr>
          <w:lang w:val="lt-LT"/>
        </w:rPr>
        <w:t xml:space="preserve"> </w:t>
      </w:r>
      <w:r w:rsidR="00D5353E">
        <w:rPr>
          <w:lang w:val="lt-LT"/>
        </w:rPr>
        <w:t>„Euroapotheca“ bei nekilnojamojo turto plėtros ir nuomos paslaugų įmones</w:t>
      </w:r>
      <w:r w:rsidR="00504CAC">
        <w:rPr>
          <w:lang w:val="lt-LT"/>
        </w:rPr>
        <w:t xml:space="preserve">. </w:t>
      </w:r>
      <w:r w:rsidR="00D5353E">
        <w:rPr>
          <w:lang w:val="lt-LT"/>
        </w:rPr>
        <w:t>Baltijos šalyse bei Lenkijoje, Bulgarijoje ir Švedijoje</w:t>
      </w:r>
      <w:r w:rsidR="00504CAC">
        <w:rPr>
          <w:lang w:val="lt-LT"/>
        </w:rPr>
        <w:t xml:space="preserve"> veikianti „Vilniaus prekyba“ per valdomas įmones turi iš viso 46 tūkst. darbuotojų, o jos</w:t>
      </w:r>
      <w:r w:rsidR="001461C3">
        <w:rPr>
          <w:lang w:val="lt-LT"/>
        </w:rPr>
        <w:t xml:space="preserve"> </w:t>
      </w:r>
      <w:r w:rsidR="00504CAC">
        <w:rPr>
          <w:lang w:val="lt-LT"/>
        </w:rPr>
        <w:t>apyvarta pernai siekė beveik 5,3 mlrd. eurų.</w:t>
      </w:r>
    </w:p>
    <w:p w14:paraId="5DC98F5B" w14:textId="4902D8BB" w:rsidR="00E755DB" w:rsidRDefault="007B343E" w:rsidP="00B76EDF">
      <w:pPr>
        <w:rPr>
          <w:lang w:val="lt-LT"/>
        </w:rPr>
      </w:pPr>
      <w:r>
        <w:rPr>
          <w:lang w:val="lt-LT"/>
        </w:rPr>
        <w:t>Pasak</w:t>
      </w:r>
      <w:r w:rsidR="00490149">
        <w:rPr>
          <w:lang w:val="lt-LT"/>
        </w:rPr>
        <w:t xml:space="preserve"> Lietuvos įmonių vertę analizavusio eksperto Kristupo Kukarsko, </w:t>
      </w:r>
      <w:r w:rsidR="00374F0D">
        <w:rPr>
          <w:lang w:val="lt-LT"/>
        </w:rPr>
        <w:t xml:space="preserve">įmonių susijungimų, įsigijimų ir pardavimų bendrovės „Confidentus“ </w:t>
      </w:r>
      <w:r w:rsidR="00592A3C">
        <w:rPr>
          <w:lang w:val="lt-LT"/>
        </w:rPr>
        <w:t>partnerio,</w:t>
      </w:r>
      <w:r w:rsidR="00031F13">
        <w:rPr>
          <w:lang w:val="lt-LT"/>
        </w:rPr>
        <w:t xml:space="preserve"> </w:t>
      </w:r>
      <w:r w:rsidR="00CA48B3">
        <w:rPr>
          <w:lang w:val="lt-LT"/>
        </w:rPr>
        <w:t>viena didžiausių Lietuvos įmonių „Vilniaus prekyba“</w:t>
      </w:r>
      <w:r w:rsidR="00914580">
        <w:rPr>
          <w:lang w:val="lt-LT"/>
        </w:rPr>
        <w:t xml:space="preserve"> yra puikus pavyzdys, kaip </w:t>
      </w:r>
      <w:r w:rsidR="00B175BC">
        <w:rPr>
          <w:lang w:val="lt-LT"/>
        </w:rPr>
        <w:t xml:space="preserve">sudėtingą pandeminę situaciją ir visus su tuo siejamus iššūkius </w:t>
      </w:r>
      <w:r w:rsidR="00161726">
        <w:rPr>
          <w:lang w:val="lt-LT"/>
        </w:rPr>
        <w:t xml:space="preserve">išnaudoti </w:t>
      </w:r>
      <w:r w:rsidR="00F2264A">
        <w:rPr>
          <w:lang w:val="lt-LT"/>
        </w:rPr>
        <w:t>versl</w:t>
      </w:r>
      <w:r w:rsidR="00B550D8">
        <w:rPr>
          <w:lang w:val="lt-LT"/>
        </w:rPr>
        <w:t>o plėtrai.</w:t>
      </w:r>
    </w:p>
    <w:p w14:paraId="5FC9BF2A" w14:textId="4EFEE327" w:rsidR="00B93E2D" w:rsidRDefault="00C573B4" w:rsidP="00B93E2D">
      <w:pPr>
        <w:rPr>
          <w:lang w:val="lt-LT"/>
        </w:rPr>
      </w:pPr>
      <w:r>
        <w:rPr>
          <w:lang w:val="lt-LT"/>
        </w:rPr>
        <w:t>„</w:t>
      </w:r>
      <w:r w:rsidR="008E6E89">
        <w:rPr>
          <w:lang w:val="lt-LT"/>
        </w:rPr>
        <w:t xml:space="preserve">Veikimas gana palankiame sektoriuje – prekyboje ir sėkmingai pritaikyta strategija lėmė, kad karantinai ir ekonominiai ribojimai šiai įmonei </w:t>
      </w:r>
      <w:r w:rsidR="001600EF">
        <w:rPr>
          <w:lang w:val="lt-LT"/>
        </w:rPr>
        <w:t xml:space="preserve">tapo </w:t>
      </w:r>
      <w:r w:rsidR="007D4271">
        <w:rPr>
          <w:lang w:val="lt-LT"/>
        </w:rPr>
        <w:t xml:space="preserve">tik </w:t>
      </w:r>
      <w:r w:rsidR="001600EF">
        <w:rPr>
          <w:lang w:val="lt-LT"/>
        </w:rPr>
        <w:t>dar didesne paspirtimi aug</w:t>
      </w:r>
      <w:r w:rsidR="008D2854">
        <w:rPr>
          <w:lang w:val="lt-LT"/>
        </w:rPr>
        <w:t>imui</w:t>
      </w:r>
      <w:r w:rsidR="001600EF">
        <w:rPr>
          <w:lang w:val="lt-LT"/>
        </w:rPr>
        <w:t xml:space="preserve">. Mūsų tyrimas parodė, kad </w:t>
      </w:r>
      <w:r w:rsidR="00B93E2D">
        <w:rPr>
          <w:lang w:val="lt-LT"/>
        </w:rPr>
        <w:t>„Vilniaus prekyba“ pastaraisiais metais savo vertę padidino milijardu eurų – nuo 3,6 mlrd. 2020 metais iki 4,7 mlrd. eurų 2021-aisiais</w:t>
      </w:r>
      <w:r w:rsidR="001600EF">
        <w:rPr>
          <w:lang w:val="lt-LT"/>
        </w:rPr>
        <w:t xml:space="preserve">, </w:t>
      </w:r>
      <w:r w:rsidR="00B34BC8">
        <w:rPr>
          <w:lang w:val="lt-LT"/>
        </w:rPr>
        <w:t xml:space="preserve">taip užsitikrindama sau </w:t>
      </w:r>
      <w:r w:rsidR="001600EF">
        <w:rPr>
          <w:lang w:val="lt-LT"/>
        </w:rPr>
        <w:t>vertingiausios įmonės Baltijos šalyse pozicijas“, – apžvelgė vienas tyrimo ekspertų K. Kukarskas.</w:t>
      </w:r>
    </w:p>
    <w:p w14:paraId="6228122B" w14:textId="77777777" w:rsidR="00FC359F" w:rsidRDefault="00FC359F" w:rsidP="00FC359F">
      <w:r>
        <w:t xml:space="preserve">Andrius </w:t>
      </w:r>
      <w:proofErr w:type="spellStart"/>
      <w:r>
        <w:t>Mikalauskas</w:t>
      </w:r>
      <w:proofErr w:type="spellEnd"/>
      <w:r>
        <w:t xml:space="preserve">, „Vilniaus </w:t>
      </w:r>
      <w:proofErr w:type="spellStart"/>
      <w:proofErr w:type="gramStart"/>
      <w:r>
        <w:t>prekybos</w:t>
      </w:r>
      <w:proofErr w:type="spellEnd"/>
      <w:r>
        <w:t xml:space="preserve">“ </w:t>
      </w:r>
      <w:proofErr w:type="spellStart"/>
      <w:r>
        <w:t>direktorius</w:t>
      </w:r>
      <w:proofErr w:type="spellEnd"/>
      <w:proofErr w:type="gramEnd"/>
      <w:r>
        <w:t xml:space="preserve">, </w:t>
      </w:r>
      <w:proofErr w:type="spellStart"/>
      <w:r>
        <w:t>sako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pandemijos</w:t>
      </w:r>
      <w:proofErr w:type="spellEnd"/>
      <w:r>
        <w:t xml:space="preserve"> </w:t>
      </w:r>
      <w:proofErr w:type="spellStart"/>
      <w:r>
        <w:t>metu</w:t>
      </w:r>
      <w:proofErr w:type="spellEnd"/>
      <w:r>
        <w:t xml:space="preserve"> </w:t>
      </w:r>
      <w:proofErr w:type="spellStart"/>
      <w:r>
        <w:t>įmonė</w:t>
      </w:r>
      <w:proofErr w:type="spellEnd"/>
      <w:r>
        <w:t xml:space="preserve"> </w:t>
      </w:r>
      <w:proofErr w:type="spellStart"/>
      <w:r>
        <w:t>privalėjo</w:t>
      </w:r>
      <w:proofErr w:type="spellEnd"/>
      <w:r>
        <w:t xml:space="preserve"> </w:t>
      </w:r>
      <w:proofErr w:type="spellStart"/>
      <w:r>
        <w:t>skubiai</w:t>
      </w:r>
      <w:proofErr w:type="spellEnd"/>
      <w:r>
        <w:t xml:space="preserve"> </w:t>
      </w:r>
      <w:proofErr w:type="spellStart"/>
      <w:r>
        <w:t>užtikrinti</w:t>
      </w:r>
      <w:proofErr w:type="spellEnd"/>
      <w:r>
        <w:t xml:space="preserve"> </w:t>
      </w:r>
      <w:proofErr w:type="spellStart"/>
      <w:r>
        <w:t>darbuotojų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klientų</w:t>
      </w:r>
      <w:proofErr w:type="spellEnd"/>
      <w:r>
        <w:t xml:space="preserve"> </w:t>
      </w:r>
      <w:proofErr w:type="spellStart"/>
      <w:r>
        <w:t>saugumą</w:t>
      </w:r>
      <w:proofErr w:type="spellEnd"/>
      <w:r>
        <w:t xml:space="preserve">, </w:t>
      </w:r>
      <w:proofErr w:type="spellStart"/>
      <w:r>
        <w:t>prisitaikyti</w:t>
      </w:r>
      <w:proofErr w:type="spellEnd"/>
      <w:r>
        <w:t xml:space="preserve"> </w:t>
      </w:r>
      <w:proofErr w:type="spellStart"/>
      <w:r>
        <w:t>prie</w:t>
      </w:r>
      <w:proofErr w:type="spellEnd"/>
      <w:r>
        <w:t xml:space="preserve"> </w:t>
      </w:r>
      <w:proofErr w:type="spellStart"/>
      <w:r>
        <w:t>įvairių</w:t>
      </w:r>
      <w:proofErr w:type="spellEnd"/>
      <w:r>
        <w:t xml:space="preserve"> </w:t>
      </w:r>
      <w:proofErr w:type="spellStart"/>
      <w:r>
        <w:t>ribojimų</w:t>
      </w:r>
      <w:proofErr w:type="spellEnd"/>
      <w:r>
        <w:t>. „</w:t>
      </w:r>
      <w:proofErr w:type="spellStart"/>
      <w:r>
        <w:t>Tačiau</w:t>
      </w:r>
      <w:proofErr w:type="spellEnd"/>
      <w:r>
        <w:t xml:space="preserve"> kai </w:t>
      </w:r>
      <w:proofErr w:type="spellStart"/>
      <w:r>
        <w:t>kiekvienas</w:t>
      </w:r>
      <w:proofErr w:type="spellEnd"/>
      <w:r>
        <w:t xml:space="preserve"> </w:t>
      </w:r>
      <w:proofErr w:type="spellStart"/>
      <w:r>
        <w:t>komandos</w:t>
      </w:r>
      <w:proofErr w:type="spellEnd"/>
      <w:r>
        <w:t xml:space="preserve"> </w:t>
      </w:r>
      <w:proofErr w:type="spellStart"/>
      <w:r>
        <w:t>narys</w:t>
      </w:r>
      <w:proofErr w:type="spellEnd"/>
      <w:r>
        <w:t xml:space="preserve"> </w:t>
      </w:r>
      <w:proofErr w:type="spellStart"/>
      <w:r>
        <w:t>žino</w:t>
      </w:r>
      <w:proofErr w:type="spellEnd"/>
      <w:r>
        <w:t xml:space="preserve">, </w:t>
      </w:r>
      <w:proofErr w:type="spellStart"/>
      <w:r>
        <w:t>ką</w:t>
      </w:r>
      <w:proofErr w:type="spellEnd"/>
      <w:r>
        <w:t xml:space="preserve"> </w:t>
      </w:r>
      <w:proofErr w:type="spellStart"/>
      <w:r>
        <w:t>daro</w:t>
      </w:r>
      <w:proofErr w:type="spellEnd"/>
      <w:r>
        <w:t xml:space="preserve">, </w:t>
      </w:r>
      <w:proofErr w:type="spellStart"/>
      <w:r>
        <w:t>ir</w:t>
      </w:r>
      <w:proofErr w:type="spellEnd"/>
      <w:r>
        <w:t xml:space="preserve"> </w:t>
      </w:r>
      <w:proofErr w:type="spellStart"/>
      <w:r>
        <w:t>kodėl</w:t>
      </w:r>
      <w:proofErr w:type="spellEnd"/>
      <w:r>
        <w:t xml:space="preserve"> </w:t>
      </w:r>
      <w:proofErr w:type="spellStart"/>
      <w:r>
        <w:t>daro</w:t>
      </w:r>
      <w:proofErr w:type="spellEnd"/>
      <w:r>
        <w:t xml:space="preserve"> tai, </w:t>
      </w:r>
      <w:proofErr w:type="spellStart"/>
      <w:r>
        <w:t>ką</w:t>
      </w:r>
      <w:proofErr w:type="spellEnd"/>
      <w:r>
        <w:t xml:space="preserve"> </w:t>
      </w:r>
      <w:proofErr w:type="spellStart"/>
      <w:r>
        <w:t>daro</w:t>
      </w:r>
      <w:proofErr w:type="spellEnd"/>
      <w:r>
        <w:t xml:space="preserve">, net </w:t>
      </w:r>
      <w:proofErr w:type="spellStart"/>
      <w:r>
        <w:t>ir</w:t>
      </w:r>
      <w:proofErr w:type="spellEnd"/>
      <w:r>
        <w:t xml:space="preserve"> </w:t>
      </w:r>
      <w:proofErr w:type="spellStart"/>
      <w:r>
        <w:t>pandemijos</w:t>
      </w:r>
      <w:proofErr w:type="spellEnd"/>
      <w:r>
        <w:t xml:space="preserve"> </w:t>
      </w:r>
      <w:proofErr w:type="spellStart"/>
      <w:r>
        <w:t>metu</w:t>
      </w:r>
      <w:proofErr w:type="spellEnd"/>
      <w:r>
        <w:t xml:space="preserve"> </w:t>
      </w:r>
      <w:proofErr w:type="spellStart"/>
      <w:r>
        <w:t>galima</w:t>
      </w:r>
      <w:proofErr w:type="spellEnd"/>
      <w:r>
        <w:t xml:space="preserve"> ne tik </w:t>
      </w:r>
      <w:proofErr w:type="spellStart"/>
      <w:r>
        <w:t>atliepti</w:t>
      </w:r>
      <w:proofErr w:type="spellEnd"/>
      <w:r>
        <w:t xml:space="preserve"> </w:t>
      </w:r>
      <w:proofErr w:type="spellStart"/>
      <w:r>
        <w:t>beikeičiančius</w:t>
      </w:r>
      <w:proofErr w:type="spellEnd"/>
      <w:r>
        <w:t xml:space="preserve"> </w:t>
      </w:r>
      <w:proofErr w:type="spellStart"/>
      <w:r>
        <w:t>žmonių</w:t>
      </w:r>
      <w:proofErr w:type="spellEnd"/>
      <w:r>
        <w:t xml:space="preserve"> </w:t>
      </w:r>
      <w:proofErr w:type="spellStart"/>
      <w:r>
        <w:t>lūkesčius</w:t>
      </w:r>
      <w:proofErr w:type="spellEnd"/>
      <w:r>
        <w:t xml:space="preserve">, bet </w:t>
      </w:r>
      <w:proofErr w:type="spellStart"/>
      <w:r>
        <w:t>ir</w:t>
      </w:r>
      <w:proofErr w:type="spellEnd"/>
      <w:r>
        <w:t xml:space="preserve"> </w:t>
      </w:r>
      <w:proofErr w:type="spellStart"/>
      <w:r>
        <w:t>ieškoti</w:t>
      </w:r>
      <w:proofErr w:type="spellEnd"/>
      <w:r>
        <w:t xml:space="preserve"> </w:t>
      </w:r>
      <w:proofErr w:type="spellStart"/>
      <w:r>
        <w:t>naujų</w:t>
      </w:r>
      <w:proofErr w:type="spellEnd"/>
      <w:r>
        <w:t xml:space="preserve"> </w:t>
      </w:r>
      <w:proofErr w:type="spellStart"/>
      <w:r>
        <w:t>verslo</w:t>
      </w:r>
      <w:proofErr w:type="spellEnd"/>
      <w:r>
        <w:t xml:space="preserve"> </w:t>
      </w:r>
      <w:proofErr w:type="spellStart"/>
      <w:proofErr w:type="gramStart"/>
      <w:r>
        <w:t>galimybių</w:t>
      </w:r>
      <w:proofErr w:type="spellEnd"/>
      <w:r>
        <w:t>“</w:t>
      </w:r>
      <w:proofErr w:type="gramEnd"/>
      <w:r>
        <w:t xml:space="preserve">, – </w:t>
      </w:r>
      <w:proofErr w:type="spellStart"/>
      <w:r>
        <w:t>sako</w:t>
      </w:r>
      <w:proofErr w:type="spellEnd"/>
      <w:r>
        <w:t xml:space="preserve"> </w:t>
      </w:r>
      <w:proofErr w:type="spellStart"/>
      <w:r>
        <w:t>jis</w:t>
      </w:r>
      <w:proofErr w:type="spellEnd"/>
      <w:r>
        <w:t xml:space="preserve">. </w:t>
      </w:r>
    </w:p>
    <w:p w14:paraId="364DE26C" w14:textId="5983C4DA" w:rsidR="00FC359F" w:rsidRDefault="00FC359F" w:rsidP="00FC359F">
      <w:proofErr w:type="spellStart"/>
      <w:r>
        <w:t>Pasak</w:t>
      </w:r>
      <w:proofErr w:type="spellEnd"/>
      <w:r>
        <w:t xml:space="preserve"> A. </w:t>
      </w:r>
      <w:proofErr w:type="spellStart"/>
      <w:r>
        <w:t>Mikalausko</w:t>
      </w:r>
      <w:proofErr w:type="spellEnd"/>
      <w:r>
        <w:t xml:space="preserve">, tai, </w:t>
      </w:r>
      <w:proofErr w:type="spellStart"/>
      <w:r>
        <w:t>kad</w:t>
      </w:r>
      <w:proofErr w:type="spellEnd"/>
      <w:r>
        <w:t xml:space="preserve"> „Vilniaus </w:t>
      </w:r>
      <w:proofErr w:type="spellStart"/>
      <w:proofErr w:type="gramStart"/>
      <w:r>
        <w:t>prekyba</w:t>
      </w:r>
      <w:proofErr w:type="spellEnd"/>
      <w:r>
        <w:t xml:space="preserve">“ </w:t>
      </w:r>
      <w:proofErr w:type="spellStart"/>
      <w:r>
        <w:t>pripažinta</w:t>
      </w:r>
      <w:proofErr w:type="spellEnd"/>
      <w:proofErr w:type="gramEnd"/>
      <w:r>
        <w:t xml:space="preserve"> </w:t>
      </w:r>
      <w:proofErr w:type="spellStart"/>
      <w:r>
        <w:t>vertingiausia</w:t>
      </w:r>
      <w:proofErr w:type="spellEnd"/>
      <w:r>
        <w:t xml:space="preserve"> </w:t>
      </w:r>
      <w:proofErr w:type="spellStart"/>
      <w:r>
        <w:t>įmon</w:t>
      </w:r>
      <w:r w:rsidR="005F32E2">
        <w:t>e</w:t>
      </w:r>
      <w:proofErr w:type="spellEnd"/>
      <w:r>
        <w:t xml:space="preserve"> </w:t>
      </w:r>
      <w:proofErr w:type="spellStart"/>
      <w:r>
        <w:t>Baltijos</w:t>
      </w:r>
      <w:proofErr w:type="spellEnd"/>
      <w:r>
        <w:t xml:space="preserve"> </w:t>
      </w:r>
      <w:proofErr w:type="spellStart"/>
      <w:r>
        <w:t>šalyse</w:t>
      </w:r>
      <w:proofErr w:type="spellEnd"/>
      <w:r>
        <w:t xml:space="preserve">, </w:t>
      </w:r>
      <w:proofErr w:type="spellStart"/>
      <w:r>
        <w:t>rodo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įmonė</w:t>
      </w:r>
      <w:proofErr w:type="spellEnd"/>
      <w:r>
        <w:t xml:space="preserve"> eina </w:t>
      </w:r>
      <w:proofErr w:type="spellStart"/>
      <w:r>
        <w:t>teisinga</w:t>
      </w:r>
      <w:proofErr w:type="spellEnd"/>
      <w:r>
        <w:t xml:space="preserve"> </w:t>
      </w:r>
      <w:proofErr w:type="spellStart"/>
      <w:r>
        <w:t>kryptimi</w:t>
      </w:r>
      <w:proofErr w:type="spellEnd"/>
      <w:r>
        <w:t xml:space="preserve">. „Kita </w:t>
      </w:r>
      <w:proofErr w:type="spellStart"/>
      <w:r>
        <w:t>vertus</w:t>
      </w:r>
      <w:proofErr w:type="spellEnd"/>
      <w:r>
        <w:t xml:space="preserve">, tai </w:t>
      </w:r>
      <w:proofErr w:type="spellStart"/>
      <w:r>
        <w:t>pakankamai</w:t>
      </w:r>
      <w:proofErr w:type="spellEnd"/>
      <w:r>
        <w:t xml:space="preserve"> </w:t>
      </w:r>
      <w:proofErr w:type="spellStart"/>
      <w:r>
        <w:t>dėsninga</w:t>
      </w:r>
      <w:proofErr w:type="spellEnd"/>
      <w:r>
        <w:t xml:space="preserve"> – „Vilniaus </w:t>
      </w:r>
      <w:proofErr w:type="spellStart"/>
      <w:proofErr w:type="gramStart"/>
      <w:r>
        <w:t>prekybos</w:t>
      </w:r>
      <w:proofErr w:type="spellEnd"/>
      <w:r>
        <w:t xml:space="preserve">“ </w:t>
      </w:r>
      <w:proofErr w:type="spellStart"/>
      <w:r>
        <w:t>įmonių</w:t>
      </w:r>
      <w:proofErr w:type="spellEnd"/>
      <w:proofErr w:type="gramEnd"/>
      <w:r>
        <w:t xml:space="preserve"> </w:t>
      </w:r>
      <w:proofErr w:type="spellStart"/>
      <w:r>
        <w:t>grupė</w:t>
      </w:r>
      <w:proofErr w:type="spellEnd"/>
      <w:r>
        <w:t xml:space="preserve"> </w:t>
      </w:r>
      <w:proofErr w:type="spellStart"/>
      <w:r>
        <w:t>Baltijos</w:t>
      </w:r>
      <w:proofErr w:type="spellEnd"/>
      <w:r>
        <w:t xml:space="preserve"> </w:t>
      </w:r>
      <w:proofErr w:type="spellStart"/>
      <w:r>
        <w:t>šalyse</w:t>
      </w:r>
      <w:proofErr w:type="spellEnd"/>
      <w:r>
        <w:t xml:space="preserve"> </w:t>
      </w:r>
      <w:proofErr w:type="spellStart"/>
      <w:r>
        <w:t>vienija</w:t>
      </w:r>
      <w:proofErr w:type="spellEnd"/>
      <w:r>
        <w:t xml:space="preserve"> </w:t>
      </w:r>
      <w:proofErr w:type="spellStart"/>
      <w:r>
        <w:t>daugiausiai</w:t>
      </w:r>
      <w:proofErr w:type="spellEnd"/>
      <w:r>
        <w:t xml:space="preserve"> </w:t>
      </w:r>
      <w:proofErr w:type="spellStart"/>
      <w:r>
        <w:t>darbuotojų</w:t>
      </w:r>
      <w:proofErr w:type="spellEnd"/>
      <w:r>
        <w:t xml:space="preserve">, o </w:t>
      </w:r>
      <w:proofErr w:type="spellStart"/>
      <w:r>
        <w:t>juk</w:t>
      </w:r>
      <w:proofErr w:type="spellEnd"/>
      <w:r>
        <w:t xml:space="preserve"> </w:t>
      </w:r>
      <w:proofErr w:type="spellStart"/>
      <w:r>
        <w:t>žmonės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yra</w:t>
      </w:r>
      <w:proofErr w:type="spellEnd"/>
      <w:r>
        <w:t xml:space="preserve"> </w:t>
      </w:r>
      <w:proofErr w:type="spellStart"/>
      <w:r>
        <w:t>didžiausia</w:t>
      </w:r>
      <w:proofErr w:type="spellEnd"/>
      <w:r>
        <w:t xml:space="preserve"> </w:t>
      </w:r>
      <w:proofErr w:type="spellStart"/>
      <w:r>
        <w:t>organizacijos</w:t>
      </w:r>
      <w:proofErr w:type="spellEnd"/>
      <w:r>
        <w:t xml:space="preserve"> </w:t>
      </w:r>
      <w:proofErr w:type="spellStart"/>
      <w:r>
        <w:t>vertė</w:t>
      </w:r>
      <w:proofErr w:type="spellEnd"/>
      <w:r>
        <w:t xml:space="preserve">“, – </w:t>
      </w:r>
      <w:proofErr w:type="spellStart"/>
      <w:r>
        <w:t>sakė</w:t>
      </w:r>
      <w:proofErr w:type="spellEnd"/>
      <w:r>
        <w:t xml:space="preserve"> </w:t>
      </w:r>
      <w:proofErr w:type="spellStart"/>
      <w:r>
        <w:t>direktorius</w:t>
      </w:r>
      <w:proofErr w:type="spellEnd"/>
      <w:r>
        <w:t xml:space="preserve">. </w:t>
      </w:r>
    </w:p>
    <w:p w14:paraId="636064A8" w14:textId="06B4D3A5" w:rsidR="0056796E" w:rsidRPr="001600EF" w:rsidRDefault="0056796E" w:rsidP="00B93E2D">
      <w:pPr>
        <w:rPr>
          <w:lang w:val="lt-LT"/>
        </w:rPr>
      </w:pPr>
    </w:p>
    <w:p w14:paraId="75E61620" w14:textId="2E598315" w:rsidR="00302DCB" w:rsidRDefault="00302DCB" w:rsidP="00302DCB">
      <w:pPr>
        <w:rPr>
          <w:lang w:val="lt-LT"/>
        </w:rPr>
      </w:pPr>
      <w:r>
        <w:t xml:space="preserve">Vis </w:t>
      </w:r>
      <w:proofErr w:type="spellStart"/>
      <w:r>
        <w:t>dėlto</w:t>
      </w:r>
      <w:proofErr w:type="spellEnd"/>
      <w:r>
        <w:t xml:space="preserve"> </w:t>
      </w:r>
      <w:proofErr w:type="spellStart"/>
      <w:r>
        <w:t>tyrimas</w:t>
      </w:r>
      <w:proofErr w:type="spellEnd"/>
      <w:r>
        <w:t xml:space="preserve"> </w:t>
      </w:r>
      <w:proofErr w:type="spellStart"/>
      <w:r>
        <w:t>atskleidė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įdomių</w:t>
      </w:r>
      <w:proofErr w:type="spellEnd"/>
      <w:r>
        <w:t xml:space="preserve"> </w:t>
      </w:r>
      <w:proofErr w:type="spellStart"/>
      <w:r>
        <w:t>netikėtumų</w:t>
      </w:r>
      <w:proofErr w:type="spellEnd"/>
      <w:r>
        <w:t xml:space="preserve">, </w:t>
      </w:r>
      <w:proofErr w:type="spellStart"/>
      <w:r>
        <w:t>pavyzdžiui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prekybos</w:t>
      </w:r>
      <w:proofErr w:type="spellEnd"/>
      <w:r>
        <w:t xml:space="preserve"> </w:t>
      </w:r>
      <w:proofErr w:type="spellStart"/>
      <w:r>
        <w:t>milžinei</w:t>
      </w:r>
      <w:proofErr w:type="spellEnd"/>
      <w:r>
        <w:t xml:space="preserve"> </w:t>
      </w:r>
      <w:r>
        <w:rPr>
          <w:lang w:val="lt-LT"/>
        </w:rPr>
        <w:t xml:space="preserve">ant kulnų lipa kita </w:t>
      </w:r>
      <w:r w:rsidR="0071034F">
        <w:rPr>
          <w:lang w:val="lt-LT"/>
        </w:rPr>
        <w:t xml:space="preserve">Lietuvos </w:t>
      </w:r>
      <w:r>
        <w:rPr>
          <w:lang w:val="lt-LT"/>
        </w:rPr>
        <w:t xml:space="preserve">bendrovė – stambiai JAV korporacijai priklausanti biotechnologijų įmonė „Thermo Fisher Scientific </w:t>
      </w:r>
      <w:proofErr w:type="gramStart"/>
      <w:r>
        <w:rPr>
          <w:lang w:val="lt-LT"/>
        </w:rPr>
        <w:t>Baltics“</w:t>
      </w:r>
      <w:proofErr w:type="gramEnd"/>
      <w:r>
        <w:rPr>
          <w:lang w:val="lt-LT"/>
        </w:rPr>
        <w:t xml:space="preserve">, kuri savo verte </w:t>
      </w:r>
      <w:r w:rsidR="000C34A1">
        <w:rPr>
          <w:lang w:val="lt-LT"/>
        </w:rPr>
        <w:t>jau</w:t>
      </w:r>
      <w:r>
        <w:rPr>
          <w:lang w:val="lt-LT"/>
        </w:rPr>
        <w:t xml:space="preserve"> nedaug atsilieka nuo „Vilniaus prekybos“. Šiemet „Thermo Fisher Scientific Baltics“</w:t>
      </w:r>
      <w:r w:rsidR="00412EBD">
        <w:rPr>
          <w:lang w:val="lt-LT"/>
        </w:rPr>
        <w:t xml:space="preserve"> </w:t>
      </w:r>
      <w:r>
        <w:rPr>
          <w:lang w:val="lt-LT"/>
        </w:rPr>
        <w:t>v</w:t>
      </w:r>
      <w:r w:rsidR="000C34A1">
        <w:rPr>
          <w:lang w:val="lt-LT"/>
        </w:rPr>
        <w:t>e</w:t>
      </w:r>
      <w:r>
        <w:rPr>
          <w:lang w:val="lt-LT"/>
        </w:rPr>
        <w:t>rtę ekspertai įvertino 4,4 mlrd. eurų</w:t>
      </w:r>
      <w:r w:rsidR="00412EBD">
        <w:rPr>
          <w:lang w:val="lt-LT"/>
        </w:rPr>
        <w:t xml:space="preserve"> ir ji atsidūrė ant antrojo vertingiausių įmonių </w:t>
      </w:r>
      <w:r w:rsidR="00F45A72">
        <w:rPr>
          <w:lang w:val="lt-LT"/>
        </w:rPr>
        <w:t>trisdešimtuko laiptelio.</w:t>
      </w:r>
      <w:r>
        <w:rPr>
          <w:lang w:val="lt-LT"/>
        </w:rPr>
        <w:t xml:space="preserve"> </w:t>
      </w:r>
    </w:p>
    <w:p w14:paraId="62DA8A4E" w14:textId="0E593DE4" w:rsidR="007F470E" w:rsidRPr="00BF4644" w:rsidRDefault="00EA4028" w:rsidP="00BF4644">
      <w:pPr>
        <w:rPr>
          <w:rFonts w:cstheme="minorHAnsi"/>
          <w:lang w:val="lt-LT"/>
        </w:rPr>
      </w:pPr>
      <w:r>
        <w:rPr>
          <w:lang w:val="lt-LT"/>
        </w:rPr>
        <w:t>„Thermo Fisher Scientific Baltics“</w:t>
      </w:r>
      <w:r w:rsidR="009638B2">
        <w:rPr>
          <w:lang w:val="lt-LT"/>
        </w:rPr>
        <w:t xml:space="preserve"> per pandemiją </w:t>
      </w:r>
      <w:r>
        <w:rPr>
          <w:lang w:val="lt-LT"/>
        </w:rPr>
        <w:t xml:space="preserve">taip pat įspūdingai paaugino savo pajamas – nuo 440 mln. Eur </w:t>
      </w:r>
      <w:r w:rsidR="009638B2">
        <w:rPr>
          <w:lang w:val="lt-LT"/>
        </w:rPr>
        <w:t xml:space="preserve">2019 m. </w:t>
      </w:r>
      <w:r>
        <w:rPr>
          <w:lang w:val="lt-LT"/>
        </w:rPr>
        <w:t>iki 1,2 mlrd. Eur</w:t>
      </w:r>
      <w:r w:rsidR="009638B2">
        <w:rPr>
          <w:lang w:val="lt-LT"/>
        </w:rPr>
        <w:t xml:space="preserve"> 2020 m.</w:t>
      </w:r>
      <w:r w:rsidR="007F470E">
        <w:rPr>
          <w:lang w:val="lt-LT"/>
        </w:rPr>
        <w:t xml:space="preserve"> </w:t>
      </w:r>
      <w:r w:rsidR="007F470E" w:rsidRPr="00BF4644">
        <w:rPr>
          <w:rFonts w:cstheme="minorHAnsi"/>
          <w:lang w:val="lt-LT"/>
        </w:rPr>
        <w:t>Bendrov</w:t>
      </w:r>
      <w:r w:rsidR="007F470E" w:rsidRPr="00BF4644">
        <w:rPr>
          <w:rFonts w:cstheme="minorHAnsi" w:hint="eastAsia"/>
          <w:lang w:val="lt-LT"/>
        </w:rPr>
        <w:t>ė</w:t>
      </w:r>
      <w:r w:rsidR="007F470E" w:rsidRPr="00BF4644">
        <w:rPr>
          <w:rFonts w:cstheme="minorHAnsi"/>
          <w:lang w:val="lt-LT"/>
        </w:rPr>
        <w:t xml:space="preserve"> savo pajamas labiausiai padidino Vilniuje gamindama COVID-19 pandemijai valdyti skirtus produktus: </w:t>
      </w:r>
      <w:r w:rsidR="007F470E" w:rsidRPr="00BF4644">
        <w:rPr>
          <w:rFonts w:cstheme="minorHAnsi" w:hint="eastAsia"/>
          <w:lang w:val="lt-LT"/>
        </w:rPr>
        <w:t>į</w:t>
      </w:r>
      <w:r w:rsidR="007F470E" w:rsidRPr="00BF4644">
        <w:rPr>
          <w:rFonts w:cstheme="minorHAnsi"/>
          <w:lang w:val="lt-LT"/>
        </w:rPr>
        <w:t>mon</w:t>
      </w:r>
      <w:r w:rsidR="007F470E" w:rsidRPr="00BF4644">
        <w:rPr>
          <w:rFonts w:cstheme="minorHAnsi" w:hint="eastAsia"/>
          <w:lang w:val="lt-LT"/>
        </w:rPr>
        <w:t>ė</w:t>
      </w:r>
      <w:r w:rsidR="007F470E" w:rsidRPr="00BF4644">
        <w:rPr>
          <w:rFonts w:cstheme="minorHAnsi"/>
          <w:lang w:val="lt-LT"/>
        </w:rPr>
        <w:t xml:space="preserve"> gamina komponentus COVID-19 PGR testams bei reagentus mRNR technologija gr</w:t>
      </w:r>
      <w:r w:rsidR="007F470E" w:rsidRPr="00BF4644">
        <w:rPr>
          <w:rFonts w:cstheme="minorHAnsi" w:hint="eastAsia"/>
          <w:lang w:val="lt-LT"/>
        </w:rPr>
        <w:t>į</w:t>
      </w:r>
      <w:r w:rsidR="007F470E" w:rsidRPr="00BF4644">
        <w:rPr>
          <w:rFonts w:cstheme="minorHAnsi"/>
          <w:lang w:val="lt-LT"/>
        </w:rPr>
        <w:t>stoms vakcinoms.</w:t>
      </w:r>
    </w:p>
    <w:p w14:paraId="2EA47537" w14:textId="61E4B3B5" w:rsidR="00E0020A" w:rsidRDefault="009D177A" w:rsidP="009D177A">
      <w:pPr>
        <w:rPr>
          <w:lang w:val="lt-LT"/>
        </w:rPr>
      </w:pPr>
      <w:r>
        <w:rPr>
          <w:lang w:val="lt-LT"/>
        </w:rPr>
        <w:t xml:space="preserve">Pasak K. Kukarsko, </w:t>
      </w:r>
      <w:r w:rsidR="004469C1">
        <w:rPr>
          <w:lang w:val="lt-LT"/>
        </w:rPr>
        <w:t>„Thermo Fisher Scientific Baltics“</w:t>
      </w:r>
      <w:r w:rsidR="00063A25">
        <w:rPr>
          <w:lang w:val="lt-LT"/>
        </w:rPr>
        <w:t xml:space="preserve"> v</w:t>
      </w:r>
      <w:r>
        <w:rPr>
          <w:lang w:val="lt-LT"/>
        </w:rPr>
        <w:t xml:space="preserve">iešai skelbia labai ribotą kiekį su </w:t>
      </w:r>
      <w:r w:rsidR="000E7539">
        <w:rPr>
          <w:lang w:val="lt-LT"/>
        </w:rPr>
        <w:t xml:space="preserve">lietuviškos </w:t>
      </w:r>
      <w:r>
        <w:rPr>
          <w:lang w:val="lt-LT"/>
        </w:rPr>
        <w:t>įmonės valdymu, struktūra ir veikla susijusios informacijos</w:t>
      </w:r>
      <w:r w:rsidR="004469C1">
        <w:rPr>
          <w:lang w:val="lt-LT"/>
        </w:rPr>
        <w:t xml:space="preserve"> ir turi tik į naujų darbuotojų paiešką orientuotą </w:t>
      </w:r>
      <w:r>
        <w:rPr>
          <w:lang w:val="lt-LT"/>
        </w:rPr>
        <w:t xml:space="preserve"> lietuviš</w:t>
      </w:r>
      <w:r w:rsidR="004469C1">
        <w:rPr>
          <w:lang w:val="lt-LT"/>
        </w:rPr>
        <w:t>ką</w:t>
      </w:r>
      <w:r>
        <w:rPr>
          <w:lang w:val="lt-LT"/>
        </w:rPr>
        <w:t xml:space="preserve"> internetin</w:t>
      </w:r>
      <w:r w:rsidR="004469C1">
        <w:rPr>
          <w:lang w:val="lt-LT"/>
        </w:rPr>
        <w:t xml:space="preserve">į </w:t>
      </w:r>
      <w:r>
        <w:rPr>
          <w:lang w:val="lt-LT"/>
        </w:rPr>
        <w:t>tinklalap</w:t>
      </w:r>
      <w:r w:rsidR="004469C1">
        <w:rPr>
          <w:lang w:val="lt-LT"/>
        </w:rPr>
        <w:t>į</w:t>
      </w:r>
      <w:r w:rsidR="000F47FE">
        <w:rPr>
          <w:lang w:val="lt-LT"/>
        </w:rPr>
        <w:t>.</w:t>
      </w:r>
      <w:r>
        <w:rPr>
          <w:lang w:val="lt-LT"/>
        </w:rPr>
        <w:t xml:space="preserve"> </w:t>
      </w:r>
      <w:r w:rsidR="00BC44F8">
        <w:rPr>
          <w:lang w:val="lt-LT"/>
        </w:rPr>
        <w:t>Įmonių įsigijimų e</w:t>
      </w:r>
      <w:r>
        <w:rPr>
          <w:lang w:val="lt-LT"/>
        </w:rPr>
        <w:t xml:space="preserve">ksperto nuomone, galimai tai yra susiję su tuo, kad </w:t>
      </w:r>
      <w:r w:rsidR="004469C1">
        <w:rPr>
          <w:lang w:val="lt-LT"/>
        </w:rPr>
        <w:t>įmonė</w:t>
      </w:r>
      <w:r>
        <w:rPr>
          <w:lang w:val="lt-LT"/>
        </w:rPr>
        <w:t>, būdama didelės užsienio korporacijos dalimi, to tiesiog nesureikšmina</w:t>
      </w:r>
      <w:r w:rsidR="000E7539">
        <w:rPr>
          <w:lang w:val="lt-LT"/>
        </w:rPr>
        <w:t xml:space="preserve"> ir visą informaciją teikia tik </w:t>
      </w:r>
      <w:r w:rsidR="00834DE3">
        <w:rPr>
          <w:lang w:val="lt-LT"/>
        </w:rPr>
        <w:t>apie motin</w:t>
      </w:r>
      <w:r w:rsidR="00723C73">
        <w:rPr>
          <w:lang w:val="lt-LT"/>
        </w:rPr>
        <w:t>in</w:t>
      </w:r>
      <w:r w:rsidR="000E7539">
        <w:rPr>
          <w:lang w:val="lt-LT"/>
        </w:rPr>
        <w:t>ę bendrovę</w:t>
      </w:r>
      <w:r>
        <w:rPr>
          <w:lang w:val="lt-LT"/>
        </w:rPr>
        <w:t>. Vis dėlto šie dalykai jau daro tiesioginę įtaką įmonės vertei –</w:t>
      </w:r>
      <w:r w:rsidR="00D97655">
        <w:rPr>
          <w:lang w:val="lt-LT"/>
        </w:rPr>
        <w:t xml:space="preserve"> </w:t>
      </w:r>
      <w:r w:rsidR="008D3934">
        <w:rPr>
          <w:lang w:val="lt-LT"/>
        </w:rPr>
        <w:t>vertingiausiųjų rokiruotėje „Thermo Fisher Scientific Baltics“ „Vilniaus  prekybai“ šiemet nusileido labiausiai dėl gerokai žemesnio „</w:t>
      </w:r>
      <w:r w:rsidR="00C31719">
        <w:rPr>
          <w:lang w:val="lt-LT"/>
        </w:rPr>
        <w:t>C</w:t>
      </w:r>
      <w:r w:rsidR="008D3934">
        <w:rPr>
          <w:lang w:val="lt-LT"/>
        </w:rPr>
        <w:t xml:space="preserve">orporate </w:t>
      </w:r>
      <w:r w:rsidR="00C31719">
        <w:rPr>
          <w:lang w:val="lt-LT"/>
        </w:rPr>
        <w:t>G</w:t>
      </w:r>
      <w:r w:rsidR="008D3934">
        <w:rPr>
          <w:lang w:val="lt-LT"/>
        </w:rPr>
        <w:t xml:space="preserve">overnance“ </w:t>
      </w:r>
      <w:r w:rsidR="003A235D">
        <w:rPr>
          <w:lang w:val="lt-LT"/>
        </w:rPr>
        <w:t>(</w:t>
      </w:r>
      <w:r w:rsidR="00707BB9">
        <w:rPr>
          <w:lang w:val="lt-LT"/>
        </w:rPr>
        <w:t xml:space="preserve">gerosios </w:t>
      </w:r>
      <w:r w:rsidR="003A235D">
        <w:rPr>
          <w:lang w:val="lt-LT"/>
        </w:rPr>
        <w:t>įmon</w:t>
      </w:r>
      <w:r w:rsidR="00707BB9">
        <w:rPr>
          <w:lang w:val="lt-LT"/>
        </w:rPr>
        <w:t xml:space="preserve">ių </w:t>
      </w:r>
      <w:r w:rsidR="003A235D">
        <w:rPr>
          <w:lang w:val="lt-LT"/>
        </w:rPr>
        <w:t>valdy</w:t>
      </w:r>
      <w:r w:rsidR="00620202">
        <w:rPr>
          <w:lang w:val="lt-LT"/>
        </w:rPr>
        <w:t>senos)</w:t>
      </w:r>
      <w:r w:rsidR="003A235D">
        <w:rPr>
          <w:lang w:val="lt-LT"/>
        </w:rPr>
        <w:t xml:space="preserve"> rodiklio</w:t>
      </w:r>
      <w:r w:rsidR="00E0020A">
        <w:rPr>
          <w:lang w:val="lt-LT"/>
        </w:rPr>
        <w:t>, kuris nustatomas atlikus vertinimą pagal įmonių tinklalapiuose skelbiamą informaciją.</w:t>
      </w:r>
    </w:p>
    <w:p w14:paraId="44C95015" w14:textId="118EDDF3" w:rsidR="0071792F" w:rsidRDefault="0071792F" w:rsidP="009D177A">
      <w:pPr>
        <w:rPr>
          <w:lang w:val="lt-LT"/>
        </w:rPr>
      </w:pPr>
      <w:r>
        <w:rPr>
          <w:lang w:val="lt-LT"/>
        </w:rPr>
        <w:t>Palyginimui – „Vilniaus prekybos“ „</w:t>
      </w:r>
      <w:r w:rsidR="00335070">
        <w:rPr>
          <w:lang w:val="lt-LT"/>
        </w:rPr>
        <w:t>C</w:t>
      </w:r>
      <w:r>
        <w:rPr>
          <w:lang w:val="lt-LT"/>
        </w:rPr>
        <w:t xml:space="preserve">orporate </w:t>
      </w:r>
      <w:r w:rsidR="00335070">
        <w:rPr>
          <w:lang w:val="lt-LT"/>
        </w:rPr>
        <w:t>G</w:t>
      </w:r>
      <w:r>
        <w:rPr>
          <w:lang w:val="lt-LT"/>
        </w:rPr>
        <w:t>overnance“ rodiklis šiemet yra 44, o „Thermo Fisher Scientific Baltics“ – 7</w:t>
      </w:r>
      <w:r w:rsidR="00B71CC1">
        <w:rPr>
          <w:lang w:val="lt-LT"/>
        </w:rPr>
        <w:t xml:space="preserve">, kai </w:t>
      </w:r>
      <w:r>
        <w:rPr>
          <w:lang w:val="lt-LT"/>
        </w:rPr>
        <w:t>maksimalus rodikl</w:t>
      </w:r>
      <w:r w:rsidR="006C134B">
        <w:rPr>
          <w:lang w:val="lt-LT"/>
        </w:rPr>
        <w:t>i</w:t>
      </w:r>
      <w:r>
        <w:rPr>
          <w:lang w:val="lt-LT"/>
        </w:rPr>
        <w:t xml:space="preserve">s </w:t>
      </w:r>
      <w:r w:rsidR="00B71CC1">
        <w:rPr>
          <w:lang w:val="lt-LT"/>
        </w:rPr>
        <w:t>yra</w:t>
      </w:r>
      <w:r>
        <w:rPr>
          <w:lang w:val="lt-LT"/>
        </w:rPr>
        <w:t xml:space="preserve"> 100.  </w:t>
      </w:r>
    </w:p>
    <w:p w14:paraId="2F4ED085" w14:textId="39B57DAE" w:rsidR="00FD5C61" w:rsidRDefault="00FD5C61" w:rsidP="00302DCB">
      <w:pPr>
        <w:rPr>
          <w:lang w:val="lt-LT"/>
        </w:rPr>
      </w:pPr>
      <w:r>
        <w:rPr>
          <w:lang w:val="lt-LT"/>
        </w:rPr>
        <w:t>„Vertinant įmonės vertę svarb</w:t>
      </w:r>
      <w:r w:rsidR="0006534E">
        <w:rPr>
          <w:lang w:val="lt-LT"/>
        </w:rPr>
        <w:t>u</w:t>
      </w:r>
      <w:r>
        <w:rPr>
          <w:lang w:val="lt-LT"/>
        </w:rPr>
        <w:t xml:space="preserve"> ne tik</w:t>
      </w:r>
      <w:r w:rsidR="00B7714A">
        <w:rPr>
          <w:lang w:val="lt-LT"/>
        </w:rPr>
        <w:t xml:space="preserve"> finansinė įmonės situacija, b</w:t>
      </w:r>
      <w:proofErr w:type="spellStart"/>
      <w:r w:rsidR="00B7714A" w:rsidRPr="00211D22">
        <w:t>ūsimų</w:t>
      </w:r>
      <w:proofErr w:type="spellEnd"/>
      <w:r w:rsidR="00B7714A" w:rsidRPr="00211D22">
        <w:t xml:space="preserve"> </w:t>
      </w:r>
      <w:proofErr w:type="spellStart"/>
      <w:r w:rsidR="00B7714A" w:rsidRPr="00211D22">
        <w:t>pinigų</w:t>
      </w:r>
      <w:proofErr w:type="spellEnd"/>
      <w:r w:rsidR="00B7714A" w:rsidRPr="00211D22">
        <w:t xml:space="preserve"> </w:t>
      </w:r>
      <w:proofErr w:type="spellStart"/>
      <w:r w:rsidR="00B7714A" w:rsidRPr="00211D22">
        <w:t>srautų</w:t>
      </w:r>
      <w:proofErr w:type="spellEnd"/>
      <w:r w:rsidR="00B7714A" w:rsidRPr="00211D22">
        <w:t xml:space="preserve"> </w:t>
      </w:r>
      <w:proofErr w:type="spellStart"/>
      <w:r w:rsidR="00B7714A" w:rsidRPr="00211D22">
        <w:t>vert</w:t>
      </w:r>
      <w:r w:rsidR="00B7714A">
        <w:t>ė</w:t>
      </w:r>
      <w:proofErr w:type="spellEnd"/>
      <w:r w:rsidR="00B7714A">
        <w:t xml:space="preserve"> </w:t>
      </w:r>
      <w:proofErr w:type="spellStart"/>
      <w:r w:rsidR="00B7714A" w:rsidRPr="00211D22">
        <w:t>akcininkams</w:t>
      </w:r>
      <w:proofErr w:type="spellEnd"/>
      <w:r w:rsidR="00B7714A" w:rsidRPr="00211D22">
        <w:t xml:space="preserve"> </w:t>
      </w:r>
      <w:proofErr w:type="spellStart"/>
      <w:r w:rsidR="00B7714A" w:rsidRPr="00211D22">
        <w:t>ir</w:t>
      </w:r>
      <w:proofErr w:type="spellEnd"/>
      <w:r w:rsidR="00B7714A" w:rsidRPr="00211D22">
        <w:t xml:space="preserve"> </w:t>
      </w:r>
      <w:proofErr w:type="spellStart"/>
      <w:r w:rsidR="00B7714A" w:rsidRPr="00211D22">
        <w:t>finansiniams</w:t>
      </w:r>
      <w:proofErr w:type="spellEnd"/>
      <w:r w:rsidR="00B7714A" w:rsidRPr="00211D22">
        <w:t xml:space="preserve"> </w:t>
      </w:r>
      <w:proofErr w:type="spellStart"/>
      <w:r w:rsidR="00B7714A" w:rsidRPr="00211D22">
        <w:t>kreditoriams</w:t>
      </w:r>
      <w:proofErr w:type="spellEnd"/>
      <w:r w:rsidR="00B7714A">
        <w:t xml:space="preserve"> </w:t>
      </w:r>
      <w:proofErr w:type="spellStart"/>
      <w:r w:rsidR="00B7714A">
        <w:t>ar</w:t>
      </w:r>
      <w:proofErr w:type="spellEnd"/>
      <w:r w:rsidR="00B7714A">
        <w:t xml:space="preserve"> </w:t>
      </w:r>
      <w:proofErr w:type="spellStart"/>
      <w:r w:rsidR="00B7714A">
        <w:t>nuosavo</w:t>
      </w:r>
      <w:proofErr w:type="spellEnd"/>
      <w:r w:rsidR="00B7714A">
        <w:t xml:space="preserve"> </w:t>
      </w:r>
      <w:proofErr w:type="spellStart"/>
      <w:r w:rsidR="00B7714A">
        <w:t>kapitalo</w:t>
      </w:r>
      <w:proofErr w:type="spellEnd"/>
      <w:r w:rsidR="00B7714A">
        <w:t xml:space="preserve"> </w:t>
      </w:r>
      <w:proofErr w:type="spellStart"/>
      <w:r w:rsidR="00B7714A">
        <w:t>dydis</w:t>
      </w:r>
      <w:proofErr w:type="spellEnd"/>
      <w:r w:rsidR="00A969D1">
        <w:t xml:space="preserve">, </w:t>
      </w:r>
      <w:proofErr w:type="spellStart"/>
      <w:r w:rsidR="00A969D1">
        <w:t>jei</w:t>
      </w:r>
      <w:proofErr w:type="spellEnd"/>
      <w:r w:rsidR="00A969D1">
        <w:t xml:space="preserve"> </w:t>
      </w:r>
      <w:proofErr w:type="spellStart"/>
      <w:r w:rsidR="00A969D1">
        <w:t>kalbame</w:t>
      </w:r>
      <w:proofErr w:type="spellEnd"/>
      <w:r w:rsidR="00093290">
        <w:t xml:space="preserve"> </w:t>
      </w:r>
      <w:proofErr w:type="spellStart"/>
      <w:r w:rsidR="00093290">
        <w:t>apie</w:t>
      </w:r>
      <w:proofErr w:type="spellEnd"/>
      <w:r w:rsidR="00093290">
        <w:t xml:space="preserve"> </w:t>
      </w:r>
      <w:proofErr w:type="spellStart"/>
      <w:r w:rsidR="00093290">
        <w:t>bankus</w:t>
      </w:r>
      <w:proofErr w:type="spellEnd"/>
      <w:r w:rsidR="0006534E">
        <w:t xml:space="preserve">. </w:t>
      </w:r>
      <w:proofErr w:type="spellStart"/>
      <w:r w:rsidR="0006534E">
        <w:t>Stebint</w:t>
      </w:r>
      <w:proofErr w:type="spellEnd"/>
      <w:r w:rsidR="0006534E">
        <w:t xml:space="preserve"> </w:t>
      </w:r>
      <w:proofErr w:type="spellStart"/>
      <w:r w:rsidR="0006534E">
        <w:t>ir</w:t>
      </w:r>
      <w:proofErr w:type="spellEnd"/>
      <w:r w:rsidR="0006534E">
        <w:t xml:space="preserve"> </w:t>
      </w:r>
      <w:proofErr w:type="spellStart"/>
      <w:r w:rsidR="0006534E">
        <w:t>analizuojant</w:t>
      </w:r>
      <w:proofErr w:type="spellEnd"/>
      <w:r w:rsidR="0006534E">
        <w:t xml:space="preserve"> </w:t>
      </w:r>
      <w:proofErr w:type="spellStart"/>
      <w:r w:rsidR="0006534E">
        <w:t>verslo</w:t>
      </w:r>
      <w:proofErr w:type="spellEnd"/>
      <w:r w:rsidR="0006534E">
        <w:t xml:space="preserve"> </w:t>
      </w:r>
      <w:proofErr w:type="spellStart"/>
      <w:r w:rsidR="0006534E">
        <w:t>procesus</w:t>
      </w:r>
      <w:proofErr w:type="spellEnd"/>
      <w:r w:rsidR="0006534E">
        <w:t xml:space="preserve"> </w:t>
      </w:r>
      <w:proofErr w:type="spellStart"/>
      <w:r w:rsidR="0006534E">
        <w:t>Lietuvoje</w:t>
      </w:r>
      <w:proofErr w:type="spellEnd"/>
      <w:r w:rsidR="0006534E">
        <w:t xml:space="preserve"> </w:t>
      </w:r>
      <w:proofErr w:type="spellStart"/>
      <w:r w:rsidR="0006534E">
        <w:t>ir</w:t>
      </w:r>
      <w:proofErr w:type="spellEnd"/>
      <w:r w:rsidR="0006534E">
        <w:t xml:space="preserve"> </w:t>
      </w:r>
      <w:proofErr w:type="spellStart"/>
      <w:r w:rsidR="007B322E">
        <w:t>pasaulyje</w:t>
      </w:r>
      <w:proofErr w:type="spellEnd"/>
      <w:r w:rsidR="007B322E">
        <w:t xml:space="preserve">, </w:t>
      </w:r>
      <w:proofErr w:type="spellStart"/>
      <w:r w:rsidR="006E6463">
        <w:t>įmonių</w:t>
      </w:r>
      <w:proofErr w:type="spellEnd"/>
      <w:r w:rsidR="006E6463">
        <w:t xml:space="preserve"> </w:t>
      </w:r>
      <w:proofErr w:type="spellStart"/>
      <w:r w:rsidR="006E6463">
        <w:t>susijungimus</w:t>
      </w:r>
      <w:proofErr w:type="spellEnd"/>
      <w:r w:rsidR="006E6463">
        <w:t xml:space="preserve"> </w:t>
      </w:r>
      <w:proofErr w:type="spellStart"/>
      <w:r w:rsidR="006E6463">
        <w:t>ir</w:t>
      </w:r>
      <w:proofErr w:type="spellEnd"/>
      <w:r w:rsidR="006E6463">
        <w:t xml:space="preserve"> </w:t>
      </w:r>
      <w:proofErr w:type="spellStart"/>
      <w:r w:rsidR="006E6463">
        <w:t>pardavimus</w:t>
      </w:r>
      <w:proofErr w:type="spellEnd"/>
      <w:r w:rsidR="00D74875">
        <w:t>,</w:t>
      </w:r>
      <w:r w:rsidR="006E6463">
        <w:t xml:space="preserve"> </w:t>
      </w:r>
      <w:proofErr w:type="spellStart"/>
      <w:r w:rsidR="0060203E">
        <w:t>matome</w:t>
      </w:r>
      <w:proofErr w:type="spellEnd"/>
      <w:r w:rsidR="0060203E">
        <w:t xml:space="preserve"> </w:t>
      </w:r>
      <w:proofErr w:type="spellStart"/>
      <w:r w:rsidR="0060203E">
        <w:t>tendenciją</w:t>
      </w:r>
      <w:proofErr w:type="spellEnd"/>
      <w:r w:rsidR="0060203E">
        <w:t xml:space="preserve">, </w:t>
      </w:r>
      <w:proofErr w:type="spellStart"/>
      <w:r w:rsidR="0060203E">
        <w:t>kad</w:t>
      </w:r>
      <w:proofErr w:type="spellEnd"/>
      <w:r w:rsidR="0060203E">
        <w:t xml:space="preserve"> </w:t>
      </w:r>
      <w:proofErr w:type="spellStart"/>
      <w:r w:rsidR="0060203E">
        <w:t>reikšminga</w:t>
      </w:r>
      <w:proofErr w:type="spellEnd"/>
      <w:r w:rsidR="0060203E">
        <w:t xml:space="preserve"> </w:t>
      </w:r>
      <w:proofErr w:type="spellStart"/>
      <w:r w:rsidR="0060203E">
        <w:t>įmonės</w:t>
      </w:r>
      <w:proofErr w:type="spellEnd"/>
      <w:r w:rsidR="0060203E">
        <w:t xml:space="preserve"> </w:t>
      </w:r>
      <w:proofErr w:type="spellStart"/>
      <w:r w:rsidR="0060203E">
        <w:t>vertės</w:t>
      </w:r>
      <w:proofErr w:type="spellEnd"/>
      <w:r w:rsidR="0060203E">
        <w:t xml:space="preserve"> </w:t>
      </w:r>
      <w:proofErr w:type="spellStart"/>
      <w:r w:rsidR="0060203E">
        <w:t>dedamąja</w:t>
      </w:r>
      <w:proofErr w:type="spellEnd"/>
      <w:r w:rsidR="0060203E">
        <w:t xml:space="preserve"> </w:t>
      </w:r>
      <w:proofErr w:type="spellStart"/>
      <w:r w:rsidR="0060203E">
        <w:t>tampa</w:t>
      </w:r>
      <w:proofErr w:type="spellEnd"/>
      <w:r w:rsidR="0060203E">
        <w:t xml:space="preserve"> </w:t>
      </w:r>
      <w:proofErr w:type="spellStart"/>
      <w:r w:rsidR="0060203E">
        <w:t>ir</w:t>
      </w:r>
      <w:proofErr w:type="spellEnd"/>
      <w:r w:rsidR="0060203E">
        <w:t xml:space="preserve"> </w:t>
      </w:r>
      <w:proofErr w:type="spellStart"/>
      <w:r w:rsidR="0060203E">
        <w:t>jos</w:t>
      </w:r>
      <w:proofErr w:type="spellEnd"/>
      <w:r w:rsidR="0060203E">
        <w:t xml:space="preserve"> </w:t>
      </w:r>
      <w:proofErr w:type="spellStart"/>
      <w:r w:rsidR="0060203E">
        <w:t>skaidrumas</w:t>
      </w:r>
      <w:proofErr w:type="spellEnd"/>
      <w:r w:rsidR="0060203E">
        <w:t xml:space="preserve">, </w:t>
      </w:r>
      <w:proofErr w:type="spellStart"/>
      <w:r w:rsidR="0060203E">
        <w:t>atvirumas</w:t>
      </w:r>
      <w:proofErr w:type="spellEnd"/>
      <w:r w:rsidR="0060203E">
        <w:t xml:space="preserve"> </w:t>
      </w:r>
      <w:proofErr w:type="spellStart"/>
      <w:r w:rsidR="0060203E">
        <w:t>bei</w:t>
      </w:r>
      <w:proofErr w:type="spellEnd"/>
      <w:r w:rsidR="0060203E">
        <w:t xml:space="preserve"> </w:t>
      </w:r>
      <w:proofErr w:type="spellStart"/>
      <w:r w:rsidR="0060203E">
        <w:t>tvarumo</w:t>
      </w:r>
      <w:proofErr w:type="spellEnd"/>
      <w:r w:rsidR="0060203E">
        <w:t xml:space="preserve"> </w:t>
      </w:r>
      <w:proofErr w:type="spellStart"/>
      <w:r w:rsidR="0060203E">
        <w:t>principais</w:t>
      </w:r>
      <w:proofErr w:type="spellEnd"/>
      <w:r w:rsidR="0060203E">
        <w:t xml:space="preserve"> </w:t>
      </w:r>
      <w:proofErr w:type="spellStart"/>
      <w:r w:rsidR="0060203E">
        <w:t>paremta</w:t>
      </w:r>
      <w:proofErr w:type="spellEnd"/>
      <w:r w:rsidR="006B23BE">
        <w:t xml:space="preserve"> </w:t>
      </w:r>
      <w:proofErr w:type="spellStart"/>
      <w:r w:rsidR="0060203E">
        <w:t>valdy</w:t>
      </w:r>
      <w:r w:rsidR="006B23BE">
        <w:t>sena</w:t>
      </w:r>
      <w:proofErr w:type="spellEnd"/>
      <w:r w:rsidR="0060203E">
        <w:t xml:space="preserve">. </w:t>
      </w:r>
      <w:r w:rsidR="002A1834">
        <w:t>To</w:t>
      </w:r>
      <w:r w:rsidR="00836369">
        <w:t xml:space="preserve">ks </w:t>
      </w:r>
      <w:proofErr w:type="spellStart"/>
      <w:r w:rsidR="002A1834">
        <w:t>vertinim</w:t>
      </w:r>
      <w:r w:rsidR="00836369">
        <w:t>as</w:t>
      </w:r>
      <w:proofErr w:type="spellEnd"/>
      <w:r w:rsidR="00980C95">
        <w:t>,</w:t>
      </w:r>
      <w:r w:rsidR="00836369">
        <w:t xml:space="preserve"> </w:t>
      </w:r>
      <w:proofErr w:type="spellStart"/>
      <w:r w:rsidR="00836369">
        <w:t>remiantis</w:t>
      </w:r>
      <w:proofErr w:type="spellEnd"/>
      <w:r w:rsidR="00836369">
        <w:t xml:space="preserve"> </w:t>
      </w:r>
      <w:proofErr w:type="spellStart"/>
      <w:r w:rsidR="00836369">
        <w:t>viešai</w:t>
      </w:r>
      <w:proofErr w:type="spellEnd"/>
      <w:r w:rsidR="00836369">
        <w:t xml:space="preserve"> </w:t>
      </w:r>
      <w:proofErr w:type="spellStart"/>
      <w:r w:rsidR="00836369">
        <w:t>prieinama</w:t>
      </w:r>
      <w:proofErr w:type="spellEnd"/>
      <w:r w:rsidR="00836369">
        <w:t xml:space="preserve"> </w:t>
      </w:r>
      <w:proofErr w:type="spellStart"/>
      <w:r w:rsidR="00836369">
        <w:t>informacija</w:t>
      </w:r>
      <w:proofErr w:type="spellEnd"/>
      <w:r w:rsidR="00980C95">
        <w:t>,</w:t>
      </w:r>
      <w:r w:rsidR="00836369">
        <w:t xml:space="preserve"> </w:t>
      </w:r>
      <w:proofErr w:type="spellStart"/>
      <w:r w:rsidR="00836369">
        <w:t>atliekamas</w:t>
      </w:r>
      <w:proofErr w:type="spellEnd"/>
      <w:r w:rsidR="00836369">
        <w:t xml:space="preserve"> </w:t>
      </w:r>
      <w:proofErr w:type="spellStart"/>
      <w:r w:rsidR="00836369">
        <w:t>ir</w:t>
      </w:r>
      <w:proofErr w:type="spellEnd"/>
      <w:r w:rsidR="00836369">
        <w:t xml:space="preserve"> </w:t>
      </w:r>
      <w:proofErr w:type="spellStart"/>
      <w:r w:rsidR="00836369">
        <w:t>mūsų</w:t>
      </w:r>
      <w:proofErr w:type="spellEnd"/>
      <w:r w:rsidR="00836369">
        <w:t xml:space="preserve"> </w:t>
      </w:r>
      <w:proofErr w:type="spellStart"/>
      <w:r w:rsidR="00836369">
        <w:t>tyrimo</w:t>
      </w:r>
      <w:proofErr w:type="spellEnd"/>
      <w:r w:rsidR="00836369">
        <w:t xml:space="preserve"> </w:t>
      </w:r>
      <w:proofErr w:type="spellStart"/>
      <w:r w:rsidR="00836369">
        <w:t>metu</w:t>
      </w:r>
      <w:proofErr w:type="spellEnd"/>
      <w:r w:rsidR="00152672">
        <w:t xml:space="preserve">. </w:t>
      </w:r>
      <w:r w:rsidR="00EB7E8C" w:rsidRPr="00DC7291">
        <w:t xml:space="preserve">Vis </w:t>
      </w:r>
      <w:proofErr w:type="spellStart"/>
      <w:r w:rsidR="00EB7E8C" w:rsidRPr="00DC7291">
        <w:t>dėlto</w:t>
      </w:r>
      <w:proofErr w:type="spellEnd"/>
      <w:r w:rsidR="00EB7E8C" w:rsidRPr="00DC7291">
        <w:t xml:space="preserve"> k</w:t>
      </w:r>
      <w:r w:rsidR="001B63CD" w:rsidRPr="00DC7291">
        <w:t xml:space="preserve">ai </w:t>
      </w:r>
      <w:proofErr w:type="spellStart"/>
      <w:r w:rsidR="001B63CD" w:rsidRPr="00DC7291">
        <w:t>kurios</w:t>
      </w:r>
      <w:proofErr w:type="spellEnd"/>
      <w:r w:rsidR="001B63CD" w:rsidRPr="00DC7291">
        <w:t xml:space="preserve"> </w:t>
      </w:r>
      <w:proofErr w:type="spellStart"/>
      <w:r w:rsidR="001B63CD" w:rsidRPr="00DC7291">
        <w:t>įmonės</w:t>
      </w:r>
      <w:proofErr w:type="spellEnd"/>
      <w:r w:rsidR="001B63CD" w:rsidRPr="00DC7291">
        <w:t xml:space="preserve"> </w:t>
      </w:r>
      <w:proofErr w:type="spellStart"/>
      <w:r w:rsidR="001B63CD" w:rsidRPr="00DC7291">
        <w:t>neskiria</w:t>
      </w:r>
      <w:proofErr w:type="spellEnd"/>
      <w:r w:rsidR="001B63CD" w:rsidRPr="00DC7291">
        <w:t xml:space="preserve"> tam </w:t>
      </w:r>
      <w:proofErr w:type="spellStart"/>
      <w:r w:rsidR="001B63CD" w:rsidRPr="00DC7291">
        <w:t>pakankamai</w:t>
      </w:r>
      <w:proofErr w:type="spellEnd"/>
      <w:r w:rsidR="001B63CD" w:rsidRPr="00DC7291">
        <w:t xml:space="preserve"> </w:t>
      </w:r>
      <w:proofErr w:type="spellStart"/>
      <w:r w:rsidR="001B63CD" w:rsidRPr="00DC7291">
        <w:t>dėmesio</w:t>
      </w:r>
      <w:proofErr w:type="spellEnd"/>
      <w:r w:rsidR="001B63CD" w:rsidRPr="00DC7291">
        <w:t xml:space="preserve">, </w:t>
      </w:r>
      <w:proofErr w:type="spellStart"/>
      <w:r w:rsidR="001B63CD" w:rsidRPr="00DC7291">
        <w:t>todėl</w:t>
      </w:r>
      <w:proofErr w:type="spellEnd"/>
      <w:r w:rsidR="001B63CD" w:rsidRPr="00DC7291">
        <w:t xml:space="preserve"> </w:t>
      </w:r>
      <w:proofErr w:type="spellStart"/>
      <w:r w:rsidR="001B63CD" w:rsidRPr="00DC7291">
        <w:t>a</w:t>
      </w:r>
      <w:r w:rsidR="00152672" w:rsidRPr="00DC7291">
        <w:t>tlikus</w:t>
      </w:r>
      <w:proofErr w:type="spellEnd"/>
      <w:r w:rsidR="00152672" w:rsidRPr="00DC7291">
        <w:t xml:space="preserve"> </w:t>
      </w:r>
      <w:proofErr w:type="spellStart"/>
      <w:r w:rsidR="00152672" w:rsidRPr="00DC7291">
        <w:t>valdy</w:t>
      </w:r>
      <w:r w:rsidR="00932EE4" w:rsidRPr="00DC7291">
        <w:t>senos</w:t>
      </w:r>
      <w:proofErr w:type="spellEnd"/>
      <w:r w:rsidR="00152672" w:rsidRPr="00DC7291">
        <w:t xml:space="preserve"> </w:t>
      </w:r>
      <w:proofErr w:type="spellStart"/>
      <w:r w:rsidR="00152672" w:rsidRPr="00DC7291">
        <w:t>vertinimą</w:t>
      </w:r>
      <w:proofErr w:type="spellEnd"/>
      <w:r w:rsidR="00152672" w:rsidRPr="00DC7291">
        <w:t xml:space="preserve"> </w:t>
      </w:r>
      <w:proofErr w:type="spellStart"/>
      <w:r w:rsidR="00152672" w:rsidRPr="00DC7291">
        <w:t>dalies</w:t>
      </w:r>
      <w:proofErr w:type="spellEnd"/>
      <w:r w:rsidR="00152672" w:rsidRPr="00DC7291">
        <w:t xml:space="preserve"> </w:t>
      </w:r>
      <w:proofErr w:type="spellStart"/>
      <w:r w:rsidR="00152672" w:rsidRPr="00DC7291">
        <w:t>įmonių</w:t>
      </w:r>
      <w:proofErr w:type="spellEnd"/>
      <w:r w:rsidR="00152672" w:rsidRPr="00DC7291">
        <w:t xml:space="preserve"> </w:t>
      </w:r>
      <w:proofErr w:type="spellStart"/>
      <w:r w:rsidR="00152672" w:rsidRPr="00DC7291">
        <w:t>vertė</w:t>
      </w:r>
      <w:proofErr w:type="spellEnd"/>
      <w:r w:rsidR="00152672" w:rsidRPr="00DC7291">
        <w:t xml:space="preserve"> </w:t>
      </w:r>
      <w:proofErr w:type="spellStart"/>
      <w:r w:rsidR="00EB7E8C" w:rsidRPr="00DC7291">
        <w:t>reikšmingai</w:t>
      </w:r>
      <w:proofErr w:type="spellEnd"/>
      <w:r w:rsidR="00EB7E8C" w:rsidRPr="00DC7291">
        <w:t xml:space="preserve"> </w:t>
      </w:r>
      <w:proofErr w:type="spellStart"/>
      <w:r w:rsidR="00152672" w:rsidRPr="00DC7291">
        <w:t>sumažėjo</w:t>
      </w:r>
      <w:proofErr w:type="spellEnd"/>
      <w:r w:rsidR="001B63CD" w:rsidRPr="00DC7291">
        <w:t xml:space="preserve">”, </w:t>
      </w:r>
      <w:r w:rsidR="004C0E8A" w:rsidRPr="00DC7291">
        <w:rPr>
          <w:lang w:val="lt-LT"/>
        </w:rPr>
        <w:t>– apžvelgė „</w:t>
      </w:r>
      <w:proofErr w:type="gramStart"/>
      <w:r w:rsidR="004C0E8A" w:rsidRPr="00DC7291">
        <w:rPr>
          <w:lang w:val="lt-LT"/>
        </w:rPr>
        <w:t>Confidentus“ partneris</w:t>
      </w:r>
      <w:proofErr w:type="gramEnd"/>
      <w:r w:rsidR="004C0E8A" w:rsidRPr="00DC7291">
        <w:rPr>
          <w:lang w:val="lt-LT"/>
        </w:rPr>
        <w:t xml:space="preserve"> K. Kukarskas.</w:t>
      </w:r>
    </w:p>
    <w:p w14:paraId="6D955F56" w14:textId="72550BCB" w:rsidR="009E25DD" w:rsidRPr="009E25DD" w:rsidRDefault="009E25DD" w:rsidP="00302DCB">
      <w:pPr>
        <w:rPr>
          <w:b/>
          <w:bCs/>
        </w:rPr>
      </w:pPr>
      <w:r w:rsidRPr="009E25DD">
        <w:rPr>
          <w:b/>
          <w:bCs/>
        </w:rPr>
        <w:t xml:space="preserve">Tarp </w:t>
      </w:r>
      <w:proofErr w:type="spellStart"/>
      <w:r w:rsidRPr="009E25DD">
        <w:rPr>
          <w:b/>
          <w:bCs/>
        </w:rPr>
        <w:t>projekto</w:t>
      </w:r>
      <w:proofErr w:type="spellEnd"/>
      <w:r w:rsidRPr="009E25DD">
        <w:rPr>
          <w:b/>
          <w:bCs/>
        </w:rPr>
        <w:t xml:space="preserve"> </w:t>
      </w:r>
      <w:proofErr w:type="spellStart"/>
      <w:r w:rsidRPr="009E25DD">
        <w:rPr>
          <w:b/>
          <w:bCs/>
        </w:rPr>
        <w:t>tikslų</w:t>
      </w:r>
      <w:proofErr w:type="spellEnd"/>
      <w:r w:rsidRPr="009E25DD">
        <w:rPr>
          <w:b/>
          <w:bCs/>
        </w:rPr>
        <w:t xml:space="preserve"> – </w:t>
      </w:r>
      <w:proofErr w:type="spellStart"/>
      <w:r w:rsidRPr="009E25DD">
        <w:rPr>
          <w:b/>
          <w:bCs/>
        </w:rPr>
        <w:t>skatinti</w:t>
      </w:r>
      <w:proofErr w:type="spellEnd"/>
      <w:r w:rsidRPr="009E25DD">
        <w:rPr>
          <w:b/>
          <w:bCs/>
        </w:rPr>
        <w:t xml:space="preserve"> </w:t>
      </w:r>
      <w:r w:rsidRPr="009E25DD">
        <w:rPr>
          <w:b/>
          <w:bCs/>
          <w:lang w:val="lt-LT"/>
        </w:rPr>
        <w:t>Baltijos šalių</w:t>
      </w:r>
      <w:r w:rsidRPr="009E25DD">
        <w:rPr>
          <w:b/>
          <w:bCs/>
          <w:lang w:val="lt-LT"/>
        </w:rPr>
        <w:t xml:space="preserve"> </w:t>
      </w:r>
      <w:r w:rsidR="000E045A">
        <w:rPr>
          <w:b/>
          <w:bCs/>
          <w:lang w:val="lt-LT"/>
        </w:rPr>
        <w:t>įmonių</w:t>
      </w:r>
      <w:r w:rsidRPr="009E25DD">
        <w:rPr>
          <w:b/>
          <w:bCs/>
          <w:lang w:val="lt-LT"/>
        </w:rPr>
        <w:t xml:space="preserve"> konkurencingumą pasaulyje</w:t>
      </w:r>
    </w:p>
    <w:p w14:paraId="0C5B9248" w14:textId="77777777" w:rsidR="001D7E5C" w:rsidRDefault="00DC7291" w:rsidP="00DC7291">
      <w:pPr>
        <w:rPr>
          <w:lang w:val="lt-LT"/>
        </w:rPr>
      </w:pPr>
      <w:bookmarkStart w:id="0" w:name="_Hlk88475456"/>
      <w:r w:rsidRPr="00DC7291">
        <w:rPr>
          <w:lang w:val="lt-LT"/>
        </w:rPr>
        <w:t xml:space="preserve">„Sveikiname Lietuvos bendroves vertingiausių Baltijos įmonių sąraše bei džiaugiamės, jog šiame reitinge matome šešias </w:t>
      </w:r>
      <w:r w:rsidR="00806437">
        <w:rPr>
          <w:lang w:val="lt-LT"/>
        </w:rPr>
        <w:t>„</w:t>
      </w:r>
      <w:r w:rsidRPr="00DC7291">
        <w:rPr>
          <w:lang w:val="lt-LT"/>
        </w:rPr>
        <w:t>Nasdaq</w:t>
      </w:r>
      <w:r w:rsidR="00806437">
        <w:rPr>
          <w:lang w:val="lt-LT"/>
        </w:rPr>
        <w:t>“</w:t>
      </w:r>
      <w:r w:rsidRPr="00DC7291">
        <w:rPr>
          <w:lang w:val="lt-LT"/>
        </w:rPr>
        <w:t xml:space="preserve"> Baltijos rinkoje listinguojamas bendroves, dvi</w:t>
      </w:r>
      <w:r w:rsidR="00806437">
        <w:rPr>
          <w:lang w:val="lt-LT"/>
        </w:rPr>
        <w:t xml:space="preserve"> iš kurių</w:t>
      </w:r>
      <w:r w:rsidRPr="00DC7291">
        <w:rPr>
          <w:lang w:val="lt-LT"/>
        </w:rPr>
        <w:t xml:space="preserve"> yra iš Lietuvos“, </w:t>
      </w:r>
      <w:r w:rsidR="00806437" w:rsidRPr="00DC7291">
        <w:rPr>
          <w:lang w:val="lt-LT"/>
        </w:rPr>
        <w:t>–</w:t>
      </w:r>
      <w:r w:rsidRPr="00DC7291">
        <w:rPr>
          <w:lang w:val="lt-LT"/>
        </w:rPr>
        <w:t xml:space="preserve"> sak</w:t>
      </w:r>
      <w:r w:rsidR="00F43611">
        <w:rPr>
          <w:lang w:val="lt-LT"/>
        </w:rPr>
        <w:t>ė</w:t>
      </w:r>
      <w:r w:rsidRPr="00DC7291">
        <w:rPr>
          <w:lang w:val="lt-LT"/>
        </w:rPr>
        <w:t xml:space="preserve"> Saulius Malinauskas, „Nasdaq Vilnius“ vertybinių popierių biržos prezidentas. </w:t>
      </w:r>
    </w:p>
    <w:p w14:paraId="0C091CAF" w14:textId="677EF3CB" w:rsidR="00DC7291" w:rsidRPr="00DC7291" w:rsidRDefault="00DC7291" w:rsidP="00DC7291">
      <w:pPr>
        <w:rPr>
          <w:lang w:val="lt-LT"/>
        </w:rPr>
      </w:pPr>
      <w:r w:rsidRPr="00DC7291">
        <w:rPr>
          <w:lang w:val="lt-LT"/>
        </w:rPr>
        <w:t>„Vertingiausių Baltijos</w:t>
      </w:r>
      <w:r w:rsidR="00A00934">
        <w:rPr>
          <w:lang w:val="lt-LT"/>
        </w:rPr>
        <w:t xml:space="preserve"> šalių </w:t>
      </w:r>
      <w:r w:rsidRPr="00DC7291">
        <w:rPr>
          <w:lang w:val="lt-LT"/>
        </w:rPr>
        <w:t>įmonių sąrašas parodė, kad maksimalų gerosios valdysenos praktikos rodiklį  šiais metais surinko listinguojama Lietuvos energetikos įmonė „Ignitis grupė“</w:t>
      </w:r>
      <w:bookmarkEnd w:id="0"/>
      <w:r w:rsidRPr="00DC7291">
        <w:rPr>
          <w:lang w:val="lt-LT"/>
        </w:rPr>
        <w:t>.</w:t>
      </w:r>
      <w:r w:rsidRPr="00DC7291">
        <w:t xml:space="preserve"> </w:t>
      </w:r>
      <w:proofErr w:type="spellStart"/>
      <w:r w:rsidRPr="00DC7291">
        <w:t>Tikimės</w:t>
      </w:r>
      <w:proofErr w:type="spellEnd"/>
      <w:r w:rsidRPr="00DC7291">
        <w:t xml:space="preserve">, jog </w:t>
      </w:r>
      <w:proofErr w:type="spellStart"/>
      <w:r w:rsidRPr="00DC7291">
        <w:t>tokie</w:t>
      </w:r>
      <w:proofErr w:type="spellEnd"/>
      <w:r w:rsidRPr="00DC7291">
        <w:t xml:space="preserve"> </w:t>
      </w:r>
      <w:proofErr w:type="spellStart"/>
      <w:r w:rsidRPr="00DC7291">
        <w:t>skaidrumo</w:t>
      </w:r>
      <w:proofErr w:type="spellEnd"/>
      <w:r w:rsidRPr="00DC7291">
        <w:t xml:space="preserve">, </w:t>
      </w:r>
      <w:proofErr w:type="spellStart"/>
      <w:r w:rsidRPr="00DC7291">
        <w:t>gerosios</w:t>
      </w:r>
      <w:proofErr w:type="spellEnd"/>
      <w:r w:rsidRPr="00DC7291">
        <w:t xml:space="preserve"> </w:t>
      </w:r>
      <w:proofErr w:type="spellStart"/>
      <w:r w:rsidRPr="00DC7291">
        <w:t>bendrovių</w:t>
      </w:r>
      <w:proofErr w:type="spellEnd"/>
      <w:r w:rsidRPr="00DC7291">
        <w:t xml:space="preserve"> </w:t>
      </w:r>
      <w:proofErr w:type="spellStart"/>
      <w:r w:rsidRPr="00DC7291">
        <w:t>valdysenos</w:t>
      </w:r>
      <w:proofErr w:type="spellEnd"/>
      <w:r w:rsidRPr="00DC7291">
        <w:t xml:space="preserve">, </w:t>
      </w:r>
      <w:proofErr w:type="spellStart"/>
      <w:r w:rsidRPr="00DC7291">
        <w:t>ryšių</w:t>
      </w:r>
      <w:proofErr w:type="spellEnd"/>
      <w:r w:rsidRPr="00DC7291">
        <w:t xml:space="preserve"> </w:t>
      </w:r>
      <w:proofErr w:type="spellStart"/>
      <w:r w:rsidRPr="00DC7291">
        <w:t>su</w:t>
      </w:r>
      <w:proofErr w:type="spellEnd"/>
      <w:r w:rsidRPr="00DC7291">
        <w:t xml:space="preserve"> </w:t>
      </w:r>
      <w:proofErr w:type="spellStart"/>
      <w:r w:rsidRPr="00DC7291">
        <w:t>investuotojais</w:t>
      </w:r>
      <w:proofErr w:type="spellEnd"/>
      <w:r w:rsidRPr="00DC7291">
        <w:t xml:space="preserve"> </w:t>
      </w:r>
      <w:proofErr w:type="spellStart"/>
      <w:r w:rsidRPr="00DC7291">
        <w:t>pavyzdžiai</w:t>
      </w:r>
      <w:proofErr w:type="spellEnd"/>
      <w:r w:rsidRPr="00DC7291">
        <w:t xml:space="preserve"> </w:t>
      </w:r>
      <w:proofErr w:type="spellStart"/>
      <w:r w:rsidRPr="00DC7291">
        <w:t>skatins</w:t>
      </w:r>
      <w:proofErr w:type="spellEnd"/>
      <w:r w:rsidRPr="00DC7291">
        <w:t xml:space="preserve"> </w:t>
      </w:r>
      <w:proofErr w:type="spellStart"/>
      <w:r w:rsidRPr="00DC7291">
        <w:t>daugiau</w:t>
      </w:r>
      <w:proofErr w:type="spellEnd"/>
      <w:r w:rsidRPr="00DC7291">
        <w:t xml:space="preserve"> </w:t>
      </w:r>
      <w:proofErr w:type="spellStart"/>
      <w:r w:rsidRPr="00DC7291">
        <w:t>įmonių</w:t>
      </w:r>
      <w:proofErr w:type="spellEnd"/>
      <w:r w:rsidRPr="00DC7291">
        <w:t xml:space="preserve"> </w:t>
      </w:r>
      <w:proofErr w:type="spellStart"/>
      <w:r w:rsidRPr="00DC7291">
        <w:t>siekti</w:t>
      </w:r>
      <w:proofErr w:type="spellEnd"/>
      <w:r w:rsidRPr="00DC7291">
        <w:t xml:space="preserve"> </w:t>
      </w:r>
      <w:proofErr w:type="spellStart"/>
      <w:r w:rsidRPr="00DC7291">
        <w:t>aukštesnių</w:t>
      </w:r>
      <w:proofErr w:type="spellEnd"/>
      <w:r w:rsidRPr="00DC7291">
        <w:t xml:space="preserve"> </w:t>
      </w:r>
      <w:proofErr w:type="spellStart"/>
      <w:r w:rsidRPr="00DC7291">
        <w:t>standartų</w:t>
      </w:r>
      <w:proofErr w:type="spellEnd"/>
      <w:r w:rsidRPr="00DC7291">
        <w:t xml:space="preserve">, o </w:t>
      </w:r>
      <w:proofErr w:type="spellStart"/>
      <w:r w:rsidRPr="00DC7291">
        <w:t>Lietuvos</w:t>
      </w:r>
      <w:proofErr w:type="spellEnd"/>
      <w:r w:rsidRPr="00DC7291">
        <w:t xml:space="preserve"> </w:t>
      </w:r>
      <w:proofErr w:type="spellStart"/>
      <w:r w:rsidRPr="00DC7291">
        <w:t>bendrovių</w:t>
      </w:r>
      <w:proofErr w:type="spellEnd"/>
      <w:r w:rsidRPr="00DC7291">
        <w:t xml:space="preserve"> </w:t>
      </w:r>
      <w:proofErr w:type="spellStart"/>
      <w:r w:rsidRPr="00DC7291">
        <w:t>sąrašas</w:t>
      </w:r>
      <w:proofErr w:type="spellEnd"/>
      <w:r w:rsidRPr="00DC7291">
        <w:t xml:space="preserve"> </w:t>
      </w:r>
      <w:proofErr w:type="spellStart"/>
      <w:r w:rsidRPr="00DC7291">
        <w:t>šiame</w:t>
      </w:r>
      <w:proofErr w:type="spellEnd"/>
      <w:r w:rsidRPr="00DC7291">
        <w:t xml:space="preserve"> </w:t>
      </w:r>
      <w:proofErr w:type="spellStart"/>
      <w:r w:rsidRPr="00DC7291">
        <w:t>reitinge</w:t>
      </w:r>
      <w:proofErr w:type="spellEnd"/>
      <w:r w:rsidRPr="00DC7291">
        <w:t xml:space="preserve"> </w:t>
      </w:r>
      <w:proofErr w:type="spellStart"/>
      <w:r w:rsidRPr="00DC7291">
        <w:t>ateityje</w:t>
      </w:r>
      <w:proofErr w:type="spellEnd"/>
      <w:r w:rsidRPr="00DC7291">
        <w:t xml:space="preserve"> </w:t>
      </w:r>
      <w:proofErr w:type="spellStart"/>
      <w:r w:rsidRPr="00DC7291">
        <w:t>plėsis</w:t>
      </w:r>
      <w:proofErr w:type="spellEnd"/>
      <w:r w:rsidRPr="00DC7291">
        <w:t>”</w:t>
      </w:r>
      <w:r w:rsidR="006D1596">
        <w:t xml:space="preserve">, </w:t>
      </w:r>
      <w:r w:rsidR="006D1596" w:rsidRPr="00DC7291">
        <w:rPr>
          <w:lang w:val="lt-LT"/>
        </w:rPr>
        <w:t>–</w:t>
      </w:r>
      <w:r w:rsidR="006D1596">
        <w:rPr>
          <w:lang w:val="lt-LT"/>
        </w:rPr>
        <w:t xml:space="preserve"> teigė S. Malinauskas.</w:t>
      </w:r>
    </w:p>
    <w:p w14:paraId="43721623" w14:textId="443CFFEB" w:rsidR="00C40804" w:rsidRDefault="00E82726" w:rsidP="00B76EDF">
      <w:pPr>
        <w:rPr>
          <w:lang w:val="lt-LT"/>
        </w:rPr>
      </w:pPr>
      <w:r>
        <w:rPr>
          <w:lang w:val="lt-LT"/>
        </w:rPr>
        <w:t>A</w:t>
      </w:r>
      <w:r w:rsidR="003F0C5A">
        <w:rPr>
          <w:lang w:val="lt-LT"/>
        </w:rPr>
        <w:t>ukšt</w:t>
      </w:r>
      <w:r w:rsidR="009D290A">
        <w:rPr>
          <w:lang w:val="lt-LT"/>
        </w:rPr>
        <w:t xml:space="preserve">ais </w:t>
      </w:r>
      <w:r w:rsidR="00E1794F">
        <w:rPr>
          <w:lang w:val="lt-LT"/>
        </w:rPr>
        <w:t xml:space="preserve">„Corporate </w:t>
      </w:r>
      <w:r w:rsidR="001D0FD2">
        <w:rPr>
          <w:lang w:val="lt-LT"/>
        </w:rPr>
        <w:t>Go</w:t>
      </w:r>
      <w:r w:rsidR="00E1794F">
        <w:rPr>
          <w:lang w:val="lt-LT"/>
        </w:rPr>
        <w:t>vernance“ rodikli</w:t>
      </w:r>
      <w:r w:rsidR="009D290A">
        <w:rPr>
          <w:lang w:val="lt-LT"/>
        </w:rPr>
        <w:t xml:space="preserve">ais šiemet pasižymėję bankai </w:t>
      </w:r>
      <w:r w:rsidR="00027AB6">
        <w:rPr>
          <w:lang w:val="lt-LT"/>
        </w:rPr>
        <w:t>„Swedbank“ (</w:t>
      </w:r>
      <w:r w:rsidR="006E04EB">
        <w:rPr>
          <w:lang w:val="lt-LT"/>
        </w:rPr>
        <w:t>7</w:t>
      </w:r>
      <w:r w:rsidR="004E6966">
        <w:rPr>
          <w:lang w:val="lt-LT"/>
        </w:rPr>
        <w:t>6</w:t>
      </w:r>
      <w:r w:rsidR="006E04EB">
        <w:rPr>
          <w:lang w:val="lt-LT"/>
        </w:rPr>
        <w:t xml:space="preserve"> / </w:t>
      </w:r>
      <w:r w:rsidR="00027AB6">
        <w:rPr>
          <w:lang w:val="lt-LT"/>
        </w:rPr>
        <w:t>3,9 mlrd. eurų) ir „SEB“ (</w:t>
      </w:r>
      <w:r w:rsidR="006E04EB">
        <w:rPr>
          <w:lang w:val="lt-LT"/>
        </w:rPr>
        <w:t>7</w:t>
      </w:r>
      <w:r w:rsidR="004E6966">
        <w:rPr>
          <w:lang w:val="lt-LT"/>
        </w:rPr>
        <w:t>6</w:t>
      </w:r>
      <w:r w:rsidR="006E04EB">
        <w:rPr>
          <w:lang w:val="lt-LT"/>
        </w:rPr>
        <w:t xml:space="preserve"> / </w:t>
      </w:r>
      <w:r w:rsidR="00027AB6">
        <w:rPr>
          <w:lang w:val="lt-LT"/>
        </w:rPr>
        <w:t>2,5 mlrd. eurų) rikiuojasi atitinkamai t</w:t>
      </w:r>
      <w:r w:rsidR="00265E2B">
        <w:rPr>
          <w:lang w:val="lt-LT"/>
        </w:rPr>
        <w:t xml:space="preserve">rečioje ir ketvirtoje vertingiausiųjų trisdešimtuko </w:t>
      </w:r>
      <w:r w:rsidR="00265E2B">
        <w:rPr>
          <w:lang w:val="lt-LT"/>
        </w:rPr>
        <w:lastRenderedPageBreak/>
        <w:t>vietose</w:t>
      </w:r>
      <w:r w:rsidR="00027AB6">
        <w:rPr>
          <w:lang w:val="lt-LT"/>
        </w:rPr>
        <w:t>.</w:t>
      </w:r>
      <w:r w:rsidR="00C40804">
        <w:rPr>
          <w:lang w:val="lt-LT"/>
        </w:rPr>
        <w:t xml:space="preserve"> </w:t>
      </w:r>
      <w:r w:rsidR="007A270E">
        <w:rPr>
          <w:lang w:val="lt-LT"/>
        </w:rPr>
        <w:t>M</w:t>
      </w:r>
      <w:r w:rsidR="00C40804">
        <w:rPr>
          <w:lang w:val="lt-LT"/>
        </w:rPr>
        <w:t xml:space="preserve">aksimalų </w:t>
      </w:r>
      <w:r w:rsidR="00B8020F">
        <w:rPr>
          <w:lang w:val="lt-LT"/>
        </w:rPr>
        <w:t>gerosios valdysenos praktikos</w:t>
      </w:r>
      <w:r w:rsidR="00C40804">
        <w:rPr>
          <w:lang w:val="lt-LT"/>
        </w:rPr>
        <w:t xml:space="preserve"> rodiklį (100) surinko</w:t>
      </w:r>
      <w:r w:rsidR="007A270E">
        <w:rPr>
          <w:lang w:val="lt-LT"/>
        </w:rPr>
        <w:t xml:space="preserve"> </w:t>
      </w:r>
      <w:r w:rsidR="00DB42F2">
        <w:rPr>
          <w:lang w:val="lt-LT"/>
        </w:rPr>
        <w:t xml:space="preserve">vienintelė įmonė sąraše – </w:t>
      </w:r>
      <w:r w:rsidR="002B7135">
        <w:rPr>
          <w:lang w:val="lt-LT"/>
        </w:rPr>
        <w:t>Lietuvos energetikos įmonė „Ignitis grupė“</w:t>
      </w:r>
      <w:r w:rsidR="00582797">
        <w:rPr>
          <w:lang w:val="lt-LT"/>
        </w:rPr>
        <w:t>, kuri vertingiausiųjų rokiruotėje užėmė penktą vietą. Šios įmonės (kaip ir kitų, listinguojamų biržoje) vertė – 2,2 mlrd. eurų – suskaičiuota remiantis jos kaina biržoje</w:t>
      </w:r>
      <w:r w:rsidR="00BF4644">
        <w:rPr>
          <w:lang w:val="lt-LT"/>
        </w:rPr>
        <w:t>.</w:t>
      </w:r>
    </w:p>
    <w:p w14:paraId="670AD43B" w14:textId="47B42947" w:rsidR="001B3641" w:rsidRDefault="007F0193" w:rsidP="00B76EDF">
      <w:pPr>
        <w:rPr>
          <w:lang w:val="lt-LT"/>
        </w:rPr>
      </w:pPr>
      <w:r>
        <w:rPr>
          <w:lang w:val="lt-LT"/>
        </w:rPr>
        <w:t xml:space="preserve">Vertingiausia Estijos įmone </w:t>
      </w:r>
      <w:r w:rsidR="00FC193D">
        <w:rPr>
          <w:lang w:val="lt-LT"/>
        </w:rPr>
        <w:t>tapo kita energetikos bendrovė „Eesti Energia“ (</w:t>
      </w:r>
      <w:r w:rsidR="003F6391">
        <w:rPr>
          <w:lang w:val="lt-LT"/>
        </w:rPr>
        <w:t>2,1 mlrd. eurų), kuriai skirta šeštoji viet</w:t>
      </w:r>
      <w:r w:rsidR="00F2292C">
        <w:rPr>
          <w:lang w:val="lt-LT"/>
        </w:rPr>
        <w:t>a</w:t>
      </w:r>
      <w:r w:rsidR="003B6DC0">
        <w:rPr>
          <w:lang w:val="lt-LT"/>
        </w:rPr>
        <w:t xml:space="preserve">, </w:t>
      </w:r>
      <w:r w:rsidR="007624E8">
        <w:rPr>
          <w:lang w:val="lt-LT"/>
        </w:rPr>
        <w:t xml:space="preserve">nuo jos nedaug atsiliko ir </w:t>
      </w:r>
      <w:r w:rsidR="003B6DC0">
        <w:rPr>
          <w:lang w:val="lt-LT"/>
        </w:rPr>
        <w:t>vertingiausia Latvijos įmon</w:t>
      </w:r>
      <w:r w:rsidR="007624E8">
        <w:rPr>
          <w:lang w:val="lt-LT"/>
        </w:rPr>
        <w:t>ė</w:t>
      </w:r>
      <w:r w:rsidR="003B6DC0">
        <w:rPr>
          <w:lang w:val="lt-LT"/>
        </w:rPr>
        <w:t xml:space="preserve"> –</w:t>
      </w:r>
      <w:r w:rsidR="00C45FAE">
        <w:rPr>
          <w:lang w:val="lt-LT"/>
        </w:rPr>
        <w:t xml:space="preserve"> taip pat energetikos bendrovė „Latvenergo“</w:t>
      </w:r>
      <w:r w:rsidR="007624E8">
        <w:rPr>
          <w:lang w:val="lt-LT"/>
        </w:rPr>
        <w:t xml:space="preserve"> (per 2 mlrd. eurų)</w:t>
      </w:r>
      <w:r w:rsidR="00890098">
        <w:rPr>
          <w:lang w:val="lt-LT"/>
        </w:rPr>
        <w:t>.</w:t>
      </w:r>
      <w:r w:rsidR="001B3641">
        <w:rPr>
          <w:lang w:val="lt-LT"/>
        </w:rPr>
        <w:t xml:space="preserve"> Visas vertingiausių Baltijos šalių įmonių sąrašas skelbiamas internete </w:t>
      </w:r>
      <w:hyperlink r:id="rId8" w:history="1">
        <w:r w:rsidR="001B3641" w:rsidRPr="00A1233F">
          <w:rPr>
            <w:rStyle w:val="Hyperlink"/>
            <w:lang w:val="lt-LT"/>
          </w:rPr>
          <w:t>www.baltictop.eu</w:t>
        </w:r>
      </w:hyperlink>
      <w:r w:rsidR="001B3641">
        <w:rPr>
          <w:lang w:val="lt-LT"/>
        </w:rPr>
        <w:t>.</w:t>
      </w:r>
    </w:p>
    <w:p w14:paraId="5844A043" w14:textId="1A91F301" w:rsidR="00BA72A5" w:rsidRPr="00BA72A5" w:rsidRDefault="00C32D02" w:rsidP="00B76EDF">
      <w:r>
        <w:rPr>
          <w:lang w:val="lt-LT"/>
        </w:rPr>
        <w:t>„</w:t>
      </w:r>
      <w:r w:rsidRPr="00C32D02">
        <w:rPr>
          <w:lang w:val="lt-LT"/>
        </w:rPr>
        <w:t xml:space="preserve">Labai džiaugiamės, kad prieš 16 metų Latvijoje pradėta iniciatyva </w:t>
      </w:r>
      <w:r>
        <w:rPr>
          <w:lang w:val="lt-LT"/>
        </w:rPr>
        <w:t>„</w:t>
      </w:r>
      <w:r w:rsidRPr="00C32D02">
        <w:rPr>
          <w:lang w:val="lt-LT"/>
        </w:rPr>
        <w:t>Prudentia</w:t>
      </w:r>
      <w:r>
        <w:rPr>
          <w:lang w:val="lt-LT"/>
        </w:rPr>
        <w:t>“</w:t>
      </w:r>
      <w:r w:rsidRPr="00C32D02">
        <w:rPr>
          <w:lang w:val="lt-LT"/>
        </w:rPr>
        <w:t xml:space="preserve"> ir </w:t>
      </w:r>
      <w:r>
        <w:rPr>
          <w:lang w:val="lt-LT"/>
        </w:rPr>
        <w:t>„</w:t>
      </w:r>
      <w:r w:rsidRPr="00C32D02">
        <w:rPr>
          <w:lang w:val="lt-LT"/>
        </w:rPr>
        <w:t>Confidentus</w:t>
      </w:r>
      <w:r>
        <w:rPr>
          <w:lang w:val="lt-LT"/>
        </w:rPr>
        <w:t>“</w:t>
      </w:r>
      <w:r w:rsidRPr="00C32D02">
        <w:rPr>
          <w:lang w:val="lt-LT"/>
        </w:rPr>
        <w:t xml:space="preserve"> dėka išaugo į Baltijos šalių projektą. Baltijos šalių </w:t>
      </w:r>
      <w:r>
        <w:rPr>
          <w:lang w:val="lt-LT"/>
        </w:rPr>
        <w:t xml:space="preserve">vertingiausių įmonių </w:t>
      </w:r>
      <w:r w:rsidRPr="00C32D02">
        <w:rPr>
          <w:lang w:val="lt-LT"/>
        </w:rPr>
        <w:t>TOP</w:t>
      </w:r>
      <w:r>
        <w:rPr>
          <w:lang w:val="lt-LT"/>
        </w:rPr>
        <w:t xml:space="preserve"> </w:t>
      </w:r>
      <w:r w:rsidRPr="00C32D02">
        <w:rPr>
          <w:lang w:val="lt-LT"/>
        </w:rPr>
        <w:t xml:space="preserve">30 </w:t>
      </w:r>
      <w:r>
        <w:rPr>
          <w:lang w:val="lt-LT"/>
        </w:rPr>
        <w:t>–</w:t>
      </w:r>
      <w:r w:rsidRPr="00C32D02">
        <w:rPr>
          <w:lang w:val="lt-LT"/>
        </w:rPr>
        <w:t xml:space="preserve"> tai unikali analitinė informacija, leidžianti visuomenei giliau pažvelgti ne tik į kiekvienos listinguojamos bendrovės finansinius rezultatus, bet ir skatinanti Baltijos šalių įmonių konkurencingumą pasaulyje</w:t>
      </w:r>
      <w:r w:rsidR="004969C4">
        <w:rPr>
          <w:lang w:val="lt-LT"/>
        </w:rPr>
        <w:t xml:space="preserve">“, – teigė „Prudentia“ vadovaujantysis partneris </w:t>
      </w:r>
      <w:proofErr w:type="spellStart"/>
      <w:r w:rsidR="00DF2049">
        <w:t>Kārlis</w:t>
      </w:r>
      <w:proofErr w:type="spellEnd"/>
      <w:r w:rsidR="00DF2049">
        <w:t xml:space="preserve"> </w:t>
      </w:r>
      <w:proofErr w:type="spellStart"/>
      <w:r w:rsidR="00DF2049">
        <w:t>Krastiņš</w:t>
      </w:r>
      <w:proofErr w:type="spellEnd"/>
      <w:r w:rsidR="00DF2049">
        <w:t xml:space="preserve">. </w:t>
      </w:r>
      <w:proofErr w:type="spellStart"/>
      <w:r w:rsidR="0084471D">
        <w:t>Beje</w:t>
      </w:r>
      <w:proofErr w:type="spellEnd"/>
      <w:r w:rsidR="0084471D">
        <w:t xml:space="preserve">, </w:t>
      </w:r>
      <w:r w:rsidR="00E4175A">
        <w:rPr>
          <w:lang w:val="lt-LT"/>
        </w:rPr>
        <w:t>„</w:t>
      </w:r>
      <w:proofErr w:type="gramStart"/>
      <w:r w:rsidR="00E4175A">
        <w:rPr>
          <w:lang w:val="lt-LT"/>
        </w:rPr>
        <w:t>Prudentia“ kasmet</w:t>
      </w:r>
      <w:proofErr w:type="gramEnd"/>
      <w:r w:rsidR="00E4175A">
        <w:rPr>
          <w:lang w:val="lt-LT"/>
        </w:rPr>
        <w:t xml:space="preserve"> sudaro ir vietinius Estijos </w:t>
      </w:r>
      <w:r w:rsidR="00BA72A5">
        <w:t>(</w:t>
      </w:r>
      <w:hyperlink r:id="rId9" w:history="1">
        <w:r w:rsidR="00BA72A5" w:rsidRPr="00841454">
          <w:rPr>
            <w:rStyle w:val="Hyperlink"/>
          </w:rPr>
          <w:t>www.top101.ee</w:t>
        </w:r>
      </w:hyperlink>
      <w:r w:rsidR="00BA72A5">
        <w:t xml:space="preserve">) </w:t>
      </w:r>
      <w:r w:rsidR="00E4175A">
        <w:rPr>
          <w:lang w:val="lt-LT"/>
        </w:rPr>
        <w:t xml:space="preserve">bei Latvijos </w:t>
      </w:r>
      <w:r w:rsidR="00BA72A5">
        <w:rPr>
          <w:lang w:val="lt-LT"/>
        </w:rPr>
        <w:t>(</w:t>
      </w:r>
      <w:hyperlink r:id="rId10" w:history="1">
        <w:r w:rsidR="00BA72A5" w:rsidRPr="00841454">
          <w:rPr>
            <w:rStyle w:val="Hyperlink"/>
            <w:lang w:val="lt-LT"/>
          </w:rPr>
          <w:t>www.top101.lv</w:t>
        </w:r>
      </w:hyperlink>
      <w:r w:rsidR="00BA72A5">
        <w:rPr>
          <w:lang w:val="lt-LT"/>
        </w:rPr>
        <w:t>) v</w:t>
      </w:r>
      <w:r w:rsidR="00E4175A">
        <w:rPr>
          <w:lang w:val="lt-LT"/>
        </w:rPr>
        <w:t>ertingiausių įmonių TOP 101 sąrašus.</w:t>
      </w:r>
    </w:p>
    <w:p w14:paraId="4D9920A9" w14:textId="37C54A54" w:rsidR="006946C6" w:rsidRDefault="005E18BA" w:rsidP="006946C6">
      <w:proofErr w:type="spellStart"/>
      <w:r>
        <w:t>Atliekant</w:t>
      </w:r>
      <w:proofErr w:type="spellEnd"/>
      <w:r>
        <w:t xml:space="preserve"> </w:t>
      </w:r>
      <w:proofErr w:type="spellStart"/>
      <w:r>
        <w:t>įmonių</w:t>
      </w:r>
      <w:proofErr w:type="spellEnd"/>
      <w:r>
        <w:t xml:space="preserve"> </w:t>
      </w:r>
      <w:proofErr w:type="spellStart"/>
      <w:r>
        <w:t>Baltijos</w:t>
      </w:r>
      <w:proofErr w:type="spellEnd"/>
      <w:r>
        <w:t xml:space="preserve"> </w:t>
      </w:r>
      <w:proofErr w:type="spellStart"/>
      <w:r>
        <w:t>šalyse</w:t>
      </w:r>
      <w:proofErr w:type="spellEnd"/>
      <w:r>
        <w:t xml:space="preserve"> </w:t>
      </w:r>
      <w:proofErr w:type="spellStart"/>
      <w:r>
        <w:t>vertės</w:t>
      </w:r>
      <w:proofErr w:type="spellEnd"/>
      <w:r>
        <w:t xml:space="preserve"> </w:t>
      </w:r>
      <w:proofErr w:type="spellStart"/>
      <w:r>
        <w:t>analizę</w:t>
      </w:r>
      <w:proofErr w:type="spellEnd"/>
      <w:r>
        <w:t xml:space="preserve"> </w:t>
      </w:r>
      <w:proofErr w:type="spellStart"/>
      <w:r w:rsidR="00125E47">
        <w:t>buvo</w:t>
      </w:r>
      <w:proofErr w:type="spellEnd"/>
      <w:r w:rsidR="00125E47">
        <w:t xml:space="preserve"> </w:t>
      </w:r>
      <w:proofErr w:type="spellStart"/>
      <w:r w:rsidR="00125E47">
        <w:t>vertint</w:t>
      </w:r>
      <w:r w:rsidR="001B4C9C">
        <w:t>i</w:t>
      </w:r>
      <w:proofErr w:type="spellEnd"/>
      <w:r w:rsidR="00125E47">
        <w:t xml:space="preserve"> </w:t>
      </w:r>
      <w:proofErr w:type="spellStart"/>
      <w:r w:rsidR="00125E47">
        <w:t>maždaug</w:t>
      </w:r>
      <w:proofErr w:type="spellEnd"/>
      <w:r w:rsidR="00125E47">
        <w:t xml:space="preserve"> </w:t>
      </w:r>
      <w:proofErr w:type="spellStart"/>
      <w:r w:rsidR="00125E47">
        <w:t>tūkstančio</w:t>
      </w:r>
      <w:proofErr w:type="spellEnd"/>
      <w:r w:rsidR="00125E47">
        <w:t xml:space="preserve"> </w:t>
      </w:r>
      <w:proofErr w:type="spellStart"/>
      <w:r w:rsidR="00125E47">
        <w:t>įmonių</w:t>
      </w:r>
      <w:proofErr w:type="spellEnd"/>
      <w:r w:rsidR="00125E47">
        <w:t xml:space="preserve"> </w:t>
      </w:r>
      <w:proofErr w:type="spellStart"/>
      <w:r w:rsidR="00125E47">
        <w:t>Lietuvoje</w:t>
      </w:r>
      <w:proofErr w:type="spellEnd"/>
      <w:r w:rsidR="00125E47">
        <w:t xml:space="preserve">, </w:t>
      </w:r>
      <w:proofErr w:type="spellStart"/>
      <w:r w:rsidR="00125E47">
        <w:t>Latvijoje</w:t>
      </w:r>
      <w:proofErr w:type="spellEnd"/>
      <w:r w:rsidR="00125E47">
        <w:t xml:space="preserve"> </w:t>
      </w:r>
      <w:proofErr w:type="spellStart"/>
      <w:r w:rsidR="00125E47">
        <w:t>ir</w:t>
      </w:r>
      <w:proofErr w:type="spellEnd"/>
      <w:r w:rsidR="00125E47">
        <w:t xml:space="preserve"> </w:t>
      </w:r>
      <w:proofErr w:type="spellStart"/>
      <w:r w:rsidR="00125E47">
        <w:t>Estijoje</w:t>
      </w:r>
      <w:proofErr w:type="spellEnd"/>
      <w:r w:rsidR="00125E47">
        <w:t xml:space="preserve"> </w:t>
      </w:r>
      <w:proofErr w:type="spellStart"/>
      <w:r w:rsidR="00125E47">
        <w:t>duomenys</w:t>
      </w:r>
      <w:proofErr w:type="spellEnd"/>
      <w:r w:rsidR="00125E47">
        <w:t>.</w:t>
      </w:r>
      <w:r w:rsidR="006946C6">
        <w:t xml:space="preserve"> </w:t>
      </w:r>
      <w:proofErr w:type="spellStart"/>
      <w:r w:rsidR="00784CE9">
        <w:t>Įmonių</w:t>
      </w:r>
      <w:proofErr w:type="spellEnd"/>
      <w:r w:rsidR="00BF4644">
        <w:t xml:space="preserve"> </w:t>
      </w:r>
      <w:proofErr w:type="spellStart"/>
      <w:r w:rsidR="006946C6" w:rsidRPr="00211D22">
        <w:t>vertė</w:t>
      </w:r>
      <w:proofErr w:type="spellEnd"/>
      <w:r w:rsidR="006946C6" w:rsidRPr="00211D22">
        <w:t xml:space="preserve"> (</w:t>
      </w:r>
      <w:proofErr w:type="spellStart"/>
      <w:r w:rsidR="006946C6" w:rsidRPr="00211D22">
        <w:t>finansinių</w:t>
      </w:r>
      <w:proofErr w:type="spellEnd"/>
      <w:r w:rsidR="006946C6" w:rsidRPr="00211D22">
        <w:t xml:space="preserve"> </w:t>
      </w:r>
      <w:proofErr w:type="spellStart"/>
      <w:r w:rsidR="006946C6" w:rsidRPr="00211D22">
        <w:t>paslaugų</w:t>
      </w:r>
      <w:proofErr w:type="spellEnd"/>
      <w:r w:rsidR="006946C6" w:rsidRPr="00211D22">
        <w:t xml:space="preserve"> </w:t>
      </w:r>
      <w:proofErr w:type="spellStart"/>
      <w:r w:rsidR="006946C6" w:rsidRPr="00211D22">
        <w:t>bendrovių</w:t>
      </w:r>
      <w:proofErr w:type="spellEnd"/>
      <w:r w:rsidR="006946C6" w:rsidRPr="00211D22">
        <w:t xml:space="preserve"> </w:t>
      </w:r>
      <w:proofErr w:type="spellStart"/>
      <w:r w:rsidR="006946C6" w:rsidRPr="00211D22">
        <w:t>atveju</w:t>
      </w:r>
      <w:proofErr w:type="spellEnd"/>
      <w:r w:rsidR="006946C6" w:rsidRPr="00211D22">
        <w:t xml:space="preserve"> </w:t>
      </w:r>
      <w:r w:rsidR="006946C6">
        <w:t>–</w:t>
      </w:r>
      <w:r w:rsidR="006946C6" w:rsidRPr="00211D22">
        <w:t xml:space="preserve"> </w:t>
      </w:r>
      <w:proofErr w:type="spellStart"/>
      <w:r w:rsidR="006946C6" w:rsidRPr="00211D22">
        <w:t>nuosavo</w:t>
      </w:r>
      <w:proofErr w:type="spellEnd"/>
      <w:r w:rsidR="006946C6" w:rsidRPr="00211D22">
        <w:t xml:space="preserve"> </w:t>
      </w:r>
      <w:proofErr w:type="spellStart"/>
      <w:r w:rsidR="006946C6" w:rsidRPr="00211D22">
        <w:t>kapitalo</w:t>
      </w:r>
      <w:proofErr w:type="spellEnd"/>
      <w:r w:rsidR="006946C6" w:rsidRPr="00211D22">
        <w:t xml:space="preserve"> </w:t>
      </w:r>
      <w:proofErr w:type="spellStart"/>
      <w:r w:rsidR="006946C6" w:rsidRPr="00211D22">
        <w:t>vertė</w:t>
      </w:r>
      <w:proofErr w:type="spellEnd"/>
      <w:r w:rsidR="006946C6" w:rsidRPr="00211D22">
        <w:t xml:space="preserve">) </w:t>
      </w:r>
      <w:proofErr w:type="spellStart"/>
      <w:r w:rsidR="006946C6">
        <w:t>buvo</w:t>
      </w:r>
      <w:proofErr w:type="spellEnd"/>
      <w:r w:rsidR="006946C6">
        <w:t xml:space="preserve"> </w:t>
      </w:r>
      <w:proofErr w:type="spellStart"/>
      <w:r w:rsidR="006946C6" w:rsidRPr="00211D22">
        <w:t>nustatoma</w:t>
      </w:r>
      <w:proofErr w:type="spellEnd"/>
      <w:r w:rsidR="006946C6" w:rsidRPr="00211D22">
        <w:t xml:space="preserve"> </w:t>
      </w:r>
      <w:proofErr w:type="spellStart"/>
      <w:r w:rsidR="006946C6" w:rsidRPr="00211D22">
        <w:t>taikant</w:t>
      </w:r>
      <w:proofErr w:type="spellEnd"/>
      <w:r w:rsidR="006946C6" w:rsidRPr="00211D22">
        <w:t xml:space="preserve"> </w:t>
      </w:r>
      <w:proofErr w:type="spellStart"/>
      <w:r w:rsidR="006946C6" w:rsidRPr="00211D22">
        <w:t>palyginamųjų</w:t>
      </w:r>
      <w:proofErr w:type="spellEnd"/>
      <w:r w:rsidR="006946C6" w:rsidRPr="00211D22">
        <w:t xml:space="preserve"> </w:t>
      </w:r>
      <w:proofErr w:type="spellStart"/>
      <w:r w:rsidR="006946C6" w:rsidRPr="00211D22">
        <w:t>daugiklių</w:t>
      </w:r>
      <w:proofErr w:type="spellEnd"/>
      <w:r w:rsidR="006946C6" w:rsidRPr="00211D22">
        <w:t xml:space="preserve"> </w:t>
      </w:r>
      <w:proofErr w:type="spellStart"/>
      <w:r w:rsidR="006946C6" w:rsidRPr="00211D22">
        <w:t>metodą</w:t>
      </w:r>
      <w:proofErr w:type="spellEnd"/>
      <w:r w:rsidR="000E532F">
        <w:t xml:space="preserve"> </w:t>
      </w:r>
      <w:proofErr w:type="spellStart"/>
      <w:r w:rsidR="000E532F">
        <w:t>bei</w:t>
      </w:r>
      <w:proofErr w:type="spellEnd"/>
      <w:r w:rsidR="000E532F">
        <w:t xml:space="preserve"> </w:t>
      </w:r>
      <w:proofErr w:type="spellStart"/>
      <w:r w:rsidR="000E532F">
        <w:t>atlikus</w:t>
      </w:r>
      <w:proofErr w:type="spellEnd"/>
      <w:r w:rsidR="000E532F">
        <w:t xml:space="preserve"> </w:t>
      </w:r>
      <w:proofErr w:type="spellStart"/>
      <w:r w:rsidR="000E532F">
        <w:t>įmonių</w:t>
      </w:r>
      <w:proofErr w:type="spellEnd"/>
      <w:r w:rsidR="000E532F">
        <w:t xml:space="preserve"> </w:t>
      </w:r>
      <w:proofErr w:type="spellStart"/>
      <w:r w:rsidR="000E532F">
        <w:t>skaidrumo</w:t>
      </w:r>
      <w:proofErr w:type="spellEnd"/>
      <w:r w:rsidR="000E532F">
        <w:t xml:space="preserve">, </w:t>
      </w:r>
      <w:proofErr w:type="spellStart"/>
      <w:r w:rsidR="000E532F">
        <w:t>atvirumo</w:t>
      </w:r>
      <w:proofErr w:type="spellEnd"/>
      <w:r w:rsidR="000E532F">
        <w:t xml:space="preserve"> </w:t>
      </w:r>
      <w:proofErr w:type="spellStart"/>
      <w:r w:rsidR="000E532F">
        <w:t>ir</w:t>
      </w:r>
      <w:proofErr w:type="spellEnd"/>
      <w:r w:rsidR="000E532F">
        <w:t xml:space="preserve"> </w:t>
      </w:r>
      <w:proofErr w:type="spellStart"/>
      <w:r w:rsidR="000E532F">
        <w:t>valdy</w:t>
      </w:r>
      <w:r w:rsidR="001D4202">
        <w:t>senos</w:t>
      </w:r>
      <w:proofErr w:type="spellEnd"/>
      <w:r w:rsidR="001D4202">
        <w:t xml:space="preserve"> </w:t>
      </w:r>
      <w:proofErr w:type="spellStart"/>
      <w:r w:rsidR="000E532F">
        <w:t>įvertinimą</w:t>
      </w:r>
      <w:proofErr w:type="spellEnd"/>
      <w:r w:rsidR="000E532F">
        <w:t>.</w:t>
      </w:r>
      <w:r w:rsidR="00784CE9">
        <w:t xml:space="preserve"> </w:t>
      </w:r>
      <w:proofErr w:type="spellStart"/>
      <w:r w:rsidR="00784CE9">
        <w:t>Listinguojamų</w:t>
      </w:r>
      <w:proofErr w:type="spellEnd"/>
      <w:r w:rsidR="00784CE9">
        <w:t xml:space="preserve"> </w:t>
      </w:r>
      <w:proofErr w:type="spellStart"/>
      <w:r w:rsidR="00784CE9">
        <w:t>įmonių</w:t>
      </w:r>
      <w:proofErr w:type="spellEnd"/>
      <w:r w:rsidR="00784CE9">
        <w:t xml:space="preserve"> </w:t>
      </w:r>
      <w:proofErr w:type="spellStart"/>
      <w:r w:rsidR="00784CE9">
        <w:t>vertės</w:t>
      </w:r>
      <w:proofErr w:type="spellEnd"/>
      <w:r w:rsidR="00784CE9">
        <w:t xml:space="preserve"> </w:t>
      </w:r>
      <w:proofErr w:type="spellStart"/>
      <w:r w:rsidR="00784CE9">
        <w:t>buvo</w:t>
      </w:r>
      <w:proofErr w:type="spellEnd"/>
      <w:r w:rsidR="00784CE9">
        <w:t xml:space="preserve"> </w:t>
      </w:r>
      <w:proofErr w:type="spellStart"/>
      <w:r w:rsidR="00784CE9">
        <w:t>skaičiuojamos</w:t>
      </w:r>
      <w:proofErr w:type="spellEnd"/>
      <w:r w:rsidR="00784CE9">
        <w:t xml:space="preserve"> </w:t>
      </w:r>
      <w:proofErr w:type="spellStart"/>
      <w:r w:rsidR="00784CE9">
        <w:t>pagal</w:t>
      </w:r>
      <w:proofErr w:type="spellEnd"/>
      <w:r w:rsidR="00784CE9">
        <w:t xml:space="preserve"> </w:t>
      </w:r>
      <w:proofErr w:type="spellStart"/>
      <w:r w:rsidR="00784CE9">
        <w:t>biržoje</w:t>
      </w:r>
      <w:proofErr w:type="spellEnd"/>
      <w:r w:rsidR="00784CE9">
        <w:t xml:space="preserve"> </w:t>
      </w:r>
      <w:proofErr w:type="spellStart"/>
      <w:r w:rsidR="00784CE9">
        <w:t>buvusią</w:t>
      </w:r>
      <w:proofErr w:type="spellEnd"/>
      <w:r w:rsidR="00784CE9">
        <w:t xml:space="preserve"> </w:t>
      </w:r>
      <w:proofErr w:type="spellStart"/>
      <w:r w:rsidR="00784CE9">
        <w:t>kainą</w:t>
      </w:r>
      <w:proofErr w:type="spellEnd"/>
      <w:r w:rsidR="00484329">
        <w:t>.</w:t>
      </w:r>
    </w:p>
    <w:p w14:paraId="63005842" w14:textId="5042CF28" w:rsidR="00B42CEC" w:rsidRDefault="006D650E" w:rsidP="00847167">
      <w:proofErr w:type="spellStart"/>
      <w:r>
        <w:t>Tyrimo</w:t>
      </w:r>
      <w:proofErr w:type="spellEnd"/>
      <w:r>
        <w:t xml:space="preserve"> </w:t>
      </w:r>
      <w:proofErr w:type="spellStart"/>
      <w:r>
        <w:t>metu</w:t>
      </w:r>
      <w:proofErr w:type="spellEnd"/>
      <w:r>
        <w:t xml:space="preserve"> </w:t>
      </w:r>
      <w:proofErr w:type="spellStart"/>
      <w:r>
        <w:t>buvo</w:t>
      </w:r>
      <w:proofErr w:type="spellEnd"/>
      <w:r>
        <w:t xml:space="preserve"> </w:t>
      </w:r>
      <w:proofErr w:type="spellStart"/>
      <w:r>
        <w:t>vertinami</w:t>
      </w:r>
      <w:proofErr w:type="spellEnd"/>
      <w:r>
        <w:t xml:space="preserve"> tik </w:t>
      </w:r>
      <w:proofErr w:type="spellStart"/>
      <w:r>
        <w:t>viešai</w:t>
      </w:r>
      <w:proofErr w:type="spellEnd"/>
      <w:r>
        <w:t xml:space="preserve"> </w:t>
      </w:r>
      <w:proofErr w:type="spellStart"/>
      <w:r>
        <w:t>prieinami</w:t>
      </w:r>
      <w:proofErr w:type="spellEnd"/>
      <w:r>
        <w:t xml:space="preserve"> </w:t>
      </w:r>
      <w:proofErr w:type="spellStart"/>
      <w:r w:rsidR="001C64E8">
        <w:t>bendrovių</w:t>
      </w:r>
      <w:proofErr w:type="spellEnd"/>
      <w:r w:rsidR="001C64E8">
        <w:t xml:space="preserve">, </w:t>
      </w:r>
      <w:proofErr w:type="spellStart"/>
      <w:r w:rsidR="001C64E8">
        <w:t>kurios</w:t>
      </w:r>
      <w:proofErr w:type="spellEnd"/>
      <w:r w:rsidR="001C64E8">
        <w:t xml:space="preserve"> </w:t>
      </w:r>
      <w:proofErr w:type="spellStart"/>
      <w:r w:rsidR="001C64E8">
        <w:t>yra</w:t>
      </w:r>
      <w:proofErr w:type="spellEnd"/>
      <w:r w:rsidR="001C64E8">
        <w:t xml:space="preserve"> </w:t>
      </w:r>
      <w:proofErr w:type="spellStart"/>
      <w:r w:rsidR="001C64E8">
        <w:t>registruotos</w:t>
      </w:r>
      <w:proofErr w:type="spellEnd"/>
      <w:r w:rsidR="001C64E8">
        <w:t xml:space="preserve"> </w:t>
      </w:r>
      <w:proofErr w:type="spellStart"/>
      <w:r w:rsidR="001A20E2">
        <w:t>Baltijos</w:t>
      </w:r>
      <w:proofErr w:type="spellEnd"/>
      <w:r w:rsidR="001A20E2">
        <w:t xml:space="preserve"> </w:t>
      </w:r>
      <w:proofErr w:type="spellStart"/>
      <w:r w:rsidR="001A20E2">
        <w:t>šalyse</w:t>
      </w:r>
      <w:proofErr w:type="spellEnd"/>
      <w:r w:rsidR="0042757B">
        <w:t xml:space="preserve">, </w:t>
      </w:r>
      <w:proofErr w:type="spellStart"/>
      <w:r w:rsidR="0042757B">
        <w:t>duomenys</w:t>
      </w:r>
      <w:proofErr w:type="spellEnd"/>
      <w:r w:rsidR="008B6179">
        <w:t xml:space="preserve">, </w:t>
      </w:r>
      <w:proofErr w:type="spellStart"/>
      <w:r w:rsidR="00510DA8">
        <w:t>todėl</w:t>
      </w:r>
      <w:proofErr w:type="spellEnd"/>
      <w:r w:rsidR="00510DA8">
        <w:t xml:space="preserve"> į </w:t>
      </w:r>
      <w:proofErr w:type="spellStart"/>
      <w:r w:rsidR="00510DA8">
        <w:t>sąrašą</w:t>
      </w:r>
      <w:proofErr w:type="spellEnd"/>
      <w:r w:rsidR="00510DA8">
        <w:t xml:space="preserve"> </w:t>
      </w:r>
      <w:proofErr w:type="spellStart"/>
      <w:r w:rsidR="00510DA8">
        <w:t>nepateko</w:t>
      </w:r>
      <w:proofErr w:type="spellEnd"/>
      <w:r w:rsidR="00510DA8">
        <w:t xml:space="preserve"> kai </w:t>
      </w:r>
      <w:proofErr w:type="spellStart"/>
      <w:r w:rsidR="00510DA8">
        <w:t>kurie</w:t>
      </w:r>
      <w:proofErr w:type="spellEnd"/>
      <w:r w:rsidR="00510DA8">
        <w:t xml:space="preserve"> </w:t>
      </w:r>
      <w:proofErr w:type="spellStart"/>
      <w:r w:rsidR="00510DA8">
        <w:t>technologijų</w:t>
      </w:r>
      <w:proofErr w:type="spellEnd"/>
      <w:r w:rsidR="00510DA8">
        <w:t xml:space="preserve"> </w:t>
      </w:r>
      <w:proofErr w:type="spellStart"/>
      <w:r w:rsidR="00510DA8">
        <w:t>startuoliai</w:t>
      </w:r>
      <w:proofErr w:type="spellEnd"/>
      <w:r w:rsidR="00510DA8">
        <w:t xml:space="preserve"> </w:t>
      </w:r>
      <w:proofErr w:type="spellStart"/>
      <w:r w:rsidR="00510DA8">
        <w:t>ir</w:t>
      </w:r>
      <w:proofErr w:type="spellEnd"/>
      <w:r w:rsidR="00510DA8">
        <w:t xml:space="preserve"> </w:t>
      </w:r>
      <w:proofErr w:type="spellStart"/>
      <w:r w:rsidR="00510DA8">
        <w:t>vienaragiai</w:t>
      </w:r>
      <w:proofErr w:type="spellEnd"/>
      <w:r w:rsidR="00B537C0">
        <w:t xml:space="preserve">. </w:t>
      </w:r>
      <w:proofErr w:type="spellStart"/>
      <w:r w:rsidR="00B537C0">
        <w:t>Jei</w:t>
      </w:r>
      <w:proofErr w:type="spellEnd"/>
      <w:r w:rsidR="00B537C0">
        <w:t xml:space="preserve"> </w:t>
      </w:r>
      <w:proofErr w:type="spellStart"/>
      <w:r w:rsidR="00B537C0">
        <w:t>įmonė</w:t>
      </w:r>
      <w:proofErr w:type="spellEnd"/>
      <w:r w:rsidR="00B537C0">
        <w:t xml:space="preserve"> </w:t>
      </w:r>
      <w:proofErr w:type="spellStart"/>
      <w:r w:rsidR="00B537C0">
        <w:t>veiklą</w:t>
      </w:r>
      <w:proofErr w:type="spellEnd"/>
      <w:r w:rsidR="00B537C0">
        <w:t xml:space="preserve"> </w:t>
      </w:r>
      <w:proofErr w:type="spellStart"/>
      <w:r w:rsidR="00B537C0">
        <w:t>vykdo</w:t>
      </w:r>
      <w:proofErr w:type="spellEnd"/>
      <w:r w:rsidR="00B537C0">
        <w:t xml:space="preserve"> </w:t>
      </w:r>
      <w:proofErr w:type="spellStart"/>
      <w:r w:rsidR="00B537C0">
        <w:t>keliose</w:t>
      </w:r>
      <w:proofErr w:type="spellEnd"/>
      <w:r w:rsidR="00B537C0">
        <w:t xml:space="preserve"> </w:t>
      </w:r>
      <w:proofErr w:type="spellStart"/>
      <w:r w:rsidR="00B537C0">
        <w:t>Baltijos</w:t>
      </w:r>
      <w:proofErr w:type="spellEnd"/>
      <w:r w:rsidR="00B537C0">
        <w:t xml:space="preserve"> </w:t>
      </w:r>
      <w:proofErr w:type="spellStart"/>
      <w:r w:rsidR="00B537C0">
        <w:t>šalyse</w:t>
      </w:r>
      <w:proofErr w:type="spellEnd"/>
      <w:r w:rsidR="00B537C0">
        <w:t xml:space="preserve">, </w:t>
      </w:r>
      <w:proofErr w:type="spellStart"/>
      <w:r w:rsidR="00B537C0">
        <w:t>jų</w:t>
      </w:r>
      <w:proofErr w:type="spellEnd"/>
      <w:r w:rsidR="00B537C0">
        <w:t xml:space="preserve"> </w:t>
      </w:r>
      <w:proofErr w:type="spellStart"/>
      <w:r w:rsidR="002C43E9">
        <w:t>vertė</w:t>
      </w:r>
      <w:proofErr w:type="spellEnd"/>
      <w:r w:rsidR="002C43E9">
        <w:t xml:space="preserve"> </w:t>
      </w:r>
      <w:proofErr w:type="spellStart"/>
      <w:r w:rsidR="002C43E9">
        <w:t>buvo</w:t>
      </w:r>
      <w:proofErr w:type="spellEnd"/>
      <w:r w:rsidR="002C43E9">
        <w:t xml:space="preserve"> </w:t>
      </w:r>
      <w:proofErr w:type="spellStart"/>
      <w:r w:rsidR="002C43E9">
        <w:t>vertinama</w:t>
      </w:r>
      <w:proofErr w:type="spellEnd"/>
      <w:r w:rsidR="002C43E9">
        <w:t xml:space="preserve"> </w:t>
      </w:r>
      <w:proofErr w:type="spellStart"/>
      <w:r w:rsidR="002C43E9">
        <w:t>konsoliduotai</w:t>
      </w:r>
      <w:proofErr w:type="spellEnd"/>
      <w:r w:rsidR="002C43E9">
        <w:t>.</w:t>
      </w:r>
    </w:p>
    <w:p w14:paraId="0C5DA587" w14:textId="105F1473" w:rsidR="00A353C4" w:rsidRPr="00EB1573" w:rsidRDefault="00A353C4" w:rsidP="002D682C">
      <w:pPr>
        <w:rPr>
          <w:b/>
          <w:bCs/>
          <w:sz w:val="20"/>
          <w:szCs w:val="20"/>
        </w:rPr>
      </w:pPr>
      <w:r w:rsidRPr="00EB1573">
        <w:rPr>
          <w:b/>
          <w:bCs/>
          <w:sz w:val="20"/>
          <w:szCs w:val="20"/>
        </w:rPr>
        <w:t xml:space="preserve">30 </w:t>
      </w:r>
      <w:proofErr w:type="spellStart"/>
      <w:r w:rsidRPr="00EB1573">
        <w:rPr>
          <w:b/>
          <w:bCs/>
          <w:sz w:val="20"/>
          <w:szCs w:val="20"/>
        </w:rPr>
        <w:t>vertingiausių</w:t>
      </w:r>
      <w:proofErr w:type="spellEnd"/>
      <w:r w:rsidRPr="00EB1573">
        <w:rPr>
          <w:b/>
          <w:bCs/>
          <w:sz w:val="20"/>
          <w:szCs w:val="20"/>
        </w:rPr>
        <w:t xml:space="preserve"> </w:t>
      </w:r>
      <w:proofErr w:type="spellStart"/>
      <w:r w:rsidRPr="00EB1573">
        <w:rPr>
          <w:b/>
          <w:bCs/>
          <w:sz w:val="20"/>
          <w:szCs w:val="20"/>
        </w:rPr>
        <w:t>įmonių</w:t>
      </w:r>
      <w:proofErr w:type="spellEnd"/>
      <w:r w:rsidRPr="00EB1573">
        <w:rPr>
          <w:b/>
          <w:bCs/>
          <w:sz w:val="20"/>
          <w:szCs w:val="20"/>
        </w:rPr>
        <w:t xml:space="preserve"> </w:t>
      </w:r>
      <w:proofErr w:type="spellStart"/>
      <w:r w:rsidRPr="00EB1573">
        <w:rPr>
          <w:b/>
          <w:bCs/>
          <w:sz w:val="20"/>
          <w:szCs w:val="20"/>
        </w:rPr>
        <w:t>Baltijos</w:t>
      </w:r>
      <w:proofErr w:type="spellEnd"/>
      <w:r w:rsidRPr="00EB1573">
        <w:rPr>
          <w:b/>
          <w:bCs/>
          <w:sz w:val="20"/>
          <w:szCs w:val="20"/>
        </w:rPr>
        <w:t xml:space="preserve"> </w:t>
      </w:r>
      <w:proofErr w:type="spellStart"/>
      <w:r w:rsidRPr="00EB1573">
        <w:rPr>
          <w:b/>
          <w:bCs/>
          <w:sz w:val="20"/>
          <w:szCs w:val="20"/>
        </w:rPr>
        <w:t>šalyse</w:t>
      </w:r>
      <w:proofErr w:type="spellEnd"/>
      <w:r w:rsidRPr="00EB1573">
        <w:rPr>
          <w:b/>
          <w:bCs/>
          <w:sz w:val="20"/>
          <w:szCs w:val="20"/>
        </w:rPr>
        <w:t xml:space="preserve"> </w:t>
      </w:r>
      <w:r w:rsidR="008E3F6F" w:rsidRPr="00EB1573">
        <w:rPr>
          <w:b/>
          <w:bCs/>
          <w:sz w:val="20"/>
          <w:szCs w:val="20"/>
        </w:rPr>
        <w:t>(</w:t>
      </w:r>
      <w:proofErr w:type="spellStart"/>
      <w:r w:rsidR="008E3F6F" w:rsidRPr="00EB1573">
        <w:rPr>
          <w:b/>
          <w:bCs/>
          <w:sz w:val="20"/>
          <w:szCs w:val="20"/>
        </w:rPr>
        <w:t>vertė</w:t>
      </w:r>
      <w:proofErr w:type="spellEnd"/>
      <w:r w:rsidR="008E3F6F" w:rsidRPr="00EB1573">
        <w:rPr>
          <w:b/>
          <w:bCs/>
          <w:sz w:val="20"/>
          <w:szCs w:val="20"/>
        </w:rPr>
        <w:t xml:space="preserve"> Eur)</w:t>
      </w:r>
    </w:p>
    <w:p w14:paraId="63A9FA84" w14:textId="179B71C3" w:rsidR="002D682C" w:rsidRPr="00EB1573" w:rsidRDefault="002D682C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1.</w:t>
      </w:r>
      <w:r w:rsidR="00182CA1" w:rsidRPr="00EB1573">
        <w:rPr>
          <w:sz w:val="20"/>
          <w:szCs w:val="20"/>
        </w:rPr>
        <w:t xml:space="preserve">Vilniaus </w:t>
      </w:r>
      <w:proofErr w:type="spellStart"/>
      <w:r w:rsidR="00182CA1" w:rsidRPr="00EB1573">
        <w:rPr>
          <w:sz w:val="20"/>
          <w:szCs w:val="20"/>
        </w:rPr>
        <w:t>prekyba</w:t>
      </w:r>
      <w:proofErr w:type="spellEnd"/>
      <w:r w:rsidR="00182CA1" w:rsidRPr="00EB1573">
        <w:rPr>
          <w:sz w:val="20"/>
          <w:szCs w:val="20"/>
        </w:rPr>
        <w:t xml:space="preserve">, UAB </w:t>
      </w:r>
      <w:r w:rsidR="00182CA1" w:rsidRPr="00EB1573">
        <w:rPr>
          <w:sz w:val="20"/>
          <w:szCs w:val="20"/>
        </w:rPr>
        <w:tab/>
        <w:t>4,698</w:t>
      </w:r>
      <w:r w:rsidR="00875257" w:rsidRPr="00EB1573">
        <w:rPr>
          <w:sz w:val="20"/>
          <w:szCs w:val="20"/>
        </w:rPr>
        <w:t xml:space="preserve"> </w:t>
      </w:r>
      <w:proofErr w:type="spellStart"/>
      <w:r w:rsidR="00875257" w:rsidRPr="00EB1573">
        <w:rPr>
          <w:sz w:val="20"/>
          <w:szCs w:val="20"/>
        </w:rPr>
        <w:t>mlrd</w:t>
      </w:r>
      <w:proofErr w:type="spellEnd"/>
      <w:r w:rsidR="00875257" w:rsidRPr="00EB1573">
        <w:rPr>
          <w:sz w:val="20"/>
          <w:szCs w:val="20"/>
        </w:rPr>
        <w:t xml:space="preserve">. </w:t>
      </w:r>
    </w:p>
    <w:p w14:paraId="33195383" w14:textId="7DA5FD20" w:rsidR="00875257" w:rsidRPr="00EB1573" w:rsidRDefault="00875257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2.</w:t>
      </w:r>
      <w:r w:rsidR="003C6DC4" w:rsidRPr="00EB1573">
        <w:rPr>
          <w:sz w:val="20"/>
          <w:szCs w:val="20"/>
        </w:rPr>
        <w:t xml:space="preserve"> Thermo Fisher Scientific Baltic</w:t>
      </w:r>
      <w:r w:rsidR="005A3539" w:rsidRPr="00EB1573">
        <w:rPr>
          <w:sz w:val="20"/>
          <w:szCs w:val="20"/>
        </w:rPr>
        <w:t>s</w:t>
      </w:r>
      <w:r w:rsidR="003C6DC4" w:rsidRPr="00EB1573">
        <w:rPr>
          <w:sz w:val="20"/>
          <w:szCs w:val="20"/>
        </w:rPr>
        <w:t>, UAB</w:t>
      </w:r>
      <w:r w:rsidR="00222479" w:rsidRPr="00EB1573">
        <w:rPr>
          <w:sz w:val="20"/>
          <w:szCs w:val="20"/>
        </w:rPr>
        <w:t xml:space="preserve"> </w:t>
      </w:r>
      <w:r w:rsidR="00222479" w:rsidRPr="00EB1573">
        <w:rPr>
          <w:sz w:val="20"/>
          <w:szCs w:val="20"/>
        </w:rPr>
        <w:tab/>
      </w:r>
      <w:r w:rsidR="008E3F6F" w:rsidRPr="00EB1573">
        <w:rPr>
          <w:sz w:val="20"/>
          <w:szCs w:val="20"/>
        </w:rPr>
        <w:t xml:space="preserve">4,371 </w:t>
      </w:r>
      <w:proofErr w:type="spellStart"/>
      <w:r w:rsidR="008E3F6F" w:rsidRPr="00EB1573">
        <w:rPr>
          <w:sz w:val="20"/>
          <w:szCs w:val="20"/>
        </w:rPr>
        <w:t>mlrd</w:t>
      </w:r>
      <w:proofErr w:type="spellEnd"/>
      <w:r w:rsidR="008E3F6F" w:rsidRPr="00EB1573">
        <w:rPr>
          <w:sz w:val="20"/>
          <w:szCs w:val="20"/>
        </w:rPr>
        <w:t>.</w:t>
      </w:r>
    </w:p>
    <w:p w14:paraId="64DFDABE" w14:textId="7031F661" w:rsidR="008E3F6F" w:rsidRPr="00EB1573" w:rsidRDefault="008E3F6F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3.</w:t>
      </w:r>
      <w:r w:rsidR="005A3539" w:rsidRPr="00EB1573">
        <w:rPr>
          <w:sz w:val="20"/>
          <w:szCs w:val="20"/>
        </w:rPr>
        <w:t>Swedbank Group</w:t>
      </w:r>
      <w:r w:rsidR="005A3539" w:rsidRPr="00EB1573">
        <w:rPr>
          <w:sz w:val="20"/>
          <w:szCs w:val="20"/>
        </w:rPr>
        <w:tab/>
        <w:t xml:space="preserve">3,880 </w:t>
      </w:r>
      <w:proofErr w:type="spellStart"/>
      <w:r w:rsidR="005A3539" w:rsidRPr="00EB1573">
        <w:rPr>
          <w:sz w:val="20"/>
          <w:szCs w:val="20"/>
        </w:rPr>
        <w:t>mlrd</w:t>
      </w:r>
      <w:proofErr w:type="spellEnd"/>
      <w:r w:rsidR="005A3539" w:rsidRPr="00EB1573">
        <w:rPr>
          <w:sz w:val="20"/>
          <w:szCs w:val="20"/>
        </w:rPr>
        <w:t>.</w:t>
      </w:r>
    </w:p>
    <w:p w14:paraId="47C5ED23" w14:textId="6BC5AD42" w:rsidR="005A3539" w:rsidRPr="00EB1573" w:rsidRDefault="005A3539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4.</w:t>
      </w:r>
      <w:r w:rsidR="005704BD" w:rsidRPr="00EB1573">
        <w:rPr>
          <w:sz w:val="20"/>
          <w:szCs w:val="20"/>
        </w:rPr>
        <w:t>SEB Bank Group</w:t>
      </w:r>
      <w:r w:rsidR="005704BD" w:rsidRPr="00EB1573">
        <w:rPr>
          <w:sz w:val="20"/>
          <w:szCs w:val="20"/>
        </w:rPr>
        <w:tab/>
        <w:t xml:space="preserve">2,520 </w:t>
      </w:r>
      <w:proofErr w:type="spellStart"/>
      <w:r w:rsidR="005704BD" w:rsidRPr="00EB1573">
        <w:rPr>
          <w:sz w:val="20"/>
          <w:szCs w:val="20"/>
        </w:rPr>
        <w:t>mlrd</w:t>
      </w:r>
      <w:proofErr w:type="spellEnd"/>
      <w:r w:rsidR="005704BD" w:rsidRPr="00EB1573">
        <w:rPr>
          <w:sz w:val="20"/>
          <w:szCs w:val="20"/>
        </w:rPr>
        <w:t>.</w:t>
      </w:r>
    </w:p>
    <w:p w14:paraId="1994AAAD" w14:textId="0153B375" w:rsidR="005704BD" w:rsidRPr="00EB1573" w:rsidRDefault="00280276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 xml:space="preserve">5.Ignitis </w:t>
      </w:r>
      <w:proofErr w:type="spellStart"/>
      <w:r w:rsidRPr="00EB1573">
        <w:rPr>
          <w:sz w:val="20"/>
          <w:szCs w:val="20"/>
        </w:rPr>
        <w:t>Grupė</w:t>
      </w:r>
      <w:proofErr w:type="spellEnd"/>
      <w:r w:rsidRPr="00EB1573">
        <w:rPr>
          <w:sz w:val="20"/>
          <w:szCs w:val="20"/>
        </w:rPr>
        <w:t>, AB</w:t>
      </w:r>
      <w:r w:rsidRPr="00EB1573">
        <w:rPr>
          <w:sz w:val="20"/>
          <w:szCs w:val="20"/>
        </w:rPr>
        <w:tab/>
      </w:r>
      <w:r w:rsidR="00A55F54" w:rsidRPr="00EB1573">
        <w:rPr>
          <w:sz w:val="20"/>
          <w:szCs w:val="20"/>
        </w:rPr>
        <w:t xml:space="preserve">2,236 </w:t>
      </w:r>
      <w:proofErr w:type="spellStart"/>
      <w:r w:rsidR="00A55F54" w:rsidRPr="00EB1573">
        <w:rPr>
          <w:sz w:val="20"/>
          <w:szCs w:val="20"/>
        </w:rPr>
        <w:t>mlrd</w:t>
      </w:r>
      <w:proofErr w:type="spellEnd"/>
      <w:r w:rsidR="00A55F54" w:rsidRPr="00EB1573">
        <w:rPr>
          <w:sz w:val="20"/>
          <w:szCs w:val="20"/>
        </w:rPr>
        <w:t>.</w:t>
      </w:r>
    </w:p>
    <w:p w14:paraId="031835B9" w14:textId="3699B72A" w:rsidR="00A55F54" w:rsidRPr="00EB1573" w:rsidRDefault="00A55F54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6.</w:t>
      </w:r>
      <w:r w:rsidR="00DB2D3E" w:rsidRPr="00EB1573">
        <w:rPr>
          <w:sz w:val="20"/>
          <w:szCs w:val="20"/>
        </w:rPr>
        <w:t xml:space="preserve">Eesti </w:t>
      </w:r>
      <w:proofErr w:type="spellStart"/>
      <w:r w:rsidR="00DB2D3E" w:rsidRPr="00EB1573">
        <w:rPr>
          <w:sz w:val="20"/>
          <w:szCs w:val="20"/>
        </w:rPr>
        <w:t>Energia</w:t>
      </w:r>
      <w:proofErr w:type="spellEnd"/>
      <w:r w:rsidR="00DB2D3E" w:rsidRPr="00EB1573">
        <w:rPr>
          <w:sz w:val="20"/>
          <w:szCs w:val="20"/>
        </w:rPr>
        <w:t>, AS</w:t>
      </w:r>
      <w:r w:rsidR="00DB2D3E" w:rsidRPr="00EB1573">
        <w:rPr>
          <w:sz w:val="20"/>
          <w:szCs w:val="20"/>
        </w:rPr>
        <w:tab/>
        <w:t xml:space="preserve">2,092 </w:t>
      </w:r>
      <w:proofErr w:type="spellStart"/>
      <w:r w:rsidR="00DB2D3E" w:rsidRPr="00EB1573">
        <w:rPr>
          <w:sz w:val="20"/>
          <w:szCs w:val="20"/>
        </w:rPr>
        <w:t>mlrd</w:t>
      </w:r>
      <w:proofErr w:type="spellEnd"/>
      <w:r w:rsidR="00DB2D3E" w:rsidRPr="00EB1573">
        <w:rPr>
          <w:sz w:val="20"/>
          <w:szCs w:val="20"/>
        </w:rPr>
        <w:t>.</w:t>
      </w:r>
    </w:p>
    <w:p w14:paraId="421499A7" w14:textId="5C228969" w:rsidR="00DB2D3E" w:rsidRPr="00EB1573" w:rsidRDefault="00DB2D3E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7.</w:t>
      </w:r>
      <w:r w:rsidR="00A921EF" w:rsidRPr="00EB1573">
        <w:rPr>
          <w:sz w:val="20"/>
          <w:szCs w:val="20"/>
        </w:rPr>
        <w:t>Latvenergo, AS</w:t>
      </w:r>
      <w:r w:rsidR="00A921EF" w:rsidRPr="00EB1573">
        <w:rPr>
          <w:sz w:val="20"/>
          <w:szCs w:val="20"/>
        </w:rPr>
        <w:tab/>
      </w:r>
      <w:r w:rsidR="002F17D1">
        <w:rPr>
          <w:sz w:val="20"/>
          <w:szCs w:val="20"/>
        </w:rPr>
        <w:tab/>
      </w:r>
      <w:r w:rsidR="0016715F" w:rsidRPr="00EB1573">
        <w:rPr>
          <w:sz w:val="20"/>
          <w:szCs w:val="20"/>
        </w:rPr>
        <w:t xml:space="preserve">2,062 </w:t>
      </w:r>
      <w:proofErr w:type="spellStart"/>
      <w:r w:rsidR="0016715F" w:rsidRPr="00EB1573">
        <w:rPr>
          <w:sz w:val="20"/>
          <w:szCs w:val="20"/>
        </w:rPr>
        <w:t>mlrd</w:t>
      </w:r>
      <w:proofErr w:type="spellEnd"/>
      <w:r w:rsidR="0016715F" w:rsidRPr="00EB1573">
        <w:rPr>
          <w:sz w:val="20"/>
          <w:szCs w:val="20"/>
        </w:rPr>
        <w:t>.</w:t>
      </w:r>
    </w:p>
    <w:p w14:paraId="1B9EFDE9" w14:textId="3B93D15F" w:rsidR="0016715F" w:rsidRPr="00EB1573" w:rsidRDefault="0016715F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8.</w:t>
      </w:r>
      <w:r w:rsidR="004A3F18" w:rsidRPr="00EB1573">
        <w:rPr>
          <w:sz w:val="20"/>
          <w:szCs w:val="20"/>
        </w:rPr>
        <w:t>Telia Group</w:t>
      </w:r>
      <w:r w:rsidR="004A3F18" w:rsidRPr="00EB1573">
        <w:rPr>
          <w:sz w:val="20"/>
          <w:szCs w:val="20"/>
        </w:rPr>
        <w:tab/>
      </w:r>
      <w:r w:rsidR="004A3F18" w:rsidRPr="00EB1573">
        <w:rPr>
          <w:sz w:val="20"/>
          <w:szCs w:val="20"/>
        </w:rPr>
        <w:tab/>
      </w:r>
      <w:r w:rsidR="00A918EE" w:rsidRPr="00EB1573">
        <w:rPr>
          <w:sz w:val="20"/>
          <w:szCs w:val="20"/>
        </w:rPr>
        <w:t xml:space="preserve">1,981 </w:t>
      </w:r>
      <w:proofErr w:type="spellStart"/>
      <w:r w:rsidR="00A918EE" w:rsidRPr="00EB1573">
        <w:rPr>
          <w:sz w:val="20"/>
          <w:szCs w:val="20"/>
        </w:rPr>
        <w:t>mlrd</w:t>
      </w:r>
      <w:proofErr w:type="spellEnd"/>
      <w:r w:rsidR="00A918EE" w:rsidRPr="00EB1573">
        <w:rPr>
          <w:sz w:val="20"/>
          <w:szCs w:val="20"/>
        </w:rPr>
        <w:t>.</w:t>
      </w:r>
    </w:p>
    <w:p w14:paraId="30D3F710" w14:textId="5419A7E8" w:rsidR="00A918EE" w:rsidRPr="00EB1573" w:rsidRDefault="00A918EE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9.</w:t>
      </w:r>
      <w:r w:rsidR="00C24FB6" w:rsidRPr="00EB1573">
        <w:rPr>
          <w:sz w:val="20"/>
          <w:szCs w:val="20"/>
        </w:rPr>
        <w:t>Luminor Bank, AS</w:t>
      </w:r>
      <w:r w:rsidR="00C24FB6" w:rsidRPr="00EB1573">
        <w:rPr>
          <w:sz w:val="20"/>
          <w:szCs w:val="20"/>
        </w:rPr>
        <w:tab/>
      </w:r>
      <w:r w:rsidR="00E84085" w:rsidRPr="00EB1573">
        <w:rPr>
          <w:sz w:val="20"/>
          <w:szCs w:val="20"/>
        </w:rPr>
        <w:t xml:space="preserve">1,707 </w:t>
      </w:r>
      <w:proofErr w:type="spellStart"/>
      <w:r w:rsidR="00E84085" w:rsidRPr="00EB1573">
        <w:rPr>
          <w:sz w:val="20"/>
          <w:szCs w:val="20"/>
        </w:rPr>
        <w:t>mlrd</w:t>
      </w:r>
      <w:proofErr w:type="spellEnd"/>
      <w:r w:rsidR="00E84085" w:rsidRPr="00EB1573">
        <w:rPr>
          <w:sz w:val="20"/>
          <w:szCs w:val="20"/>
        </w:rPr>
        <w:t>.</w:t>
      </w:r>
    </w:p>
    <w:p w14:paraId="774B581A" w14:textId="2CEAA87B" w:rsidR="00E84085" w:rsidRPr="00EB1573" w:rsidRDefault="00E84085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10.</w:t>
      </w:r>
      <w:r w:rsidR="00281A39" w:rsidRPr="00EB1573">
        <w:rPr>
          <w:sz w:val="20"/>
          <w:szCs w:val="20"/>
        </w:rPr>
        <w:t xml:space="preserve">ME </w:t>
      </w:r>
      <w:proofErr w:type="spellStart"/>
      <w:r w:rsidR="00281A39" w:rsidRPr="00EB1573">
        <w:rPr>
          <w:sz w:val="20"/>
          <w:szCs w:val="20"/>
        </w:rPr>
        <w:t>Investicija</w:t>
      </w:r>
      <w:proofErr w:type="spellEnd"/>
      <w:r w:rsidR="00281A39" w:rsidRPr="00EB1573">
        <w:rPr>
          <w:sz w:val="20"/>
          <w:szCs w:val="20"/>
        </w:rPr>
        <w:t>, UAB</w:t>
      </w:r>
      <w:r w:rsidR="00281A39" w:rsidRPr="00EB1573">
        <w:rPr>
          <w:sz w:val="20"/>
          <w:szCs w:val="20"/>
        </w:rPr>
        <w:tab/>
      </w:r>
      <w:r w:rsidR="001B04C1" w:rsidRPr="00EB1573">
        <w:rPr>
          <w:sz w:val="20"/>
          <w:szCs w:val="20"/>
        </w:rPr>
        <w:t xml:space="preserve">1,704 </w:t>
      </w:r>
      <w:proofErr w:type="spellStart"/>
      <w:r w:rsidR="001B04C1" w:rsidRPr="00EB1573">
        <w:rPr>
          <w:sz w:val="20"/>
          <w:szCs w:val="20"/>
        </w:rPr>
        <w:t>mlrd</w:t>
      </w:r>
      <w:proofErr w:type="spellEnd"/>
      <w:r w:rsidR="001B04C1" w:rsidRPr="00EB1573">
        <w:rPr>
          <w:sz w:val="20"/>
          <w:szCs w:val="20"/>
        </w:rPr>
        <w:t>.</w:t>
      </w:r>
    </w:p>
    <w:p w14:paraId="414E48CE" w14:textId="0D171B25" w:rsidR="001B04C1" w:rsidRPr="00EB1573" w:rsidRDefault="001B04C1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11</w:t>
      </w:r>
      <w:r w:rsidR="007A4CC2" w:rsidRPr="00EB1573">
        <w:rPr>
          <w:sz w:val="20"/>
          <w:szCs w:val="20"/>
        </w:rPr>
        <w:t>.</w:t>
      </w:r>
      <w:r w:rsidR="004D22D2" w:rsidRPr="00EB1573">
        <w:rPr>
          <w:sz w:val="20"/>
          <w:szCs w:val="20"/>
        </w:rPr>
        <w:t xml:space="preserve"> </w:t>
      </w:r>
      <w:proofErr w:type="spellStart"/>
      <w:r w:rsidR="004D22D2" w:rsidRPr="00EB1573">
        <w:rPr>
          <w:sz w:val="20"/>
          <w:szCs w:val="20"/>
        </w:rPr>
        <w:t>Latvijas</w:t>
      </w:r>
      <w:proofErr w:type="spellEnd"/>
      <w:r w:rsidR="004D22D2" w:rsidRPr="00EB1573">
        <w:rPr>
          <w:sz w:val="20"/>
          <w:szCs w:val="20"/>
        </w:rPr>
        <w:t xml:space="preserve"> </w:t>
      </w:r>
      <w:proofErr w:type="spellStart"/>
      <w:r w:rsidR="004D22D2" w:rsidRPr="00EB1573">
        <w:rPr>
          <w:sz w:val="20"/>
          <w:szCs w:val="20"/>
        </w:rPr>
        <w:t>Valsts</w:t>
      </w:r>
      <w:proofErr w:type="spellEnd"/>
      <w:r w:rsidR="004D22D2" w:rsidRPr="00EB1573">
        <w:rPr>
          <w:sz w:val="20"/>
          <w:szCs w:val="20"/>
        </w:rPr>
        <w:t xml:space="preserve"> </w:t>
      </w:r>
      <w:proofErr w:type="spellStart"/>
      <w:r w:rsidR="004D22D2" w:rsidRPr="00EB1573">
        <w:rPr>
          <w:sz w:val="20"/>
          <w:szCs w:val="20"/>
        </w:rPr>
        <w:t>Meži</w:t>
      </w:r>
      <w:proofErr w:type="spellEnd"/>
      <w:r w:rsidR="004D22D2" w:rsidRPr="00EB1573">
        <w:rPr>
          <w:sz w:val="20"/>
          <w:szCs w:val="20"/>
        </w:rPr>
        <w:t>, AS</w:t>
      </w:r>
      <w:r w:rsidR="004D22D2" w:rsidRPr="00EB1573">
        <w:rPr>
          <w:sz w:val="20"/>
          <w:szCs w:val="20"/>
        </w:rPr>
        <w:tab/>
      </w:r>
      <w:r w:rsidR="009130F6" w:rsidRPr="00EB1573">
        <w:rPr>
          <w:sz w:val="20"/>
          <w:szCs w:val="20"/>
        </w:rPr>
        <w:t xml:space="preserve">1,460 </w:t>
      </w:r>
      <w:proofErr w:type="spellStart"/>
      <w:r w:rsidR="009130F6" w:rsidRPr="00EB1573">
        <w:rPr>
          <w:sz w:val="20"/>
          <w:szCs w:val="20"/>
        </w:rPr>
        <w:t>mlrd</w:t>
      </w:r>
      <w:proofErr w:type="spellEnd"/>
      <w:r w:rsidR="009130F6" w:rsidRPr="00EB1573">
        <w:rPr>
          <w:sz w:val="20"/>
          <w:szCs w:val="20"/>
        </w:rPr>
        <w:t>.</w:t>
      </w:r>
    </w:p>
    <w:p w14:paraId="4A790B5F" w14:textId="2F6D9C87" w:rsidR="009130F6" w:rsidRPr="00EB1573" w:rsidRDefault="00F77B44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12.</w:t>
      </w:r>
      <w:r w:rsidR="000610FD" w:rsidRPr="00EB1573">
        <w:rPr>
          <w:sz w:val="20"/>
          <w:szCs w:val="20"/>
        </w:rPr>
        <w:t xml:space="preserve">Lietuvos </w:t>
      </w:r>
      <w:proofErr w:type="spellStart"/>
      <w:r w:rsidR="000610FD" w:rsidRPr="00EB1573">
        <w:rPr>
          <w:sz w:val="20"/>
          <w:szCs w:val="20"/>
        </w:rPr>
        <w:t>geležinkeliai</w:t>
      </w:r>
      <w:proofErr w:type="spellEnd"/>
      <w:r w:rsidR="000610FD" w:rsidRPr="00EB1573">
        <w:rPr>
          <w:sz w:val="20"/>
          <w:szCs w:val="20"/>
        </w:rPr>
        <w:t>, AB</w:t>
      </w:r>
      <w:r w:rsidR="000610FD" w:rsidRPr="00EB1573">
        <w:rPr>
          <w:sz w:val="20"/>
          <w:szCs w:val="20"/>
        </w:rPr>
        <w:tab/>
      </w:r>
      <w:r w:rsidR="007343F4" w:rsidRPr="00EB1573">
        <w:rPr>
          <w:sz w:val="20"/>
          <w:szCs w:val="20"/>
        </w:rPr>
        <w:t xml:space="preserve">1,438 </w:t>
      </w:r>
      <w:proofErr w:type="spellStart"/>
      <w:r w:rsidR="007343F4" w:rsidRPr="00EB1573">
        <w:rPr>
          <w:sz w:val="20"/>
          <w:szCs w:val="20"/>
        </w:rPr>
        <w:t>mlrd</w:t>
      </w:r>
      <w:proofErr w:type="spellEnd"/>
      <w:r w:rsidR="007343F4" w:rsidRPr="00EB1573">
        <w:rPr>
          <w:sz w:val="20"/>
          <w:szCs w:val="20"/>
        </w:rPr>
        <w:t>.</w:t>
      </w:r>
    </w:p>
    <w:p w14:paraId="1B1AC694" w14:textId="01D695DA" w:rsidR="007343F4" w:rsidRPr="00EB1573" w:rsidRDefault="007343F4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13.</w:t>
      </w:r>
      <w:r w:rsidR="00CA7E17" w:rsidRPr="00EB1573">
        <w:rPr>
          <w:sz w:val="20"/>
          <w:szCs w:val="20"/>
        </w:rPr>
        <w:t xml:space="preserve"> </w:t>
      </w:r>
      <w:proofErr w:type="spellStart"/>
      <w:r w:rsidR="00CA7E17" w:rsidRPr="00EB1573">
        <w:rPr>
          <w:sz w:val="20"/>
          <w:szCs w:val="20"/>
        </w:rPr>
        <w:t>Graanul</w:t>
      </w:r>
      <w:proofErr w:type="spellEnd"/>
      <w:r w:rsidR="00CA7E17" w:rsidRPr="00EB1573">
        <w:rPr>
          <w:sz w:val="20"/>
          <w:szCs w:val="20"/>
        </w:rPr>
        <w:t xml:space="preserve"> Invest, AS</w:t>
      </w:r>
      <w:r w:rsidR="00CA7E17" w:rsidRPr="00EB1573">
        <w:rPr>
          <w:sz w:val="20"/>
          <w:szCs w:val="20"/>
        </w:rPr>
        <w:tab/>
      </w:r>
      <w:r w:rsidR="005405AD" w:rsidRPr="00EB1573">
        <w:rPr>
          <w:sz w:val="20"/>
          <w:szCs w:val="20"/>
        </w:rPr>
        <w:t xml:space="preserve">1,293 </w:t>
      </w:r>
      <w:proofErr w:type="spellStart"/>
      <w:r w:rsidR="005405AD" w:rsidRPr="00EB1573">
        <w:rPr>
          <w:sz w:val="20"/>
          <w:szCs w:val="20"/>
        </w:rPr>
        <w:t>mlrd</w:t>
      </w:r>
      <w:proofErr w:type="spellEnd"/>
      <w:r w:rsidR="005405AD" w:rsidRPr="00EB1573">
        <w:rPr>
          <w:sz w:val="20"/>
          <w:szCs w:val="20"/>
        </w:rPr>
        <w:t>.</w:t>
      </w:r>
    </w:p>
    <w:p w14:paraId="203F8C7C" w14:textId="4BE61411" w:rsidR="005405AD" w:rsidRPr="00EB1573" w:rsidRDefault="005405AD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lastRenderedPageBreak/>
        <w:t>14.</w:t>
      </w:r>
      <w:r w:rsidR="006E21F5" w:rsidRPr="00EB1573">
        <w:rPr>
          <w:sz w:val="20"/>
          <w:szCs w:val="20"/>
        </w:rPr>
        <w:t xml:space="preserve"> </w:t>
      </w:r>
      <w:proofErr w:type="spellStart"/>
      <w:r w:rsidR="006E21F5" w:rsidRPr="00EB1573">
        <w:rPr>
          <w:sz w:val="20"/>
          <w:szCs w:val="20"/>
        </w:rPr>
        <w:t>Mikrotikls</w:t>
      </w:r>
      <w:proofErr w:type="spellEnd"/>
      <w:r w:rsidR="006E21F5" w:rsidRPr="00EB1573">
        <w:rPr>
          <w:sz w:val="20"/>
          <w:szCs w:val="20"/>
        </w:rPr>
        <w:t>, SIA</w:t>
      </w:r>
      <w:r w:rsidR="006E21F5" w:rsidRPr="00EB1573">
        <w:rPr>
          <w:sz w:val="20"/>
          <w:szCs w:val="20"/>
        </w:rPr>
        <w:tab/>
        <w:t xml:space="preserve">1,241 </w:t>
      </w:r>
      <w:proofErr w:type="spellStart"/>
      <w:r w:rsidR="006E21F5" w:rsidRPr="00EB1573">
        <w:rPr>
          <w:sz w:val="20"/>
          <w:szCs w:val="20"/>
        </w:rPr>
        <w:t>mlrd</w:t>
      </w:r>
      <w:proofErr w:type="spellEnd"/>
      <w:r w:rsidR="006E21F5" w:rsidRPr="00EB1573">
        <w:rPr>
          <w:sz w:val="20"/>
          <w:szCs w:val="20"/>
        </w:rPr>
        <w:t>.</w:t>
      </w:r>
    </w:p>
    <w:p w14:paraId="549CA512" w14:textId="6E9C3EEF" w:rsidR="006E21F5" w:rsidRPr="00EB1573" w:rsidRDefault="006E21F5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15.</w:t>
      </w:r>
      <w:r w:rsidR="008975CE" w:rsidRPr="00EB1573">
        <w:rPr>
          <w:sz w:val="20"/>
          <w:szCs w:val="20"/>
        </w:rPr>
        <w:t xml:space="preserve">Tallink </w:t>
      </w:r>
      <w:proofErr w:type="spellStart"/>
      <w:r w:rsidR="008975CE" w:rsidRPr="00EB1573">
        <w:rPr>
          <w:sz w:val="20"/>
          <w:szCs w:val="20"/>
        </w:rPr>
        <w:t>Grupp</w:t>
      </w:r>
      <w:proofErr w:type="spellEnd"/>
      <w:r w:rsidR="008975CE" w:rsidRPr="00EB1573">
        <w:rPr>
          <w:sz w:val="20"/>
          <w:szCs w:val="20"/>
        </w:rPr>
        <w:t>, AS</w:t>
      </w:r>
      <w:r w:rsidR="008975CE" w:rsidRPr="00EB1573">
        <w:rPr>
          <w:sz w:val="20"/>
          <w:szCs w:val="20"/>
        </w:rPr>
        <w:tab/>
      </w:r>
      <w:r w:rsidR="00ED40CA" w:rsidRPr="00EB1573">
        <w:rPr>
          <w:sz w:val="20"/>
          <w:szCs w:val="20"/>
        </w:rPr>
        <w:t xml:space="preserve">1,2 </w:t>
      </w:r>
      <w:proofErr w:type="spellStart"/>
      <w:r w:rsidR="00ED40CA" w:rsidRPr="00EB1573">
        <w:rPr>
          <w:sz w:val="20"/>
          <w:szCs w:val="20"/>
        </w:rPr>
        <w:t>mlrd</w:t>
      </w:r>
      <w:proofErr w:type="spellEnd"/>
      <w:r w:rsidR="00ED40CA" w:rsidRPr="00EB1573">
        <w:rPr>
          <w:sz w:val="20"/>
          <w:szCs w:val="20"/>
        </w:rPr>
        <w:t>.</w:t>
      </w:r>
    </w:p>
    <w:p w14:paraId="5551567F" w14:textId="1E595B32" w:rsidR="00ED40CA" w:rsidRPr="00EB1573" w:rsidRDefault="00FD588D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16.</w:t>
      </w:r>
      <w:r w:rsidR="00583D85" w:rsidRPr="00EB1573">
        <w:rPr>
          <w:sz w:val="20"/>
          <w:szCs w:val="20"/>
        </w:rPr>
        <w:t xml:space="preserve">Achemos </w:t>
      </w:r>
      <w:proofErr w:type="spellStart"/>
      <w:r w:rsidR="00583D85" w:rsidRPr="00EB1573">
        <w:rPr>
          <w:sz w:val="20"/>
          <w:szCs w:val="20"/>
        </w:rPr>
        <w:t>Grupė</w:t>
      </w:r>
      <w:proofErr w:type="spellEnd"/>
      <w:r w:rsidR="00583D85" w:rsidRPr="00EB1573">
        <w:rPr>
          <w:sz w:val="20"/>
          <w:szCs w:val="20"/>
        </w:rPr>
        <w:t>, UAB</w:t>
      </w:r>
      <w:r w:rsidR="00583D85" w:rsidRPr="00EB1573">
        <w:rPr>
          <w:sz w:val="20"/>
          <w:szCs w:val="20"/>
        </w:rPr>
        <w:tab/>
      </w:r>
      <w:r w:rsidR="00481AC6" w:rsidRPr="00EB1573">
        <w:rPr>
          <w:sz w:val="20"/>
          <w:szCs w:val="20"/>
        </w:rPr>
        <w:t xml:space="preserve">980 </w:t>
      </w:r>
      <w:proofErr w:type="spellStart"/>
      <w:r w:rsidR="00481AC6" w:rsidRPr="00EB1573">
        <w:rPr>
          <w:sz w:val="20"/>
          <w:szCs w:val="20"/>
        </w:rPr>
        <w:t>mln</w:t>
      </w:r>
      <w:proofErr w:type="spellEnd"/>
      <w:r w:rsidR="00481AC6" w:rsidRPr="00EB1573">
        <w:rPr>
          <w:sz w:val="20"/>
          <w:szCs w:val="20"/>
        </w:rPr>
        <w:t>.</w:t>
      </w:r>
    </w:p>
    <w:p w14:paraId="650C44C2" w14:textId="47FC63F1" w:rsidR="00481AC6" w:rsidRPr="00EB1573" w:rsidRDefault="00481AC6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17.</w:t>
      </w:r>
      <w:r w:rsidR="00332241" w:rsidRPr="00EB1573">
        <w:rPr>
          <w:sz w:val="20"/>
          <w:szCs w:val="20"/>
        </w:rPr>
        <w:t>Tele2 Group</w:t>
      </w:r>
      <w:r w:rsidR="00332241" w:rsidRPr="00EB1573">
        <w:rPr>
          <w:sz w:val="20"/>
          <w:szCs w:val="20"/>
        </w:rPr>
        <w:tab/>
      </w:r>
      <w:r w:rsidR="00332241" w:rsidRPr="00EB1573">
        <w:rPr>
          <w:sz w:val="20"/>
          <w:szCs w:val="20"/>
        </w:rPr>
        <w:tab/>
        <w:t xml:space="preserve">953 </w:t>
      </w:r>
      <w:proofErr w:type="spellStart"/>
      <w:r w:rsidR="00332241" w:rsidRPr="00EB1573">
        <w:rPr>
          <w:sz w:val="20"/>
          <w:szCs w:val="20"/>
        </w:rPr>
        <w:t>mln</w:t>
      </w:r>
      <w:proofErr w:type="spellEnd"/>
      <w:r w:rsidR="00332241" w:rsidRPr="00EB1573">
        <w:rPr>
          <w:sz w:val="20"/>
          <w:szCs w:val="20"/>
        </w:rPr>
        <w:t>.</w:t>
      </w:r>
    </w:p>
    <w:p w14:paraId="43E1CFA2" w14:textId="77777777" w:rsidR="00CE034F" w:rsidRPr="00EB1573" w:rsidRDefault="009F042C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18.</w:t>
      </w:r>
      <w:r w:rsidR="00F011B0" w:rsidRPr="00EB1573">
        <w:rPr>
          <w:sz w:val="20"/>
          <w:szCs w:val="20"/>
        </w:rPr>
        <w:t xml:space="preserve"> </w:t>
      </w:r>
      <w:proofErr w:type="spellStart"/>
      <w:r w:rsidR="00F011B0" w:rsidRPr="00EB1573">
        <w:rPr>
          <w:sz w:val="20"/>
          <w:szCs w:val="20"/>
        </w:rPr>
        <w:t>Riigi</w:t>
      </w:r>
      <w:proofErr w:type="spellEnd"/>
      <w:r w:rsidR="00F011B0" w:rsidRPr="00EB1573">
        <w:rPr>
          <w:sz w:val="20"/>
          <w:szCs w:val="20"/>
        </w:rPr>
        <w:t xml:space="preserve"> </w:t>
      </w:r>
      <w:proofErr w:type="spellStart"/>
      <w:r w:rsidR="00F011B0" w:rsidRPr="00EB1573">
        <w:rPr>
          <w:sz w:val="20"/>
          <w:szCs w:val="20"/>
        </w:rPr>
        <w:t>Kinnisvara</w:t>
      </w:r>
      <w:proofErr w:type="spellEnd"/>
      <w:r w:rsidR="00F011B0" w:rsidRPr="00EB1573">
        <w:rPr>
          <w:sz w:val="20"/>
          <w:szCs w:val="20"/>
        </w:rPr>
        <w:t xml:space="preserve">, AS </w:t>
      </w:r>
      <w:r w:rsidR="00F011B0" w:rsidRPr="00EB1573">
        <w:rPr>
          <w:sz w:val="20"/>
          <w:szCs w:val="20"/>
        </w:rPr>
        <w:tab/>
      </w:r>
      <w:r w:rsidR="00CE034F" w:rsidRPr="00EB1573">
        <w:rPr>
          <w:sz w:val="20"/>
          <w:szCs w:val="20"/>
        </w:rPr>
        <w:t xml:space="preserve">922 </w:t>
      </w:r>
      <w:proofErr w:type="spellStart"/>
      <w:r w:rsidR="00CE034F" w:rsidRPr="00EB1573">
        <w:rPr>
          <w:sz w:val="20"/>
          <w:szCs w:val="20"/>
        </w:rPr>
        <w:t>mln</w:t>
      </w:r>
      <w:proofErr w:type="spellEnd"/>
      <w:r w:rsidR="00CE034F" w:rsidRPr="00EB1573">
        <w:rPr>
          <w:sz w:val="20"/>
          <w:szCs w:val="20"/>
        </w:rPr>
        <w:t>.</w:t>
      </w:r>
    </w:p>
    <w:p w14:paraId="6080EA92" w14:textId="77777777" w:rsidR="00F81E0C" w:rsidRPr="00EB1573" w:rsidRDefault="00CE034F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19.</w:t>
      </w:r>
      <w:r w:rsidR="00EF1796" w:rsidRPr="00EB1573">
        <w:rPr>
          <w:sz w:val="20"/>
          <w:szCs w:val="20"/>
        </w:rPr>
        <w:t>Epso-G, UAB</w:t>
      </w:r>
      <w:r w:rsidR="00EF1796" w:rsidRPr="00EB1573">
        <w:rPr>
          <w:sz w:val="20"/>
          <w:szCs w:val="20"/>
        </w:rPr>
        <w:tab/>
      </w:r>
      <w:r w:rsidR="00EF1796" w:rsidRPr="00EB1573">
        <w:rPr>
          <w:sz w:val="20"/>
          <w:szCs w:val="20"/>
        </w:rPr>
        <w:tab/>
      </w:r>
      <w:r w:rsidR="00F81E0C" w:rsidRPr="00EB1573">
        <w:rPr>
          <w:sz w:val="20"/>
          <w:szCs w:val="20"/>
        </w:rPr>
        <w:t xml:space="preserve">828 </w:t>
      </w:r>
      <w:proofErr w:type="spellStart"/>
      <w:r w:rsidR="00F81E0C" w:rsidRPr="00EB1573">
        <w:rPr>
          <w:sz w:val="20"/>
          <w:szCs w:val="20"/>
        </w:rPr>
        <w:t>mln</w:t>
      </w:r>
      <w:proofErr w:type="spellEnd"/>
      <w:r w:rsidR="00F81E0C" w:rsidRPr="00EB1573">
        <w:rPr>
          <w:sz w:val="20"/>
          <w:szCs w:val="20"/>
        </w:rPr>
        <w:t>.</w:t>
      </w:r>
    </w:p>
    <w:p w14:paraId="2F94A6DB" w14:textId="77777777" w:rsidR="00BE4DF0" w:rsidRPr="00EB1573" w:rsidRDefault="00F81E0C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20.</w:t>
      </w:r>
      <w:r w:rsidR="00BE4DF0" w:rsidRPr="00EB1573">
        <w:rPr>
          <w:sz w:val="20"/>
          <w:szCs w:val="20"/>
        </w:rPr>
        <w:t>Rimi Group</w:t>
      </w:r>
      <w:r w:rsidR="00BE4DF0" w:rsidRPr="00EB1573">
        <w:rPr>
          <w:sz w:val="20"/>
          <w:szCs w:val="20"/>
        </w:rPr>
        <w:tab/>
      </w:r>
      <w:r w:rsidR="00BE4DF0" w:rsidRPr="00EB1573">
        <w:rPr>
          <w:sz w:val="20"/>
          <w:szCs w:val="20"/>
        </w:rPr>
        <w:tab/>
        <w:t xml:space="preserve">791 </w:t>
      </w:r>
      <w:proofErr w:type="spellStart"/>
      <w:r w:rsidR="00BE4DF0" w:rsidRPr="00EB1573">
        <w:rPr>
          <w:sz w:val="20"/>
          <w:szCs w:val="20"/>
        </w:rPr>
        <w:t>mln</w:t>
      </w:r>
      <w:proofErr w:type="spellEnd"/>
      <w:r w:rsidR="00BE4DF0" w:rsidRPr="00EB1573">
        <w:rPr>
          <w:sz w:val="20"/>
          <w:szCs w:val="20"/>
        </w:rPr>
        <w:t>.</w:t>
      </w:r>
    </w:p>
    <w:p w14:paraId="5D708605" w14:textId="77777777" w:rsidR="00C60234" w:rsidRPr="00EB1573" w:rsidRDefault="00BE4DF0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21.</w:t>
      </w:r>
      <w:r w:rsidR="00DA6959" w:rsidRPr="00EB1573">
        <w:rPr>
          <w:sz w:val="20"/>
          <w:szCs w:val="20"/>
        </w:rPr>
        <w:t xml:space="preserve">Bitė </w:t>
      </w:r>
      <w:proofErr w:type="spellStart"/>
      <w:r w:rsidR="00DA6959" w:rsidRPr="00EB1573">
        <w:rPr>
          <w:sz w:val="20"/>
          <w:szCs w:val="20"/>
        </w:rPr>
        <w:t>Lietuva</w:t>
      </w:r>
      <w:proofErr w:type="spellEnd"/>
      <w:r w:rsidR="00DA6959" w:rsidRPr="00EB1573">
        <w:rPr>
          <w:sz w:val="20"/>
          <w:szCs w:val="20"/>
        </w:rPr>
        <w:t>, UAB</w:t>
      </w:r>
      <w:r w:rsidR="00DA6959" w:rsidRPr="00EB1573">
        <w:rPr>
          <w:sz w:val="20"/>
          <w:szCs w:val="20"/>
        </w:rPr>
        <w:tab/>
      </w:r>
      <w:r w:rsidR="00C60234" w:rsidRPr="00EB1573">
        <w:rPr>
          <w:sz w:val="20"/>
          <w:szCs w:val="20"/>
        </w:rPr>
        <w:t xml:space="preserve">759 </w:t>
      </w:r>
      <w:proofErr w:type="spellStart"/>
      <w:r w:rsidR="00C60234" w:rsidRPr="00EB1573">
        <w:rPr>
          <w:sz w:val="20"/>
          <w:szCs w:val="20"/>
        </w:rPr>
        <w:t>mln</w:t>
      </w:r>
      <w:proofErr w:type="spellEnd"/>
      <w:r w:rsidR="00C60234" w:rsidRPr="00EB1573">
        <w:rPr>
          <w:sz w:val="20"/>
          <w:szCs w:val="20"/>
        </w:rPr>
        <w:t>.</w:t>
      </w:r>
    </w:p>
    <w:p w14:paraId="445038FE" w14:textId="77777777" w:rsidR="004E2173" w:rsidRPr="00EB1573" w:rsidRDefault="00C60234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22.</w:t>
      </w:r>
      <w:r w:rsidR="00920043" w:rsidRPr="00EB1573">
        <w:rPr>
          <w:sz w:val="20"/>
          <w:szCs w:val="20"/>
        </w:rPr>
        <w:t xml:space="preserve"> </w:t>
      </w:r>
      <w:proofErr w:type="spellStart"/>
      <w:r w:rsidR="00920043" w:rsidRPr="00EB1573">
        <w:rPr>
          <w:sz w:val="20"/>
          <w:szCs w:val="20"/>
        </w:rPr>
        <w:t>Riigimetsa</w:t>
      </w:r>
      <w:proofErr w:type="spellEnd"/>
      <w:r w:rsidR="00920043" w:rsidRPr="00EB1573">
        <w:rPr>
          <w:sz w:val="20"/>
          <w:szCs w:val="20"/>
        </w:rPr>
        <w:t xml:space="preserve"> </w:t>
      </w:r>
      <w:proofErr w:type="spellStart"/>
      <w:r w:rsidR="00920043" w:rsidRPr="00EB1573">
        <w:rPr>
          <w:sz w:val="20"/>
          <w:szCs w:val="20"/>
        </w:rPr>
        <w:t>Majandamise</w:t>
      </w:r>
      <w:proofErr w:type="spellEnd"/>
      <w:r w:rsidR="00920043" w:rsidRPr="00EB1573">
        <w:rPr>
          <w:sz w:val="20"/>
          <w:szCs w:val="20"/>
        </w:rPr>
        <w:t xml:space="preserve"> </w:t>
      </w:r>
      <w:proofErr w:type="spellStart"/>
      <w:r w:rsidR="00920043" w:rsidRPr="00EB1573">
        <w:rPr>
          <w:sz w:val="20"/>
          <w:szCs w:val="20"/>
        </w:rPr>
        <w:t>Keskus</w:t>
      </w:r>
      <w:proofErr w:type="spellEnd"/>
      <w:r w:rsidR="00920043" w:rsidRPr="00EB1573">
        <w:rPr>
          <w:sz w:val="20"/>
          <w:szCs w:val="20"/>
        </w:rPr>
        <w:t>, SA</w:t>
      </w:r>
      <w:r w:rsidR="00920043" w:rsidRPr="00EB1573">
        <w:rPr>
          <w:sz w:val="20"/>
          <w:szCs w:val="20"/>
        </w:rPr>
        <w:tab/>
      </w:r>
      <w:r w:rsidR="004E2173" w:rsidRPr="00EB1573">
        <w:rPr>
          <w:sz w:val="20"/>
          <w:szCs w:val="20"/>
        </w:rPr>
        <w:t xml:space="preserve">735 </w:t>
      </w:r>
      <w:proofErr w:type="spellStart"/>
      <w:r w:rsidR="004E2173" w:rsidRPr="00EB1573">
        <w:rPr>
          <w:sz w:val="20"/>
          <w:szCs w:val="20"/>
        </w:rPr>
        <w:t>mln</w:t>
      </w:r>
      <w:proofErr w:type="spellEnd"/>
      <w:r w:rsidR="004E2173" w:rsidRPr="00EB1573">
        <w:rPr>
          <w:sz w:val="20"/>
          <w:szCs w:val="20"/>
        </w:rPr>
        <w:t>.</w:t>
      </w:r>
    </w:p>
    <w:p w14:paraId="187943DE" w14:textId="77777777" w:rsidR="00E67959" w:rsidRPr="00EB1573" w:rsidRDefault="004E2173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23.</w:t>
      </w:r>
      <w:r w:rsidR="00010889" w:rsidRPr="00EB1573">
        <w:rPr>
          <w:sz w:val="20"/>
          <w:szCs w:val="20"/>
        </w:rPr>
        <w:t>LHV Group, AS</w:t>
      </w:r>
      <w:r w:rsidR="00010889" w:rsidRPr="00EB1573">
        <w:rPr>
          <w:sz w:val="20"/>
          <w:szCs w:val="20"/>
        </w:rPr>
        <w:tab/>
      </w:r>
      <w:r w:rsidR="00E67959" w:rsidRPr="00EB1573">
        <w:rPr>
          <w:sz w:val="20"/>
          <w:szCs w:val="20"/>
        </w:rPr>
        <w:t xml:space="preserve">707 </w:t>
      </w:r>
      <w:proofErr w:type="spellStart"/>
      <w:r w:rsidR="00E67959" w:rsidRPr="00EB1573">
        <w:rPr>
          <w:sz w:val="20"/>
          <w:szCs w:val="20"/>
        </w:rPr>
        <w:t>mln</w:t>
      </w:r>
      <w:proofErr w:type="spellEnd"/>
      <w:r w:rsidR="00E67959" w:rsidRPr="00EB1573">
        <w:rPr>
          <w:sz w:val="20"/>
          <w:szCs w:val="20"/>
        </w:rPr>
        <w:t>.</w:t>
      </w:r>
    </w:p>
    <w:p w14:paraId="2911D012" w14:textId="77777777" w:rsidR="001543BC" w:rsidRPr="00EB1573" w:rsidRDefault="00E67959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24.</w:t>
      </w:r>
      <w:r w:rsidR="00586837" w:rsidRPr="00EB1573">
        <w:rPr>
          <w:sz w:val="20"/>
          <w:szCs w:val="20"/>
        </w:rPr>
        <w:t xml:space="preserve">Tallinna </w:t>
      </w:r>
      <w:proofErr w:type="spellStart"/>
      <w:r w:rsidR="00586837" w:rsidRPr="00EB1573">
        <w:rPr>
          <w:sz w:val="20"/>
          <w:szCs w:val="20"/>
        </w:rPr>
        <w:t>Sadam</w:t>
      </w:r>
      <w:proofErr w:type="spellEnd"/>
      <w:r w:rsidR="00586837" w:rsidRPr="00EB1573">
        <w:rPr>
          <w:sz w:val="20"/>
          <w:szCs w:val="20"/>
        </w:rPr>
        <w:t>, AS</w:t>
      </w:r>
      <w:r w:rsidR="00586837" w:rsidRPr="00EB1573">
        <w:rPr>
          <w:sz w:val="20"/>
          <w:szCs w:val="20"/>
        </w:rPr>
        <w:tab/>
      </w:r>
      <w:r w:rsidR="001543BC" w:rsidRPr="00EB1573">
        <w:rPr>
          <w:sz w:val="20"/>
          <w:szCs w:val="20"/>
        </w:rPr>
        <w:t xml:space="preserve">705 </w:t>
      </w:r>
      <w:proofErr w:type="spellStart"/>
      <w:r w:rsidR="001543BC" w:rsidRPr="00EB1573">
        <w:rPr>
          <w:sz w:val="20"/>
          <w:szCs w:val="20"/>
        </w:rPr>
        <w:t>mln</w:t>
      </w:r>
      <w:proofErr w:type="spellEnd"/>
      <w:r w:rsidR="001543BC" w:rsidRPr="00EB1573">
        <w:rPr>
          <w:sz w:val="20"/>
          <w:szCs w:val="20"/>
        </w:rPr>
        <w:t>.</w:t>
      </w:r>
    </w:p>
    <w:p w14:paraId="5C6DA86C" w14:textId="0E0F25BF" w:rsidR="00332241" w:rsidRPr="00EB1573" w:rsidRDefault="001543BC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25.</w:t>
      </w:r>
      <w:r w:rsidR="001E6B50" w:rsidRPr="00EB1573">
        <w:rPr>
          <w:sz w:val="20"/>
          <w:szCs w:val="20"/>
        </w:rPr>
        <w:t xml:space="preserve">Tallinna </w:t>
      </w:r>
      <w:proofErr w:type="spellStart"/>
      <w:r w:rsidR="001E6B50" w:rsidRPr="00EB1573">
        <w:rPr>
          <w:sz w:val="20"/>
          <w:szCs w:val="20"/>
        </w:rPr>
        <w:t>Kaubamaja</w:t>
      </w:r>
      <w:proofErr w:type="spellEnd"/>
      <w:r w:rsidR="001E6B50" w:rsidRPr="00EB1573">
        <w:rPr>
          <w:sz w:val="20"/>
          <w:szCs w:val="20"/>
        </w:rPr>
        <w:t xml:space="preserve"> </w:t>
      </w:r>
      <w:proofErr w:type="spellStart"/>
      <w:r w:rsidR="001E6B50" w:rsidRPr="00EB1573">
        <w:rPr>
          <w:sz w:val="20"/>
          <w:szCs w:val="20"/>
        </w:rPr>
        <w:t>Grupp</w:t>
      </w:r>
      <w:proofErr w:type="spellEnd"/>
      <w:r w:rsidR="001E6B50" w:rsidRPr="00EB1573">
        <w:rPr>
          <w:sz w:val="20"/>
          <w:szCs w:val="20"/>
        </w:rPr>
        <w:t>, AS</w:t>
      </w:r>
      <w:r w:rsidR="001E6B50" w:rsidRPr="00EB1573">
        <w:rPr>
          <w:sz w:val="20"/>
          <w:szCs w:val="20"/>
        </w:rPr>
        <w:tab/>
      </w:r>
      <w:r w:rsidR="00F6568C" w:rsidRPr="00EB1573">
        <w:rPr>
          <w:sz w:val="20"/>
          <w:szCs w:val="20"/>
        </w:rPr>
        <w:t xml:space="preserve">661 </w:t>
      </w:r>
      <w:proofErr w:type="spellStart"/>
      <w:r w:rsidR="00F6568C" w:rsidRPr="00EB1573">
        <w:rPr>
          <w:sz w:val="20"/>
          <w:szCs w:val="20"/>
        </w:rPr>
        <w:t>mln</w:t>
      </w:r>
      <w:proofErr w:type="spellEnd"/>
      <w:r w:rsidR="00F6568C" w:rsidRPr="00EB1573">
        <w:rPr>
          <w:sz w:val="20"/>
          <w:szCs w:val="20"/>
        </w:rPr>
        <w:t>.</w:t>
      </w:r>
    </w:p>
    <w:p w14:paraId="7627D684" w14:textId="6EF89CF6" w:rsidR="00F6568C" w:rsidRPr="00EB1573" w:rsidRDefault="00F6568C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26.</w:t>
      </w:r>
      <w:r w:rsidR="00C57569" w:rsidRPr="00EB1573">
        <w:rPr>
          <w:sz w:val="20"/>
          <w:szCs w:val="20"/>
        </w:rPr>
        <w:t>VG Holding, UAB</w:t>
      </w:r>
      <w:r w:rsidR="00C57569" w:rsidRPr="00EB1573">
        <w:rPr>
          <w:sz w:val="20"/>
          <w:szCs w:val="20"/>
        </w:rPr>
        <w:tab/>
      </w:r>
      <w:r w:rsidR="008127F8" w:rsidRPr="00EB1573">
        <w:rPr>
          <w:sz w:val="20"/>
          <w:szCs w:val="20"/>
        </w:rPr>
        <w:t xml:space="preserve">632 </w:t>
      </w:r>
      <w:proofErr w:type="spellStart"/>
      <w:r w:rsidR="008127F8" w:rsidRPr="00EB1573">
        <w:rPr>
          <w:sz w:val="20"/>
          <w:szCs w:val="20"/>
        </w:rPr>
        <w:t>mln</w:t>
      </w:r>
      <w:proofErr w:type="spellEnd"/>
      <w:r w:rsidR="008127F8" w:rsidRPr="00EB1573">
        <w:rPr>
          <w:sz w:val="20"/>
          <w:szCs w:val="20"/>
        </w:rPr>
        <w:t>.</w:t>
      </w:r>
    </w:p>
    <w:p w14:paraId="52AA85BF" w14:textId="05F15255" w:rsidR="008127F8" w:rsidRPr="00EB1573" w:rsidRDefault="008127F8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27.</w:t>
      </w:r>
      <w:r w:rsidR="00910683" w:rsidRPr="00EB1573">
        <w:rPr>
          <w:sz w:val="20"/>
          <w:szCs w:val="20"/>
        </w:rPr>
        <w:t>Gren Group</w:t>
      </w:r>
      <w:r w:rsidR="00910683" w:rsidRPr="00EB1573">
        <w:rPr>
          <w:sz w:val="20"/>
          <w:szCs w:val="20"/>
        </w:rPr>
        <w:tab/>
      </w:r>
      <w:r w:rsidR="00910683" w:rsidRPr="00EB1573">
        <w:rPr>
          <w:sz w:val="20"/>
          <w:szCs w:val="20"/>
        </w:rPr>
        <w:tab/>
      </w:r>
      <w:r w:rsidR="00E57DE4" w:rsidRPr="00EB1573">
        <w:rPr>
          <w:sz w:val="20"/>
          <w:szCs w:val="20"/>
        </w:rPr>
        <w:t xml:space="preserve">608 </w:t>
      </w:r>
      <w:proofErr w:type="spellStart"/>
      <w:r w:rsidR="00E57DE4" w:rsidRPr="00EB1573">
        <w:rPr>
          <w:sz w:val="20"/>
          <w:szCs w:val="20"/>
        </w:rPr>
        <w:t>mln</w:t>
      </w:r>
      <w:proofErr w:type="spellEnd"/>
      <w:r w:rsidR="00E57DE4" w:rsidRPr="00EB1573">
        <w:rPr>
          <w:sz w:val="20"/>
          <w:szCs w:val="20"/>
        </w:rPr>
        <w:t>.</w:t>
      </w:r>
    </w:p>
    <w:p w14:paraId="2AFA6E62" w14:textId="36854437" w:rsidR="004C0EA9" w:rsidRPr="00EB1573" w:rsidRDefault="00E57DE4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28.</w:t>
      </w:r>
      <w:r w:rsidR="004C0EA9" w:rsidRPr="00EB1573">
        <w:rPr>
          <w:sz w:val="20"/>
          <w:szCs w:val="20"/>
        </w:rPr>
        <w:t>Utilitas, OÜ</w:t>
      </w:r>
      <w:r w:rsidR="004C0EA9" w:rsidRPr="00EB1573">
        <w:rPr>
          <w:sz w:val="20"/>
          <w:szCs w:val="20"/>
        </w:rPr>
        <w:tab/>
      </w:r>
      <w:r w:rsidR="004C0EA9" w:rsidRPr="00EB1573">
        <w:rPr>
          <w:sz w:val="20"/>
          <w:szCs w:val="20"/>
        </w:rPr>
        <w:tab/>
      </w:r>
      <w:r w:rsidR="0048129F" w:rsidRPr="00EB1573">
        <w:rPr>
          <w:sz w:val="20"/>
          <w:szCs w:val="20"/>
        </w:rPr>
        <w:t xml:space="preserve">597 </w:t>
      </w:r>
      <w:proofErr w:type="spellStart"/>
      <w:r w:rsidR="0048129F" w:rsidRPr="00EB1573">
        <w:rPr>
          <w:sz w:val="20"/>
          <w:szCs w:val="20"/>
        </w:rPr>
        <w:t>mln</w:t>
      </w:r>
      <w:proofErr w:type="spellEnd"/>
      <w:r w:rsidR="0048129F" w:rsidRPr="00EB1573">
        <w:rPr>
          <w:sz w:val="20"/>
          <w:szCs w:val="20"/>
        </w:rPr>
        <w:t>.</w:t>
      </w:r>
    </w:p>
    <w:p w14:paraId="3196B26C" w14:textId="4EF28E59" w:rsidR="0048129F" w:rsidRPr="00EB1573" w:rsidRDefault="0048129F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29.</w:t>
      </w:r>
      <w:r w:rsidR="005F26B4" w:rsidRPr="00EB1573">
        <w:rPr>
          <w:sz w:val="20"/>
          <w:szCs w:val="20"/>
        </w:rPr>
        <w:t>Teva Baltics, UAB</w:t>
      </w:r>
      <w:r w:rsidR="005F26B4" w:rsidRPr="00EB1573">
        <w:rPr>
          <w:sz w:val="20"/>
          <w:szCs w:val="20"/>
        </w:rPr>
        <w:tab/>
      </w:r>
      <w:r w:rsidR="009F4B4F" w:rsidRPr="00EB1573">
        <w:rPr>
          <w:sz w:val="20"/>
          <w:szCs w:val="20"/>
        </w:rPr>
        <w:t xml:space="preserve">580 </w:t>
      </w:r>
      <w:proofErr w:type="spellStart"/>
      <w:r w:rsidR="009F4B4F" w:rsidRPr="00EB1573">
        <w:rPr>
          <w:sz w:val="20"/>
          <w:szCs w:val="20"/>
        </w:rPr>
        <w:t>mln</w:t>
      </w:r>
      <w:proofErr w:type="spellEnd"/>
      <w:r w:rsidR="009F4B4F" w:rsidRPr="00EB1573">
        <w:rPr>
          <w:sz w:val="20"/>
          <w:szCs w:val="20"/>
        </w:rPr>
        <w:t>.</w:t>
      </w:r>
    </w:p>
    <w:p w14:paraId="4A4BD1EF" w14:textId="5477B86B" w:rsidR="009F4B4F" w:rsidRPr="00EB1573" w:rsidRDefault="009F4B4F" w:rsidP="002D682C">
      <w:pPr>
        <w:rPr>
          <w:sz w:val="20"/>
          <w:szCs w:val="20"/>
        </w:rPr>
      </w:pPr>
      <w:r w:rsidRPr="00EB1573">
        <w:rPr>
          <w:sz w:val="20"/>
          <w:szCs w:val="20"/>
        </w:rPr>
        <w:t>30.</w:t>
      </w:r>
      <w:r w:rsidR="00180238" w:rsidRPr="00EB1573">
        <w:rPr>
          <w:sz w:val="20"/>
          <w:szCs w:val="20"/>
        </w:rPr>
        <w:t>Circle K Group</w:t>
      </w:r>
      <w:r w:rsidR="00180238" w:rsidRPr="00EB1573">
        <w:rPr>
          <w:sz w:val="20"/>
          <w:szCs w:val="20"/>
        </w:rPr>
        <w:tab/>
      </w:r>
      <w:r w:rsidR="00AB7147">
        <w:rPr>
          <w:sz w:val="20"/>
          <w:szCs w:val="20"/>
        </w:rPr>
        <w:tab/>
      </w:r>
      <w:r w:rsidR="00082B16" w:rsidRPr="00EB1573">
        <w:rPr>
          <w:sz w:val="20"/>
          <w:szCs w:val="20"/>
        </w:rPr>
        <w:t>56</w:t>
      </w:r>
      <w:r w:rsidR="00CC300B">
        <w:rPr>
          <w:sz w:val="20"/>
          <w:szCs w:val="20"/>
        </w:rPr>
        <w:t>9</w:t>
      </w:r>
      <w:r w:rsidR="00082B16" w:rsidRPr="00EB1573">
        <w:rPr>
          <w:sz w:val="20"/>
          <w:szCs w:val="20"/>
        </w:rPr>
        <w:t xml:space="preserve"> </w:t>
      </w:r>
      <w:proofErr w:type="spellStart"/>
      <w:r w:rsidR="00082B16" w:rsidRPr="00EB1573">
        <w:rPr>
          <w:sz w:val="20"/>
          <w:szCs w:val="20"/>
        </w:rPr>
        <w:t>mln</w:t>
      </w:r>
      <w:proofErr w:type="spellEnd"/>
      <w:r w:rsidR="00082B16" w:rsidRPr="00EB1573">
        <w:rPr>
          <w:sz w:val="20"/>
          <w:szCs w:val="20"/>
        </w:rPr>
        <w:t>.</w:t>
      </w:r>
    </w:p>
    <w:p w14:paraId="4C5CDCB7" w14:textId="4CF6FE49" w:rsidR="00A353C4" w:rsidRPr="00EB1573" w:rsidRDefault="005E15F9" w:rsidP="00847167">
      <w:pPr>
        <w:rPr>
          <w:sz w:val="20"/>
          <w:szCs w:val="20"/>
        </w:rPr>
      </w:pPr>
      <w:proofErr w:type="spellStart"/>
      <w:r w:rsidRPr="00EB1573">
        <w:rPr>
          <w:sz w:val="20"/>
          <w:szCs w:val="20"/>
        </w:rPr>
        <w:t>Šaltinis</w:t>
      </w:r>
      <w:proofErr w:type="spellEnd"/>
      <w:r w:rsidRPr="00EB1573">
        <w:rPr>
          <w:sz w:val="20"/>
          <w:szCs w:val="20"/>
        </w:rPr>
        <w:t xml:space="preserve">: </w:t>
      </w:r>
      <w:hyperlink r:id="rId11" w:history="1">
        <w:r w:rsidR="009A1A2F" w:rsidRPr="00EB1573">
          <w:rPr>
            <w:rStyle w:val="Hyperlink"/>
            <w:sz w:val="20"/>
            <w:szCs w:val="20"/>
          </w:rPr>
          <w:t>www.baltictop.eu</w:t>
        </w:r>
      </w:hyperlink>
    </w:p>
    <w:sectPr w:rsidR="00A353C4" w:rsidRPr="00EB15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C6822"/>
    <w:multiLevelType w:val="hybridMultilevel"/>
    <w:tmpl w:val="5350B1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A97F2B"/>
    <w:multiLevelType w:val="hybridMultilevel"/>
    <w:tmpl w:val="A798E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57A"/>
    <w:rsid w:val="000045C1"/>
    <w:rsid w:val="00010889"/>
    <w:rsid w:val="00021BD1"/>
    <w:rsid w:val="00027AB6"/>
    <w:rsid w:val="00031F13"/>
    <w:rsid w:val="00050EBD"/>
    <w:rsid w:val="00052CE3"/>
    <w:rsid w:val="000610FD"/>
    <w:rsid w:val="00063A25"/>
    <w:rsid w:val="0006534E"/>
    <w:rsid w:val="00082B16"/>
    <w:rsid w:val="000875B8"/>
    <w:rsid w:val="00091213"/>
    <w:rsid w:val="000915C1"/>
    <w:rsid w:val="00093290"/>
    <w:rsid w:val="00096D1E"/>
    <w:rsid w:val="000A30D8"/>
    <w:rsid w:val="000B483A"/>
    <w:rsid w:val="000C07B3"/>
    <w:rsid w:val="000C34A1"/>
    <w:rsid w:val="000D36B7"/>
    <w:rsid w:val="000D65D1"/>
    <w:rsid w:val="000D79C0"/>
    <w:rsid w:val="000E045A"/>
    <w:rsid w:val="000E532F"/>
    <w:rsid w:val="000E7539"/>
    <w:rsid w:val="000F03B2"/>
    <w:rsid w:val="000F47FE"/>
    <w:rsid w:val="0011522C"/>
    <w:rsid w:val="00125E47"/>
    <w:rsid w:val="00133F53"/>
    <w:rsid w:val="00135F1A"/>
    <w:rsid w:val="001461C3"/>
    <w:rsid w:val="00152672"/>
    <w:rsid w:val="001543BC"/>
    <w:rsid w:val="001600EF"/>
    <w:rsid w:val="00161726"/>
    <w:rsid w:val="0016715F"/>
    <w:rsid w:val="0017048C"/>
    <w:rsid w:val="00180238"/>
    <w:rsid w:val="00182249"/>
    <w:rsid w:val="00182CA1"/>
    <w:rsid w:val="001A20E2"/>
    <w:rsid w:val="001A571E"/>
    <w:rsid w:val="001B04C1"/>
    <w:rsid w:val="001B0AC4"/>
    <w:rsid w:val="001B3641"/>
    <w:rsid w:val="001B370F"/>
    <w:rsid w:val="001B4C9C"/>
    <w:rsid w:val="001B63CD"/>
    <w:rsid w:val="001C20FA"/>
    <w:rsid w:val="001C64E8"/>
    <w:rsid w:val="001C79B0"/>
    <w:rsid w:val="001D0FD2"/>
    <w:rsid w:val="001D4202"/>
    <w:rsid w:val="001D4E61"/>
    <w:rsid w:val="001D7E5C"/>
    <w:rsid w:val="001E041B"/>
    <w:rsid w:val="001E6B50"/>
    <w:rsid w:val="001F3F87"/>
    <w:rsid w:val="001F77B9"/>
    <w:rsid w:val="00205780"/>
    <w:rsid w:val="0021693E"/>
    <w:rsid w:val="00216D2E"/>
    <w:rsid w:val="00222479"/>
    <w:rsid w:val="002363B8"/>
    <w:rsid w:val="00242147"/>
    <w:rsid w:val="00250979"/>
    <w:rsid w:val="00261CD8"/>
    <w:rsid w:val="00265E2B"/>
    <w:rsid w:val="00266A78"/>
    <w:rsid w:val="00280276"/>
    <w:rsid w:val="002802DA"/>
    <w:rsid w:val="0028088D"/>
    <w:rsid w:val="00281A39"/>
    <w:rsid w:val="0029057A"/>
    <w:rsid w:val="002A082D"/>
    <w:rsid w:val="002A1834"/>
    <w:rsid w:val="002B7135"/>
    <w:rsid w:val="002C43E9"/>
    <w:rsid w:val="002C6F9E"/>
    <w:rsid w:val="002D387E"/>
    <w:rsid w:val="002D682C"/>
    <w:rsid w:val="002E177C"/>
    <w:rsid w:val="002E2297"/>
    <w:rsid w:val="002F17D1"/>
    <w:rsid w:val="002F18F9"/>
    <w:rsid w:val="00302DCB"/>
    <w:rsid w:val="0031612A"/>
    <w:rsid w:val="003178A2"/>
    <w:rsid w:val="003205F0"/>
    <w:rsid w:val="00324012"/>
    <w:rsid w:val="00326B0A"/>
    <w:rsid w:val="00331501"/>
    <w:rsid w:val="00332241"/>
    <w:rsid w:val="00334976"/>
    <w:rsid w:val="00335070"/>
    <w:rsid w:val="003365C8"/>
    <w:rsid w:val="00345B00"/>
    <w:rsid w:val="003636B3"/>
    <w:rsid w:val="00370752"/>
    <w:rsid w:val="00370797"/>
    <w:rsid w:val="00370AD6"/>
    <w:rsid w:val="00374F0D"/>
    <w:rsid w:val="00375049"/>
    <w:rsid w:val="003A235D"/>
    <w:rsid w:val="003A7A9C"/>
    <w:rsid w:val="003B3D14"/>
    <w:rsid w:val="003B6DC0"/>
    <w:rsid w:val="003C6DC4"/>
    <w:rsid w:val="003E4D50"/>
    <w:rsid w:val="003F0C5A"/>
    <w:rsid w:val="003F282E"/>
    <w:rsid w:val="003F5229"/>
    <w:rsid w:val="003F6391"/>
    <w:rsid w:val="0040694B"/>
    <w:rsid w:val="00412EBD"/>
    <w:rsid w:val="00414093"/>
    <w:rsid w:val="00415A24"/>
    <w:rsid w:val="00416787"/>
    <w:rsid w:val="0042757B"/>
    <w:rsid w:val="004326F9"/>
    <w:rsid w:val="00441B8B"/>
    <w:rsid w:val="004426D9"/>
    <w:rsid w:val="004469C1"/>
    <w:rsid w:val="0045106E"/>
    <w:rsid w:val="00452AAC"/>
    <w:rsid w:val="0046355F"/>
    <w:rsid w:val="00466855"/>
    <w:rsid w:val="00473CCC"/>
    <w:rsid w:val="00476E3B"/>
    <w:rsid w:val="004779F4"/>
    <w:rsid w:val="0048129F"/>
    <w:rsid w:val="00481AC6"/>
    <w:rsid w:val="00482EFD"/>
    <w:rsid w:val="00484329"/>
    <w:rsid w:val="00490149"/>
    <w:rsid w:val="00493F2E"/>
    <w:rsid w:val="004969C4"/>
    <w:rsid w:val="00496EFD"/>
    <w:rsid w:val="0049714C"/>
    <w:rsid w:val="004A0E7D"/>
    <w:rsid w:val="004A3F18"/>
    <w:rsid w:val="004A6CF3"/>
    <w:rsid w:val="004B0D3D"/>
    <w:rsid w:val="004B19DF"/>
    <w:rsid w:val="004B6EE0"/>
    <w:rsid w:val="004C0E8A"/>
    <w:rsid w:val="004C0EA9"/>
    <w:rsid w:val="004D14B0"/>
    <w:rsid w:val="004D22D2"/>
    <w:rsid w:val="004D2982"/>
    <w:rsid w:val="004D3AEA"/>
    <w:rsid w:val="004D3C7F"/>
    <w:rsid w:val="004E0B3D"/>
    <w:rsid w:val="004E2173"/>
    <w:rsid w:val="004E6966"/>
    <w:rsid w:val="004F6A3B"/>
    <w:rsid w:val="00504CAC"/>
    <w:rsid w:val="005058F6"/>
    <w:rsid w:val="00510DA8"/>
    <w:rsid w:val="00511B8E"/>
    <w:rsid w:val="00513034"/>
    <w:rsid w:val="00515D82"/>
    <w:rsid w:val="005167B0"/>
    <w:rsid w:val="00537820"/>
    <w:rsid w:val="005405AD"/>
    <w:rsid w:val="00540B7D"/>
    <w:rsid w:val="00545084"/>
    <w:rsid w:val="0056796E"/>
    <w:rsid w:val="005704BD"/>
    <w:rsid w:val="00572505"/>
    <w:rsid w:val="00573030"/>
    <w:rsid w:val="00582797"/>
    <w:rsid w:val="00583D85"/>
    <w:rsid w:val="005840D7"/>
    <w:rsid w:val="00586837"/>
    <w:rsid w:val="00592A3C"/>
    <w:rsid w:val="00594945"/>
    <w:rsid w:val="00594E74"/>
    <w:rsid w:val="005A3539"/>
    <w:rsid w:val="005A5AC9"/>
    <w:rsid w:val="005B0605"/>
    <w:rsid w:val="005C6EFE"/>
    <w:rsid w:val="005E15F9"/>
    <w:rsid w:val="005E18BA"/>
    <w:rsid w:val="005F26B4"/>
    <w:rsid w:val="005F32E2"/>
    <w:rsid w:val="0060173A"/>
    <w:rsid w:val="0060203E"/>
    <w:rsid w:val="006036FE"/>
    <w:rsid w:val="00605736"/>
    <w:rsid w:val="00620202"/>
    <w:rsid w:val="00630825"/>
    <w:rsid w:val="006314B7"/>
    <w:rsid w:val="006378C0"/>
    <w:rsid w:val="00637B5D"/>
    <w:rsid w:val="00650D16"/>
    <w:rsid w:val="00664E3C"/>
    <w:rsid w:val="00670F4E"/>
    <w:rsid w:val="00683DCB"/>
    <w:rsid w:val="00692E94"/>
    <w:rsid w:val="006946C6"/>
    <w:rsid w:val="00697F48"/>
    <w:rsid w:val="006A20C7"/>
    <w:rsid w:val="006B23BE"/>
    <w:rsid w:val="006C134B"/>
    <w:rsid w:val="006C5A34"/>
    <w:rsid w:val="006D1331"/>
    <w:rsid w:val="006D1596"/>
    <w:rsid w:val="006D456B"/>
    <w:rsid w:val="006D650E"/>
    <w:rsid w:val="006E04EB"/>
    <w:rsid w:val="006E21F5"/>
    <w:rsid w:val="006E55F4"/>
    <w:rsid w:val="006E6463"/>
    <w:rsid w:val="006F5907"/>
    <w:rsid w:val="00707BB9"/>
    <w:rsid w:val="0071034F"/>
    <w:rsid w:val="0071792F"/>
    <w:rsid w:val="00723C73"/>
    <w:rsid w:val="007343F4"/>
    <w:rsid w:val="00745897"/>
    <w:rsid w:val="00745B97"/>
    <w:rsid w:val="007535EE"/>
    <w:rsid w:val="00754509"/>
    <w:rsid w:val="007624E8"/>
    <w:rsid w:val="00774A24"/>
    <w:rsid w:val="0078356B"/>
    <w:rsid w:val="00784CE9"/>
    <w:rsid w:val="00790223"/>
    <w:rsid w:val="007966FE"/>
    <w:rsid w:val="007A1BAD"/>
    <w:rsid w:val="007A270E"/>
    <w:rsid w:val="007A41BB"/>
    <w:rsid w:val="007A4CC2"/>
    <w:rsid w:val="007B322E"/>
    <w:rsid w:val="007B343E"/>
    <w:rsid w:val="007C0E13"/>
    <w:rsid w:val="007C53F4"/>
    <w:rsid w:val="007D4271"/>
    <w:rsid w:val="007D4A9E"/>
    <w:rsid w:val="007D7197"/>
    <w:rsid w:val="007D7BBC"/>
    <w:rsid w:val="007E25B8"/>
    <w:rsid w:val="007E493B"/>
    <w:rsid w:val="007F0193"/>
    <w:rsid w:val="007F470E"/>
    <w:rsid w:val="00804929"/>
    <w:rsid w:val="00806437"/>
    <w:rsid w:val="00807C00"/>
    <w:rsid w:val="008127F8"/>
    <w:rsid w:val="008321AD"/>
    <w:rsid w:val="00834DE3"/>
    <w:rsid w:val="00836369"/>
    <w:rsid w:val="008419AD"/>
    <w:rsid w:val="0084471D"/>
    <w:rsid w:val="008470E3"/>
    <w:rsid w:val="00847167"/>
    <w:rsid w:val="00847E26"/>
    <w:rsid w:val="00871468"/>
    <w:rsid w:val="0087497A"/>
    <w:rsid w:val="00875257"/>
    <w:rsid w:val="00880BCE"/>
    <w:rsid w:val="008839C4"/>
    <w:rsid w:val="00890098"/>
    <w:rsid w:val="008975CE"/>
    <w:rsid w:val="008A27AF"/>
    <w:rsid w:val="008A3613"/>
    <w:rsid w:val="008B6179"/>
    <w:rsid w:val="008C13F0"/>
    <w:rsid w:val="008D2854"/>
    <w:rsid w:val="008D3934"/>
    <w:rsid w:val="008D57E2"/>
    <w:rsid w:val="008D5DE2"/>
    <w:rsid w:val="008E23C2"/>
    <w:rsid w:val="008E3F6F"/>
    <w:rsid w:val="008E4934"/>
    <w:rsid w:val="008E6E89"/>
    <w:rsid w:val="008F06A4"/>
    <w:rsid w:val="00910683"/>
    <w:rsid w:val="009130F6"/>
    <w:rsid w:val="00914580"/>
    <w:rsid w:val="00920043"/>
    <w:rsid w:val="00923896"/>
    <w:rsid w:val="00926730"/>
    <w:rsid w:val="00932EE4"/>
    <w:rsid w:val="00937B10"/>
    <w:rsid w:val="0095632F"/>
    <w:rsid w:val="009636F7"/>
    <w:rsid w:val="009638B2"/>
    <w:rsid w:val="00963B79"/>
    <w:rsid w:val="009774D6"/>
    <w:rsid w:val="00980C95"/>
    <w:rsid w:val="009818AA"/>
    <w:rsid w:val="009850CD"/>
    <w:rsid w:val="0099186F"/>
    <w:rsid w:val="00993F90"/>
    <w:rsid w:val="00996C3E"/>
    <w:rsid w:val="009A1A2F"/>
    <w:rsid w:val="009A3C0C"/>
    <w:rsid w:val="009B67F8"/>
    <w:rsid w:val="009C23CD"/>
    <w:rsid w:val="009C4F4C"/>
    <w:rsid w:val="009C62E1"/>
    <w:rsid w:val="009D177A"/>
    <w:rsid w:val="009D290A"/>
    <w:rsid w:val="009E25DD"/>
    <w:rsid w:val="009E4CA2"/>
    <w:rsid w:val="009E6D08"/>
    <w:rsid w:val="009F042C"/>
    <w:rsid w:val="009F3658"/>
    <w:rsid w:val="009F4B4F"/>
    <w:rsid w:val="009F734C"/>
    <w:rsid w:val="00A00934"/>
    <w:rsid w:val="00A03C98"/>
    <w:rsid w:val="00A1252B"/>
    <w:rsid w:val="00A12AA6"/>
    <w:rsid w:val="00A20DE3"/>
    <w:rsid w:val="00A21B2F"/>
    <w:rsid w:val="00A24E78"/>
    <w:rsid w:val="00A25031"/>
    <w:rsid w:val="00A353C4"/>
    <w:rsid w:val="00A35A29"/>
    <w:rsid w:val="00A41AA5"/>
    <w:rsid w:val="00A471F7"/>
    <w:rsid w:val="00A5236F"/>
    <w:rsid w:val="00A55F54"/>
    <w:rsid w:val="00A5708C"/>
    <w:rsid w:val="00A65423"/>
    <w:rsid w:val="00A81C41"/>
    <w:rsid w:val="00A83AAE"/>
    <w:rsid w:val="00A87210"/>
    <w:rsid w:val="00A918EE"/>
    <w:rsid w:val="00A921EF"/>
    <w:rsid w:val="00A969D1"/>
    <w:rsid w:val="00AB2EAF"/>
    <w:rsid w:val="00AB7147"/>
    <w:rsid w:val="00AD3E16"/>
    <w:rsid w:val="00AD4F2B"/>
    <w:rsid w:val="00AE3C2A"/>
    <w:rsid w:val="00AE3EF3"/>
    <w:rsid w:val="00AF1BD3"/>
    <w:rsid w:val="00B02E8D"/>
    <w:rsid w:val="00B07409"/>
    <w:rsid w:val="00B10522"/>
    <w:rsid w:val="00B175BC"/>
    <w:rsid w:val="00B34BC8"/>
    <w:rsid w:val="00B373B6"/>
    <w:rsid w:val="00B379C0"/>
    <w:rsid w:val="00B42CEC"/>
    <w:rsid w:val="00B42E83"/>
    <w:rsid w:val="00B511F7"/>
    <w:rsid w:val="00B52CF4"/>
    <w:rsid w:val="00B537C0"/>
    <w:rsid w:val="00B550D8"/>
    <w:rsid w:val="00B56F3A"/>
    <w:rsid w:val="00B62DA8"/>
    <w:rsid w:val="00B71CC1"/>
    <w:rsid w:val="00B7497B"/>
    <w:rsid w:val="00B76EDF"/>
    <w:rsid w:val="00B7714A"/>
    <w:rsid w:val="00B77F55"/>
    <w:rsid w:val="00B8020F"/>
    <w:rsid w:val="00B93E2D"/>
    <w:rsid w:val="00BA4B9E"/>
    <w:rsid w:val="00BA72A5"/>
    <w:rsid w:val="00BA7824"/>
    <w:rsid w:val="00BB38BF"/>
    <w:rsid w:val="00BB4CB7"/>
    <w:rsid w:val="00BB7285"/>
    <w:rsid w:val="00BC0DF8"/>
    <w:rsid w:val="00BC44F8"/>
    <w:rsid w:val="00BC6BD1"/>
    <w:rsid w:val="00BD62D4"/>
    <w:rsid w:val="00BD680A"/>
    <w:rsid w:val="00BE4044"/>
    <w:rsid w:val="00BE4DF0"/>
    <w:rsid w:val="00BF0A5F"/>
    <w:rsid w:val="00BF4644"/>
    <w:rsid w:val="00C17FC6"/>
    <w:rsid w:val="00C2146F"/>
    <w:rsid w:val="00C214BB"/>
    <w:rsid w:val="00C22395"/>
    <w:rsid w:val="00C24FB6"/>
    <w:rsid w:val="00C31719"/>
    <w:rsid w:val="00C32D02"/>
    <w:rsid w:val="00C40804"/>
    <w:rsid w:val="00C41588"/>
    <w:rsid w:val="00C45FAE"/>
    <w:rsid w:val="00C46D5A"/>
    <w:rsid w:val="00C47A50"/>
    <w:rsid w:val="00C538F0"/>
    <w:rsid w:val="00C573B4"/>
    <w:rsid w:val="00C57569"/>
    <w:rsid w:val="00C60234"/>
    <w:rsid w:val="00C64022"/>
    <w:rsid w:val="00C73133"/>
    <w:rsid w:val="00C74F04"/>
    <w:rsid w:val="00C77BEC"/>
    <w:rsid w:val="00C808B4"/>
    <w:rsid w:val="00C82BC3"/>
    <w:rsid w:val="00C914C1"/>
    <w:rsid w:val="00C97DA2"/>
    <w:rsid w:val="00CA48B3"/>
    <w:rsid w:val="00CA7E17"/>
    <w:rsid w:val="00CB0088"/>
    <w:rsid w:val="00CB662D"/>
    <w:rsid w:val="00CC300B"/>
    <w:rsid w:val="00CC3D84"/>
    <w:rsid w:val="00CE034F"/>
    <w:rsid w:val="00CF7AA9"/>
    <w:rsid w:val="00CF7FE3"/>
    <w:rsid w:val="00D03491"/>
    <w:rsid w:val="00D127A5"/>
    <w:rsid w:val="00D13F68"/>
    <w:rsid w:val="00D5353E"/>
    <w:rsid w:val="00D561AF"/>
    <w:rsid w:val="00D6222F"/>
    <w:rsid w:val="00D6335C"/>
    <w:rsid w:val="00D66FBB"/>
    <w:rsid w:val="00D67FB4"/>
    <w:rsid w:val="00D74875"/>
    <w:rsid w:val="00D82C7F"/>
    <w:rsid w:val="00D867C5"/>
    <w:rsid w:val="00D97655"/>
    <w:rsid w:val="00DA130C"/>
    <w:rsid w:val="00DA6959"/>
    <w:rsid w:val="00DB2BC7"/>
    <w:rsid w:val="00DB2D3E"/>
    <w:rsid w:val="00DB42F2"/>
    <w:rsid w:val="00DC7291"/>
    <w:rsid w:val="00DE2151"/>
    <w:rsid w:val="00DE3CCE"/>
    <w:rsid w:val="00DE5FEC"/>
    <w:rsid w:val="00DF2049"/>
    <w:rsid w:val="00E0020A"/>
    <w:rsid w:val="00E07EB7"/>
    <w:rsid w:val="00E1794F"/>
    <w:rsid w:val="00E21F28"/>
    <w:rsid w:val="00E25ABE"/>
    <w:rsid w:val="00E3643F"/>
    <w:rsid w:val="00E36B07"/>
    <w:rsid w:val="00E4175A"/>
    <w:rsid w:val="00E5074B"/>
    <w:rsid w:val="00E56072"/>
    <w:rsid w:val="00E57DE4"/>
    <w:rsid w:val="00E67959"/>
    <w:rsid w:val="00E67ABB"/>
    <w:rsid w:val="00E755DB"/>
    <w:rsid w:val="00E82726"/>
    <w:rsid w:val="00E84085"/>
    <w:rsid w:val="00E974EE"/>
    <w:rsid w:val="00EA2D2E"/>
    <w:rsid w:val="00EA4028"/>
    <w:rsid w:val="00EB1573"/>
    <w:rsid w:val="00EB7E8C"/>
    <w:rsid w:val="00EC3D7F"/>
    <w:rsid w:val="00ED40CA"/>
    <w:rsid w:val="00ED5176"/>
    <w:rsid w:val="00ED7DDC"/>
    <w:rsid w:val="00EF1796"/>
    <w:rsid w:val="00EF25A3"/>
    <w:rsid w:val="00EF28E0"/>
    <w:rsid w:val="00EF5A3F"/>
    <w:rsid w:val="00F011B0"/>
    <w:rsid w:val="00F07E4F"/>
    <w:rsid w:val="00F1497C"/>
    <w:rsid w:val="00F2264A"/>
    <w:rsid w:val="00F2292C"/>
    <w:rsid w:val="00F250B8"/>
    <w:rsid w:val="00F2689F"/>
    <w:rsid w:val="00F32FBF"/>
    <w:rsid w:val="00F43611"/>
    <w:rsid w:val="00F443AF"/>
    <w:rsid w:val="00F45A72"/>
    <w:rsid w:val="00F62E09"/>
    <w:rsid w:val="00F6568C"/>
    <w:rsid w:val="00F76AC8"/>
    <w:rsid w:val="00F77B44"/>
    <w:rsid w:val="00F81E0C"/>
    <w:rsid w:val="00F843A0"/>
    <w:rsid w:val="00F91C89"/>
    <w:rsid w:val="00F9225E"/>
    <w:rsid w:val="00FA195B"/>
    <w:rsid w:val="00FA5D96"/>
    <w:rsid w:val="00FB0459"/>
    <w:rsid w:val="00FB0762"/>
    <w:rsid w:val="00FB2D5B"/>
    <w:rsid w:val="00FC193D"/>
    <w:rsid w:val="00FC2D3C"/>
    <w:rsid w:val="00FC359F"/>
    <w:rsid w:val="00FC5E23"/>
    <w:rsid w:val="00FD25B2"/>
    <w:rsid w:val="00FD588D"/>
    <w:rsid w:val="00FD5C61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959C9"/>
  <w15:docId w15:val="{8D2E9751-E637-436C-A344-FBF02728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5C61"/>
    <w:pPr>
      <w:spacing w:after="0" w:line="240" w:lineRule="auto"/>
      <w:ind w:left="720"/>
      <w:contextualSpacing/>
    </w:pPr>
    <w:rPr>
      <w:sz w:val="24"/>
      <w:szCs w:val="24"/>
      <w:lang w:val="lt-LT"/>
    </w:rPr>
  </w:style>
  <w:style w:type="character" w:styleId="Hyperlink">
    <w:name w:val="Hyperlink"/>
    <w:basedOn w:val="DefaultParagraphFont"/>
    <w:uiPriority w:val="99"/>
    <w:unhideWhenUsed/>
    <w:rsid w:val="001B364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364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1303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130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30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30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30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303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7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1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75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2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55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4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3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38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ctop.eu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altictop.eu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top101.lv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top101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5215433F93146BC35D60CC76D42D0" ma:contentTypeVersion="13" ma:contentTypeDescription="Create a new document." ma:contentTypeScope="" ma:versionID="3b1ee3c3de9a7ac43565ef6b209a8866">
  <xsd:schema xmlns:xsd="http://www.w3.org/2001/XMLSchema" xmlns:xs="http://www.w3.org/2001/XMLSchema" xmlns:p="http://schemas.microsoft.com/office/2006/metadata/properties" xmlns:ns2="3698692b-2526-4c43-8eb9-0c668990338b" xmlns:ns3="a2d14002-5461-414a-93f1-70687ed4601e" targetNamespace="http://schemas.microsoft.com/office/2006/metadata/properties" ma:root="true" ma:fieldsID="3aa56d1f5bfbe49c1b5bbb4393d06c94" ns2:_="" ns3:_="">
    <xsd:import namespace="3698692b-2526-4c43-8eb9-0c668990338b"/>
    <xsd:import namespace="a2d14002-5461-414a-93f1-70687ed460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8692b-2526-4c43-8eb9-0c66899033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14002-5461-414a-93f1-70687ed4601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53DC9F-048F-4E9A-92BD-7156D133AF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438639-87D0-4AAF-992E-C470797ECD57}"/>
</file>

<file path=customXml/itemProps3.xml><?xml version="1.0" encoding="utf-8"?>
<ds:datastoreItem xmlns:ds="http://schemas.openxmlformats.org/officeDocument/2006/customXml" ds:itemID="{6380EF09-D4AD-4322-A78E-FDD545AAC4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Buivydienė</dc:creator>
  <cp:keywords/>
  <dc:description/>
  <cp:lastModifiedBy>Giedrė Buivydienė</cp:lastModifiedBy>
  <cp:revision>120</cp:revision>
  <dcterms:created xsi:type="dcterms:W3CDTF">2021-11-19T12:25:00Z</dcterms:created>
  <dcterms:modified xsi:type="dcterms:W3CDTF">2021-11-23T14:00:00Z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0x01010022B5215433F93146BC35D60CC76D42D0</vt:lpwstr>
  </property>
</Properties>
</file>