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977" w:rsidRPr="000C6977" w:rsidRDefault="000C6977">
      <w:pPr>
        <w:pStyle w:val="Title"/>
        <w:rPr>
          <w:sz w:val="44"/>
        </w:rPr>
      </w:pPr>
      <w:r>
        <w:rPr>
          <w:noProof/>
        </w:rPr>
        <w:drawing>
          <wp:anchor distT="0" distB="0" distL="114300" distR="114300" simplePos="0" relativeHeight="251658240" behindDoc="0" locked="0" layoutInCell="1" allowOverlap="1">
            <wp:simplePos x="0" y="0"/>
            <wp:positionH relativeFrom="column">
              <wp:posOffset>-504825</wp:posOffset>
            </wp:positionH>
            <wp:positionV relativeFrom="paragraph">
              <wp:posOffset>-638175</wp:posOffset>
            </wp:positionV>
            <wp:extent cx="2466975" cy="1076325"/>
            <wp:effectExtent l="19050" t="0" r="9525" b="0"/>
            <wp:wrapSquare wrapText="bothSides"/>
            <wp:docPr id="2" name="Picture 1" descr="Vartotoju_aljansa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rtotoju_aljansas_logo.png"/>
                    <pic:cNvPicPr/>
                  </pic:nvPicPr>
                  <pic:blipFill>
                    <a:blip r:embed="rId5" cstate="print"/>
                    <a:stretch>
                      <a:fillRect/>
                    </a:stretch>
                  </pic:blipFill>
                  <pic:spPr>
                    <a:xfrm>
                      <a:off x="0" y="0"/>
                      <a:ext cx="2466975" cy="1076325"/>
                    </a:xfrm>
                    <a:prstGeom prst="rect">
                      <a:avLst/>
                    </a:prstGeom>
                  </pic:spPr>
                </pic:pic>
              </a:graphicData>
            </a:graphic>
          </wp:anchor>
        </w:drawing>
      </w:r>
    </w:p>
    <w:p w:rsidR="007B6E0A" w:rsidRPr="000C6977" w:rsidRDefault="000C6977">
      <w:pPr>
        <w:pStyle w:val="Title"/>
        <w:rPr>
          <w:b/>
        </w:rPr>
      </w:pPr>
      <w:r w:rsidRPr="000C6977">
        <w:rPr>
          <w:b/>
        </w:rPr>
        <w:t>Lietuvoje veikiančių bankų tvarumo politikos tyrimo ataskaita</w:t>
      </w:r>
    </w:p>
    <w:p w:rsidR="000C6977" w:rsidRPr="000C6977" w:rsidRDefault="000C6977" w:rsidP="000C6977">
      <w:pPr>
        <w:pStyle w:val="normal0"/>
        <w:rPr>
          <w:sz w:val="36"/>
          <w:szCs w:val="52"/>
        </w:rPr>
      </w:pPr>
      <w:r w:rsidRPr="000C6977">
        <w:rPr>
          <w:sz w:val="36"/>
          <w:szCs w:val="52"/>
        </w:rPr>
        <w:t>2021 m. gruodis</w:t>
      </w:r>
    </w:p>
    <w:p w:rsidR="007B6E0A" w:rsidRDefault="007B6E0A">
      <w:pPr>
        <w:pStyle w:val="normal0"/>
      </w:pPr>
    </w:p>
    <w:p w:rsidR="000C6977" w:rsidRDefault="000C6977" w:rsidP="000C6977">
      <w:pPr>
        <w:pStyle w:val="normal0"/>
        <w:jc w:val="right"/>
      </w:pPr>
      <w:bookmarkStart w:id="0" w:name="_q61ljkc3ipql" w:colFirst="0" w:colLast="0"/>
      <w:bookmarkEnd w:id="0"/>
      <w:r>
        <w:t>Vilnius, 2021 m. gruodžio 29 d.</w:t>
      </w:r>
    </w:p>
    <w:p w:rsidR="007B6E0A" w:rsidRDefault="000C6977">
      <w:pPr>
        <w:pStyle w:val="Subtitle"/>
      </w:pPr>
      <w:r>
        <w:t>Įžanga</w:t>
      </w:r>
    </w:p>
    <w:p w:rsidR="007B6E0A" w:rsidRDefault="000C6977">
      <w:pPr>
        <w:pStyle w:val="normal0"/>
      </w:pPr>
      <w:r>
        <w:t>Finansų įstaigos atlieka svarbų vaidmenį siekiant išspręsti socialines ir aplinkosaugines problemas, su kuriomis susiduria žmonija. Pasauliui dorojantis su iššūkiais – tokiais, kaip spartėjanti klimato kaita, sukelta žmogaus ūkinių veiklų, lyčių nelygybė d</w:t>
      </w:r>
      <w:r>
        <w:t>arbo rinkoje, žmogaus teisių pažeidimai bei biologinės įvairovės nykimas – finansinės institucijos gali padėti spręsti šiuos iššūkius ribodamos kapitalo teikimą veikloms, kurios neigiamai veikia aplinką ir visuomenę.</w:t>
      </w:r>
    </w:p>
    <w:p w:rsidR="007B6E0A" w:rsidRDefault="007B6E0A">
      <w:pPr>
        <w:pStyle w:val="normal0"/>
      </w:pPr>
    </w:p>
    <w:p w:rsidR="007B6E0A" w:rsidRDefault="000C6977">
      <w:pPr>
        <w:pStyle w:val="normal0"/>
      </w:pPr>
      <w:r>
        <w:t>Nevyriausybinės organizacijos kritikuo</w:t>
      </w:r>
      <w:r>
        <w:t>ja finansų institucijas už jų atsainų požiūrį į globalias problemas bei perdėtą orientavimąsi į pelno siekimą, ignoruojant ekologines bei socialines problemas. Lietuva – ne išimtis. Vartotojams atstovaujanti nevyriausybinė organizacija Vartotojų aljansas t</w:t>
      </w:r>
      <w:r>
        <w:t>aip pat ėmėsi iniciatyvos skatinti bankus ir kitas finansų sektoriaus institucijas pertvarkyti savo veiklą ir orientuotis ne vien į perdėtą pelno siekimą, bet skirti esminį dėmesį socialiai atsakingam finansų valdymui.</w:t>
      </w:r>
    </w:p>
    <w:p w:rsidR="007B6E0A" w:rsidRDefault="007B6E0A">
      <w:pPr>
        <w:pStyle w:val="normal0"/>
        <w:rPr>
          <w:shd w:val="clear" w:color="auto" w:fill="E8EAED"/>
        </w:rPr>
      </w:pPr>
    </w:p>
    <w:p w:rsidR="007B6E0A" w:rsidRDefault="000C6977">
      <w:pPr>
        <w:pStyle w:val="normal0"/>
        <w:rPr>
          <w:highlight w:val="white"/>
        </w:rPr>
      </w:pPr>
      <w:r>
        <w:rPr>
          <w:highlight w:val="white"/>
        </w:rPr>
        <w:t>Vartotojų aljansas ir globalus „</w:t>
      </w:r>
      <w:proofErr w:type="spellStart"/>
      <w:r>
        <w:rPr>
          <w:highlight w:val="white"/>
        </w:rPr>
        <w:t>Fair</w:t>
      </w:r>
      <w:proofErr w:type="spellEnd"/>
      <w:r>
        <w:rPr>
          <w:highlight w:val="white"/>
        </w:rPr>
        <w:t xml:space="preserve"> </w:t>
      </w:r>
      <w:proofErr w:type="spellStart"/>
      <w:r>
        <w:rPr>
          <w:highlight w:val="white"/>
        </w:rPr>
        <w:t>Finance</w:t>
      </w:r>
      <w:proofErr w:type="spellEnd"/>
      <w:r>
        <w:rPr>
          <w:highlight w:val="white"/>
        </w:rPr>
        <w:t xml:space="preserve"> </w:t>
      </w:r>
      <w:proofErr w:type="spellStart"/>
      <w:r>
        <w:rPr>
          <w:highlight w:val="white"/>
        </w:rPr>
        <w:t>International</w:t>
      </w:r>
      <w:proofErr w:type="spellEnd"/>
      <w:r>
        <w:rPr>
          <w:highlight w:val="white"/>
        </w:rPr>
        <w:t>“ tinklas (</w:t>
      </w:r>
      <w:hyperlink r:id="rId6">
        <w:r>
          <w:rPr>
            <w:color w:val="1155CC"/>
            <w:highlight w:val="white"/>
            <w:u w:val="single"/>
          </w:rPr>
          <w:t>https://fairfinanceguide.org/ff-international/home/</w:t>
        </w:r>
      </w:hyperlink>
      <w:r>
        <w:rPr>
          <w:highlight w:val="white"/>
        </w:rPr>
        <w:t>) skatina bankus stabdyti finansavimą įmonėms, kurios prisideda prie neigiamo poveikio aplinkai didinim</w:t>
      </w:r>
      <w:r>
        <w:rPr>
          <w:highlight w:val="white"/>
        </w:rPr>
        <w:t xml:space="preserve">o, ar kitų socialinių problemų kūrimo. Todėl Vartotojų aljansas pradėjo SURF (angl. </w:t>
      </w:r>
      <w:proofErr w:type="spellStart"/>
      <w:r>
        <w:rPr>
          <w:highlight w:val="white"/>
        </w:rPr>
        <w:t>Raising</w:t>
      </w:r>
      <w:proofErr w:type="spellEnd"/>
      <w:r>
        <w:rPr>
          <w:highlight w:val="white"/>
        </w:rPr>
        <w:t xml:space="preserve"> </w:t>
      </w:r>
      <w:proofErr w:type="spellStart"/>
      <w:r>
        <w:rPr>
          <w:highlight w:val="white"/>
        </w:rPr>
        <w:t>Consumer</w:t>
      </w:r>
      <w:proofErr w:type="spellEnd"/>
      <w:r>
        <w:rPr>
          <w:highlight w:val="white"/>
        </w:rPr>
        <w:t xml:space="preserve"> </w:t>
      </w:r>
      <w:proofErr w:type="spellStart"/>
      <w:r>
        <w:rPr>
          <w:highlight w:val="white"/>
        </w:rPr>
        <w:t>Awareness</w:t>
      </w:r>
      <w:proofErr w:type="spellEnd"/>
      <w:r>
        <w:rPr>
          <w:highlight w:val="white"/>
        </w:rPr>
        <w:t xml:space="preserve"> </w:t>
      </w:r>
      <w:proofErr w:type="spellStart"/>
      <w:r>
        <w:rPr>
          <w:highlight w:val="white"/>
        </w:rPr>
        <w:t>towards</w:t>
      </w:r>
      <w:proofErr w:type="spellEnd"/>
      <w:r>
        <w:rPr>
          <w:highlight w:val="white"/>
        </w:rPr>
        <w:t xml:space="preserve"> </w:t>
      </w:r>
      <w:proofErr w:type="spellStart"/>
      <w:r>
        <w:rPr>
          <w:highlight w:val="white"/>
        </w:rPr>
        <w:t>SUstainability</w:t>
      </w:r>
      <w:proofErr w:type="spellEnd"/>
      <w:r>
        <w:rPr>
          <w:highlight w:val="white"/>
        </w:rPr>
        <w:t xml:space="preserve"> </w:t>
      </w:r>
      <w:proofErr w:type="spellStart"/>
      <w:r>
        <w:rPr>
          <w:highlight w:val="white"/>
        </w:rPr>
        <w:t>in</w:t>
      </w:r>
      <w:proofErr w:type="spellEnd"/>
      <w:r>
        <w:rPr>
          <w:highlight w:val="white"/>
        </w:rPr>
        <w:t xml:space="preserve"> </w:t>
      </w:r>
      <w:proofErr w:type="spellStart"/>
      <w:r>
        <w:rPr>
          <w:highlight w:val="white"/>
        </w:rPr>
        <w:t>Retail</w:t>
      </w:r>
      <w:proofErr w:type="spellEnd"/>
      <w:r>
        <w:rPr>
          <w:highlight w:val="white"/>
        </w:rPr>
        <w:t xml:space="preserve"> </w:t>
      </w:r>
      <w:proofErr w:type="spellStart"/>
      <w:r>
        <w:rPr>
          <w:highlight w:val="white"/>
        </w:rPr>
        <w:t>Finance</w:t>
      </w:r>
      <w:proofErr w:type="spellEnd"/>
      <w:r>
        <w:rPr>
          <w:highlight w:val="white"/>
        </w:rPr>
        <w:t>) projektą, pritaikė tarptautinę „</w:t>
      </w:r>
      <w:proofErr w:type="spellStart"/>
      <w:r>
        <w:rPr>
          <w:highlight w:val="white"/>
        </w:rPr>
        <w:t>Fair</w:t>
      </w:r>
      <w:proofErr w:type="spellEnd"/>
      <w:r>
        <w:rPr>
          <w:highlight w:val="white"/>
        </w:rPr>
        <w:t xml:space="preserve"> </w:t>
      </w:r>
      <w:proofErr w:type="spellStart"/>
      <w:r>
        <w:rPr>
          <w:highlight w:val="white"/>
        </w:rPr>
        <w:t>Finance</w:t>
      </w:r>
      <w:proofErr w:type="spellEnd"/>
      <w:r>
        <w:rPr>
          <w:highlight w:val="white"/>
        </w:rPr>
        <w:t xml:space="preserve"> </w:t>
      </w:r>
      <w:proofErr w:type="spellStart"/>
      <w:r>
        <w:rPr>
          <w:highlight w:val="white"/>
        </w:rPr>
        <w:t>Guide</w:t>
      </w:r>
      <w:proofErr w:type="spellEnd"/>
      <w:r>
        <w:rPr>
          <w:highlight w:val="white"/>
        </w:rPr>
        <w:t xml:space="preserve"> </w:t>
      </w:r>
      <w:proofErr w:type="spellStart"/>
      <w:r>
        <w:rPr>
          <w:highlight w:val="white"/>
        </w:rPr>
        <w:t>International</w:t>
      </w:r>
      <w:proofErr w:type="spellEnd"/>
      <w:r>
        <w:rPr>
          <w:highlight w:val="white"/>
        </w:rPr>
        <w:t>“ (FFGI) metodologiją ir įvertino didži</w:t>
      </w:r>
      <w:r>
        <w:rPr>
          <w:highlight w:val="white"/>
        </w:rPr>
        <w:t>ausių Lietuvoje veikiančių bankų darnaus ir socialiai atsakingo vystymosi politiką.</w:t>
      </w:r>
    </w:p>
    <w:p w:rsidR="007B6E0A" w:rsidRDefault="007B6E0A">
      <w:pPr>
        <w:pStyle w:val="normal0"/>
        <w:rPr>
          <w:highlight w:val="white"/>
        </w:rPr>
      </w:pPr>
    </w:p>
    <w:p w:rsidR="007B6E0A" w:rsidRDefault="000C6977">
      <w:pPr>
        <w:pStyle w:val="normal0"/>
        <w:rPr>
          <w:highlight w:val="white"/>
        </w:rPr>
      </w:pPr>
      <w:r>
        <w:rPr>
          <w:highlight w:val="white"/>
        </w:rPr>
        <w:t>Vartotojų aljansas – tai 2012 m. septynių vartotojų organizacijų įkurtas, o dabar jau per dešimtį nevyriausybinių organizacijų buriantis susivienijimas, į kurį įeina Asmen</w:t>
      </w:r>
      <w:r>
        <w:rPr>
          <w:highlight w:val="white"/>
        </w:rPr>
        <w:t>s privatumo gynimo ir duomenų apsaugos asociacija, asociacija „Už sąžiningą bankininkystę“, Draudėjų asociacija, Finansų ir kreditų valdymo asociacija, Lietuvos bankų klientų asociacija, Lietuvos gyventojų patarėjų sąjunga, Lietuvos vartotojų asociacija, L</w:t>
      </w:r>
      <w:r>
        <w:rPr>
          <w:highlight w:val="white"/>
        </w:rPr>
        <w:t>ietuvos vartotojų sąjunga, Vartotojų teisių gynimo centras, Vartotojų teisių institutas ir viešoji įstaiga „Žiedinė ekonomika“.</w:t>
      </w:r>
    </w:p>
    <w:p w:rsidR="007B6E0A" w:rsidRDefault="007B6E0A">
      <w:pPr>
        <w:pStyle w:val="normal0"/>
        <w:rPr>
          <w:highlight w:val="white"/>
        </w:rPr>
      </w:pPr>
    </w:p>
    <w:p w:rsidR="007B6E0A" w:rsidRDefault="000C6977">
      <w:pPr>
        <w:pStyle w:val="normal0"/>
        <w:rPr>
          <w:highlight w:val="white"/>
        </w:rPr>
      </w:pPr>
      <w:r>
        <w:rPr>
          <w:highlight w:val="white"/>
        </w:rPr>
        <w:t>„</w:t>
      </w:r>
      <w:proofErr w:type="spellStart"/>
      <w:r>
        <w:rPr>
          <w:highlight w:val="white"/>
        </w:rPr>
        <w:t>Fair</w:t>
      </w:r>
      <w:proofErr w:type="spellEnd"/>
      <w:r>
        <w:rPr>
          <w:highlight w:val="white"/>
        </w:rPr>
        <w:t xml:space="preserve"> </w:t>
      </w:r>
      <w:proofErr w:type="spellStart"/>
      <w:r>
        <w:rPr>
          <w:highlight w:val="white"/>
        </w:rPr>
        <w:t>Finance</w:t>
      </w:r>
      <w:proofErr w:type="spellEnd"/>
      <w:r>
        <w:rPr>
          <w:highlight w:val="white"/>
        </w:rPr>
        <w:t xml:space="preserve"> </w:t>
      </w:r>
      <w:proofErr w:type="spellStart"/>
      <w:r>
        <w:rPr>
          <w:highlight w:val="white"/>
        </w:rPr>
        <w:t>International</w:t>
      </w:r>
      <w:proofErr w:type="spellEnd"/>
      <w:r>
        <w:rPr>
          <w:highlight w:val="white"/>
        </w:rPr>
        <w:t>“ tinklas reitinguoja ir palygina pirmaujančius kiekvienos šalies bankus pagal aplinkos, socialinius</w:t>
      </w:r>
      <w:r>
        <w:rPr>
          <w:highlight w:val="white"/>
        </w:rPr>
        <w:t xml:space="preserve"> ir valdymo kriterijus. Šis tinklas veiklą pradėjo 2014 m., jį </w:t>
      </w:r>
      <w:r>
        <w:rPr>
          <w:highlight w:val="white"/>
        </w:rPr>
        <w:lastRenderedPageBreak/>
        <w:t>sudaro pilietinės visuomenės organizacijų koalicijos Europoje (Belgijoje, Prancūzijoje, Vokietijoje, Nyderlanduose, Norvegijoje bei Švedijoje) ir kitose pasaulio šalyse (Brazilijoje, Kambodžoje</w:t>
      </w:r>
      <w:r>
        <w:rPr>
          <w:highlight w:val="white"/>
        </w:rPr>
        <w:t>, Indijoje, Japonijoje, Tailande, Filipinuose, Vietname). Kiekvienoje šalyje koalicijos yra įvertinusios jų šalyse veikiančius bankus pagal FFGI metodologiją ir sukūrusios internetines svetaines, kuriose vartotojai ir kitos suinteresuotos šalys palyginti s</w:t>
      </w:r>
      <w:r>
        <w:rPr>
          <w:highlight w:val="white"/>
        </w:rPr>
        <w:t xml:space="preserve">avo šalių finansų įstaigas pagal įvairias socialines bei ekologines temas. Be to, koalicijos nariai reguliariai skelbia tyrimus konkrečiomis tvarumo temomis ir atskirų atvejų analizes, bandydami įvertinti, ar ir kaip finansų įstaigos realiai taiko tvarumo </w:t>
      </w:r>
      <w:r>
        <w:rPr>
          <w:highlight w:val="white"/>
        </w:rPr>
        <w:t>kriterijus savo kasdieninėje praktikoje, o ne vien tik deklaruoja besilaikančios tvarumo.</w:t>
      </w:r>
    </w:p>
    <w:p w:rsidR="007B6E0A" w:rsidRDefault="007B6E0A">
      <w:pPr>
        <w:pStyle w:val="normal0"/>
      </w:pPr>
    </w:p>
    <w:p w:rsidR="007B6E0A" w:rsidRDefault="000C6977">
      <w:pPr>
        <w:pStyle w:val="normal0"/>
      </w:pPr>
      <w:r>
        <w:t>Lietuvoje pirmasis „</w:t>
      </w:r>
      <w:proofErr w:type="spellStart"/>
      <w:r>
        <w:t>Fair</w:t>
      </w:r>
      <w:proofErr w:type="spellEnd"/>
      <w:r>
        <w:t xml:space="preserve"> </w:t>
      </w:r>
      <w:proofErr w:type="spellStart"/>
      <w:r>
        <w:t>Finance</w:t>
      </w:r>
      <w:proofErr w:type="spellEnd"/>
      <w:r>
        <w:t xml:space="preserve"> </w:t>
      </w:r>
      <w:proofErr w:type="spellStart"/>
      <w:r>
        <w:t>International</w:t>
      </w:r>
      <w:proofErr w:type="spellEnd"/>
      <w:r>
        <w:t xml:space="preserve">“ </w:t>
      </w:r>
      <w:hyperlink r:id="rId7">
        <w:r>
          <w:rPr>
            <w:color w:val="1155CC"/>
            <w:u w:val="single"/>
          </w:rPr>
          <w:t>metodologija</w:t>
        </w:r>
      </w:hyperlink>
      <w:r>
        <w:t xml:space="preserve"> paremtas tyrimas jau buvo skelbtas 2021 metų liepos mėnesį. Antrasis, atnaujintas tyrimas buvo atliktas po pusės metų siekiant išsiaiškinti, ar bankai patobulėjo anksčiau tiriamose srityse bei kokia bankų situacija yra keturiose </w:t>
      </w:r>
      <w:r>
        <w:t>naujose temose (žiūrėti metodologijos skiltį). Vartotojų aljanso specialiai šiam tyrimui surinkta komanda buvo apmokyta tyrimų instituto „</w:t>
      </w:r>
      <w:proofErr w:type="spellStart"/>
      <w:r>
        <w:t>Profundo</w:t>
      </w:r>
      <w:proofErr w:type="spellEnd"/>
      <w:r>
        <w:t xml:space="preserve">“ specialistų iš Nyderlandų, kurie sukūrė metodologiją ir bankų </w:t>
      </w:r>
      <w:proofErr w:type="spellStart"/>
      <w:r>
        <w:t>reitingavimo</w:t>
      </w:r>
      <w:proofErr w:type="spellEnd"/>
      <w:r>
        <w:t xml:space="preserve"> sistemą „</w:t>
      </w:r>
      <w:proofErr w:type="spellStart"/>
      <w:r>
        <w:t>Fair</w:t>
      </w:r>
      <w:proofErr w:type="spellEnd"/>
      <w:r>
        <w:t xml:space="preserve"> </w:t>
      </w:r>
      <w:proofErr w:type="spellStart"/>
      <w:r>
        <w:t>Finance</w:t>
      </w:r>
      <w:proofErr w:type="spellEnd"/>
      <w:r>
        <w:t xml:space="preserve"> </w:t>
      </w:r>
      <w:proofErr w:type="spellStart"/>
      <w:r>
        <w:t>Internation</w:t>
      </w:r>
      <w:r>
        <w:t>al</w:t>
      </w:r>
      <w:proofErr w:type="spellEnd"/>
      <w:r>
        <w:t>“ tinklui. Tyrimu tikimasi paskatinti Lietuvoje veikiančius bankus atlikti tvaresnes finansines operacijas, siekiant sumažinti neigiamą finansinio sektoriaus poveikį aplinkai ir visuomenei.</w:t>
      </w:r>
    </w:p>
    <w:p w:rsidR="007B6E0A" w:rsidRDefault="007B6E0A">
      <w:pPr>
        <w:pStyle w:val="normal0"/>
      </w:pPr>
    </w:p>
    <w:p w:rsidR="007B6E0A" w:rsidRDefault="000C6977">
      <w:pPr>
        <w:pStyle w:val="normal0"/>
        <w:rPr>
          <w:shd w:val="clear" w:color="auto" w:fill="303134"/>
        </w:rPr>
      </w:pPr>
      <w:r>
        <w:rPr>
          <w:highlight w:val="white"/>
        </w:rPr>
        <w:t>Tyrimas remiasi detalia metodologija, kuri yra paremta net 422</w:t>
      </w:r>
      <w:r>
        <w:rPr>
          <w:highlight w:val="white"/>
        </w:rPr>
        <w:t xml:space="preserve"> tarptautiniais standartais, vertinimo kriterijais bei direktyvomis. Bendresne prasme, tyrimo tikslas yra skatinti finansines institucijas didinti dėmesį socialinei atsakomybei tiek bankų vidinėje veikloje, tiek investuojant bei finansuojant kitas įmones (</w:t>
      </w:r>
      <w:r>
        <w:rPr>
          <w:highlight w:val="white"/>
        </w:rPr>
        <w:t xml:space="preserve">savo klientus). Socialinės atsakomybės rekomendacijų standartas ISO 26000:2010 socialinę atsakomybę apibrėžia kaip </w:t>
      </w:r>
      <w:r>
        <w:t>„</w:t>
      </w:r>
      <w:r>
        <w:rPr>
          <w:highlight w:val="white"/>
        </w:rPr>
        <w:t>organizacijos atsakomybę už savo sprendimų poveikį ir su visuomene ir aplinka susijusią veiklą per skaidrų ir etišką elgesį prisidedant prie</w:t>
      </w:r>
      <w:r>
        <w:rPr>
          <w:highlight w:val="white"/>
        </w:rPr>
        <w:t xml:space="preserve"> tvaraus vystymosi, įskaitant sveikatą ir visuomenės gerovę, atsižvelgiant į suinteresuotų šalių lūkesčius bei veiklą, kuri atitinka galiojančius įstatymus ir tarptautines etiško elgesio praktikas. Tokios veiklos yra praktikuojamos visoje organizacijoje ir</w:t>
      </w:r>
      <w:r>
        <w:rPr>
          <w:highlight w:val="white"/>
        </w:rPr>
        <w:t xml:space="preserve"> jos santykiuose su kitomis organizacijomis bei suinteresuotais asmenimis</w:t>
      </w:r>
      <w:r>
        <w:t>“</w:t>
      </w:r>
      <w:r>
        <w:rPr>
          <w:highlight w:val="white"/>
        </w:rPr>
        <w:t>. (ISO 2010)</w:t>
      </w:r>
    </w:p>
    <w:p w:rsidR="007B6E0A" w:rsidRDefault="007B6E0A">
      <w:pPr>
        <w:pStyle w:val="normal0"/>
        <w:rPr>
          <w:color w:val="E8EAED"/>
          <w:sz w:val="42"/>
          <w:szCs w:val="42"/>
          <w:shd w:val="clear" w:color="auto" w:fill="303134"/>
        </w:rPr>
      </w:pPr>
    </w:p>
    <w:p w:rsidR="007B6E0A" w:rsidRDefault="000C6977">
      <w:pPr>
        <w:pStyle w:val="Subtitle"/>
      </w:pPr>
      <w:bookmarkStart w:id="1" w:name="_4hetolm8f2s5" w:colFirst="0" w:colLast="0"/>
      <w:bookmarkEnd w:id="1"/>
      <w:r>
        <w:t>Tyrimo tikslas ir uždaviniai</w:t>
      </w:r>
    </w:p>
    <w:p w:rsidR="007B6E0A" w:rsidRDefault="000C6977">
      <w:pPr>
        <w:pStyle w:val="normal0"/>
      </w:pPr>
      <w:r>
        <w:t>Šio tyrimo tikslas – įvertinti Lietuvoje veikiančių bankų vykdomą tvarumo politiką ir pateikti gautą informaciją vartotojams.</w:t>
      </w:r>
    </w:p>
    <w:p w:rsidR="007B6E0A" w:rsidRDefault="007B6E0A">
      <w:pPr>
        <w:pStyle w:val="normal0"/>
      </w:pPr>
    </w:p>
    <w:p w:rsidR="007B6E0A" w:rsidRDefault="000C6977">
      <w:pPr>
        <w:pStyle w:val="normal0"/>
      </w:pPr>
      <w:r>
        <w:t>Pagrindinia</w:t>
      </w:r>
      <w:r>
        <w:t>i uždaviniai:</w:t>
      </w:r>
    </w:p>
    <w:p w:rsidR="007B6E0A" w:rsidRDefault="000C6977">
      <w:pPr>
        <w:pStyle w:val="normal0"/>
      </w:pPr>
      <w:r>
        <w:t>1) išanalizuoti bankų teikiamus ir viešai prieinamus finansinius dokumentus bei deklaruojamas politikas;</w:t>
      </w:r>
    </w:p>
    <w:p w:rsidR="007B6E0A" w:rsidRDefault="000C6977">
      <w:pPr>
        <w:pStyle w:val="normal0"/>
      </w:pPr>
      <w:r>
        <w:t>2) išanalizuoti keturias naujas temas;</w:t>
      </w:r>
    </w:p>
    <w:p w:rsidR="007B6E0A" w:rsidRDefault="000C6977">
      <w:pPr>
        <w:pStyle w:val="normal0"/>
      </w:pPr>
      <w:r>
        <w:t>3) įvertinus dokumentus apskaičiuoti kiekvieno banko balą pagal „</w:t>
      </w:r>
      <w:proofErr w:type="spellStart"/>
      <w:r>
        <w:t>Fair</w:t>
      </w:r>
      <w:proofErr w:type="spellEnd"/>
      <w:r>
        <w:t xml:space="preserve"> </w:t>
      </w:r>
      <w:proofErr w:type="spellStart"/>
      <w:r>
        <w:t>Finance</w:t>
      </w:r>
      <w:proofErr w:type="spellEnd"/>
      <w:r>
        <w:t xml:space="preserve"> </w:t>
      </w:r>
      <w:proofErr w:type="spellStart"/>
      <w:r>
        <w:t>International</w:t>
      </w:r>
      <w:proofErr w:type="spellEnd"/>
      <w:r>
        <w:t>“ metod</w:t>
      </w:r>
      <w:r>
        <w:t>ologiją;</w:t>
      </w:r>
    </w:p>
    <w:p w:rsidR="007B6E0A" w:rsidRDefault="000C6977">
      <w:pPr>
        <w:pStyle w:val="normal0"/>
      </w:pPr>
      <w:r>
        <w:t>4) palyginti pirmą ir antrą rezultatus penkiose temose;</w:t>
      </w:r>
    </w:p>
    <w:p w:rsidR="007B6E0A" w:rsidRDefault="000C6977">
      <w:pPr>
        <w:pStyle w:val="normal0"/>
      </w:pPr>
      <w:r>
        <w:t>5) pateikti rekomendacijas bei paskelbti galutinius tyrimo rezultatus.</w:t>
      </w:r>
    </w:p>
    <w:p w:rsidR="007B6E0A" w:rsidRDefault="007B6E0A">
      <w:pPr>
        <w:pStyle w:val="normal0"/>
      </w:pPr>
    </w:p>
    <w:p w:rsidR="007B6E0A" w:rsidRDefault="000C6977">
      <w:pPr>
        <w:pStyle w:val="Subtitle"/>
      </w:pPr>
      <w:bookmarkStart w:id="2" w:name="_scupikza3g6n" w:colFirst="0" w:colLast="0"/>
      <w:bookmarkEnd w:id="2"/>
      <w:r>
        <w:lastRenderedPageBreak/>
        <w:t xml:space="preserve">Tyrimo eiga </w:t>
      </w:r>
    </w:p>
    <w:p w:rsidR="007B6E0A" w:rsidRDefault="000C6977">
      <w:pPr>
        <w:pStyle w:val="normal0"/>
      </w:pPr>
      <w:r>
        <w:t xml:space="preserve">Vertinama tik </w:t>
      </w:r>
      <w:r>
        <w:rPr>
          <w:u w:val="single"/>
        </w:rPr>
        <w:t>viešai prieinama</w:t>
      </w:r>
      <w:r>
        <w:t xml:space="preserve"> informacija apie tvarumo integraciją bankų vidinėje struktūroje bei keliamu</w:t>
      </w:r>
      <w:r>
        <w:t>s reikalavimus finansuojamoms įmonėms. Pirmo tyrimo metu buvo analizuojamos penkios pagrindinės temos: klimato kaita, žmogaus teisės, gamtos apsauga, lyčių lygybė bei darbuotojų teisės. Antro tyrimo metu buvo stebimas šių penkių temų pokytis bei tiriamos d</w:t>
      </w:r>
      <w:r>
        <w:t>ar keturios naujos temos: gyvūnų gerovė, korupcija, mokesčiai, sveikata.</w:t>
      </w:r>
    </w:p>
    <w:p w:rsidR="007B6E0A" w:rsidRDefault="007B6E0A">
      <w:pPr>
        <w:pStyle w:val="normal0"/>
      </w:pPr>
    </w:p>
    <w:p w:rsidR="007B6E0A" w:rsidRDefault="000C6977">
      <w:pPr>
        <w:pStyle w:val="normal0"/>
      </w:pPr>
      <w:r>
        <w:t>Tyrimas vyko trimis etapais:</w:t>
      </w:r>
    </w:p>
    <w:p w:rsidR="007B6E0A" w:rsidRDefault="000C6977">
      <w:pPr>
        <w:pStyle w:val="normal0"/>
      </w:pPr>
      <w:r>
        <w:t>1. Informacijos peržiūrėjimas. Buvo peržiūrėti ir įvertinti kiekvieno banko viešai deklaruojami įsipareigojimai tvarumo srityje.</w:t>
      </w:r>
    </w:p>
    <w:p w:rsidR="007B6E0A" w:rsidRDefault="000C6977">
      <w:pPr>
        <w:pStyle w:val="normal0"/>
      </w:pPr>
      <w:r>
        <w:t xml:space="preserve">2. Rezultatų </w:t>
      </w:r>
      <w:r>
        <w:t>aptarimas su bankais. Gauta informacija buvo pasidalinama su bankais, laukiama grįžtamojo ryšio.</w:t>
      </w:r>
    </w:p>
    <w:p w:rsidR="007B6E0A" w:rsidRDefault="000C6977">
      <w:pPr>
        <w:pStyle w:val="normal0"/>
      </w:pPr>
      <w:r>
        <w:t>3. Rezultatų įvertinimas, atsižvelgiant į bankų pateiktą informaciją. Buvo atliekamas papildomas įvertinimas remiantis informacija, gauta iš bankų po peržiūros</w:t>
      </w:r>
      <w:r>
        <w:t>.</w:t>
      </w:r>
    </w:p>
    <w:p w:rsidR="007B6E0A" w:rsidRPr="000C6977" w:rsidRDefault="007B6E0A">
      <w:pPr>
        <w:pStyle w:val="normal0"/>
        <w:rPr>
          <w:color w:val="E8EAED"/>
          <w:sz w:val="42"/>
          <w:szCs w:val="42"/>
          <w:shd w:val="clear" w:color="auto" w:fill="303134"/>
        </w:rPr>
      </w:pPr>
    </w:p>
    <w:p w:rsidR="007B6E0A" w:rsidRDefault="000C6977">
      <w:pPr>
        <w:pStyle w:val="Subtitle"/>
      </w:pPr>
      <w:bookmarkStart w:id="3" w:name="_29txs6tkgate" w:colFirst="0" w:colLast="0"/>
      <w:bookmarkEnd w:id="3"/>
      <w:r>
        <w:t>Metodologija</w:t>
      </w:r>
    </w:p>
    <w:p w:rsidR="007B6E0A" w:rsidRDefault="000C6977">
      <w:pPr>
        <w:pStyle w:val="normal0"/>
      </w:pPr>
      <w:r>
        <w:t>Šiam tyrimui pasirinkta „</w:t>
      </w:r>
      <w:proofErr w:type="spellStart"/>
      <w:r>
        <w:t>Fair</w:t>
      </w:r>
      <w:proofErr w:type="spellEnd"/>
      <w:r>
        <w:t xml:space="preserve"> </w:t>
      </w:r>
      <w:proofErr w:type="spellStart"/>
      <w:r>
        <w:t>Finance</w:t>
      </w:r>
      <w:proofErr w:type="spellEnd"/>
      <w:r>
        <w:t xml:space="preserve"> </w:t>
      </w:r>
      <w:proofErr w:type="spellStart"/>
      <w:r>
        <w:t>International</w:t>
      </w:r>
      <w:proofErr w:type="spellEnd"/>
      <w:r>
        <w:t xml:space="preserve">“ organizacijos </w:t>
      </w:r>
      <w:hyperlink r:id="rId8">
        <w:r>
          <w:rPr>
            <w:color w:val="1155CC"/>
            <w:u w:val="single"/>
          </w:rPr>
          <w:t>metodologija</w:t>
        </w:r>
      </w:hyperlink>
      <w:r>
        <w:t>, sukurta „</w:t>
      </w:r>
      <w:proofErr w:type="spellStart"/>
      <w:r>
        <w:t>Profundo</w:t>
      </w:r>
      <w:proofErr w:type="spellEnd"/>
      <w:r>
        <w:t>“ tyrimo instituto viešosios politikos ekspertų. „</w:t>
      </w:r>
      <w:proofErr w:type="spellStart"/>
      <w:r>
        <w:t>Fair</w:t>
      </w:r>
      <w:proofErr w:type="spellEnd"/>
      <w:r>
        <w:t xml:space="preserve"> </w:t>
      </w:r>
      <w:proofErr w:type="spellStart"/>
      <w:r>
        <w:t>Finance</w:t>
      </w:r>
      <w:proofErr w:type="spellEnd"/>
      <w:r>
        <w:t xml:space="preserve">“ vienija virš 100 pilietinės visuomenės iniciatyvų ir veikia 13 pasaulio šalių. Ši metodologija vadovaujasi aplinkos, valdysenos ir socialiniais veiksniais (ESG, angl. </w:t>
      </w:r>
      <w:proofErr w:type="spellStart"/>
      <w:r>
        <w:t>Enviro</w:t>
      </w:r>
      <w:r>
        <w:t>nment</w:t>
      </w:r>
      <w:proofErr w:type="spellEnd"/>
      <w:r>
        <w:t xml:space="preserve">, </w:t>
      </w:r>
      <w:proofErr w:type="spellStart"/>
      <w:r>
        <w:t>Social</w:t>
      </w:r>
      <w:proofErr w:type="spellEnd"/>
      <w:r>
        <w:t xml:space="preserve">, </w:t>
      </w:r>
      <w:proofErr w:type="spellStart"/>
      <w:r>
        <w:t>Governance</w:t>
      </w:r>
      <w:proofErr w:type="spellEnd"/>
      <w:r>
        <w:t xml:space="preserve">). Tyrimas analizuoja devynias plataus spektro (angl. </w:t>
      </w:r>
      <w:proofErr w:type="spellStart"/>
      <w:r>
        <w:t>crosscutting</w:t>
      </w:r>
      <w:proofErr w:type="spellEnd"/>
      <w:r>
        <w:t>) temas: gamtos apsauga, žmogaus teisės, darbuotojų teisės, klimato kaita, lyčių lygybė, gyvūnų gerovė, sveikata, mokesčiai, korupcija. Tyrime buvo įvertinti šeši di</w:t>
      </w:r>
      <w:r>
        <w:t>džiausi Lietuvoje veikiantys komerciniai bankai: Šiaulių bankas, Medicinos bankas, „</w:t>
      </w:r>
      <w:proofErr w:type="spellStart"/>
      <w:r>
        <w:t>Luminor</w:t>
      </w:r>
      <w:proofErr w:type="spellEnd"/>
      <w:r>
        <w:t>“, „Citadele“, „</w:t>
      </w:r>
      <w:proofErr w:type="spellStart"/>
      <w:r>
        <w:t>Swedbank</w:t>
      </w:r>
      <w:proofErr w:type="spellEnd"/>
      <w:r>
        <w:t xml:space="preserve">“ ir SEB. Atsižvelgiant į metodologiją, tyrimui buvo naudojama </w:t>
      </w:r>
      <w:r>
        <w:rPr>
          <w:u w:val="single"/>
        </w:rPr>
        <w:t>tik viešai prieinama informacija</w:t>
      </w:r>
      <w:r>
        <w:t>.</w:t>
      </w:r>
    </w:p>
    <w:p w:rsidR="007B6E0A" w:rsidRDefault="007B6E0A">
      <w:pPr>
        <w:pStyle w:val="normal0"/>
      </w:pPr>
    </w:p>
    <w:p w:rsidR="007B6E0A" w:rsidRDefault="000C6977">
      <w:pPr>
        <w:pStyle w:val="normal0"/>
      </w:pPr>
      <w:r>
        <w:t>Rezultatai buvo vertinami dešimties balų s</w:t>
      </w:r>
      <w:r>
        <w:t xml:space="preserve">kalėje </w:t>
      </w:r>
      <w:r>
        <w:rPr>
          <w:highlight w:val="white"/>
        </w:rPr>
        <w:t xml:space="preserve">– </w:t>
      </w:r>
      <w:r>
        <w:t>kuo didesnis balas, tuo daugiau dėmesio banko veikloje skiriama atitinkamai temai. „0“ reiškia, kad bankas pateikė duomenis, bet tie duomenys nėra pakankami suteikti bankui balą už jo pastangas toje srityje; nulis gali taip pat reikšti, kad duomen</w:t>
      </w:r>
      <w:r>
        <w:t>ys nebuvo apskritai pateikti. Pagal tyrimo metodologiją, bankai balus gauna atsižvelgiant į jų viešosios politikos turinį bei politikos apimtį. Pavyzdžiui, jei bankas savo viešojoje politikoje pateikia informaciją, atitinkančią tyrimo kriterijus, jam jau y</w:t>
      </w:r>
      <w:r>
        <w:t>ra skiriama 50 proc. pilno balo. Jei banko pateikta vieša politika yra taikoma konkrečiose banko veiklos srityse (įmonių kreditai, projektų finansavimas, banko turto valdymas, klientų turto valdymas), už kiekvieną tokią veiklą bankas papildomai gauna dar p</w:t>
      </w:r>
      <w:r>
        <w:t>o aštuntadalį balo.</w:t>
      </w:r>
    </w:p>
    <w:p w:rsidR="007B6E0A" w:rsidRPr="000C6977" w:rsidRDefault="007B6E0A">
      <w:pPr>
        <w:pStyle w:val="normal0"/>
        <w:rPr>
          <w:color w:val="E8EAED"/>
          <w:sz w:val="42"/>
          <w:szCs w:val="42"/>
          <w:shd w:val="clear" w:color="auto" w:fill="303134"/>
        </w:rPr>
      </w:pPr>
    </w:p>
    <w:p w:rsidR="007B6E0A" w:rsidRDefault="000C6977">
      <w:pPr>
        <w:pStyle w:val="Subtitle"/>
      </w:pPr>
      <w:bookmarkStart w:id="4" w:name="_ql4r0rx65weq" w:colFirst="0" w:colLast="0"/>
      <w:bookmarkEnd w:id="4"/>
      <w:r>
        <w:t>Iššūkiai</w:t>
      </w:r>
    </w:p>
    <w:p w:rsidR="007B6E0A" w:rsidRDefault="000C6977">
      <w:pPr>
        <w:pStyle w:val="normal0"/>
      </w:pPr>
      <w:r>
        <w:t>Pirmojo tyrimo metu buvo susidurta su pora iššūkių: informacijos stoka ir bankų vengimas pateikti informaciją. Informacija kelių bankų (Medicinos bankas, „Citadele“, Šiaulių bankas, „</w:t>
      </w:r>
      <w:proofErr w:type="spellStart"/>
      <w:r>
        <w:t>Luminor</w:t>
      </w:r>
      <w:proofErr w:type="spellEnd"/>
      <w:r>
        <w:t>“) interneto svetainėse buvo ribota</w:t>
      </w:r>
      <w:r>
        <w:t xml:space="preserve">. Pradėjus tyrimą, buvo analizuojamos 2019 metų metinės ataskaitos bei kita naujausia viešai skelbiama informacija, tačiau, gavus atsakymą iš </w:t>
      </w:r>
      <w:r>
        <w:lastRenderedPageBreak/>
        <w:t>bankų, buvo įtraukta ir informacija iš naujausių metinių ataskaitų. Kai kurie bankai informavo tyrimo komandą, kad</w:t>
      </w:r>
      <w:r>
        <w:t xml:space="preserve"> su tyrimu susijusi informacija bus pateikiama vėliau („</w:t>
      </w:r>
      <w:proofErr w:type="spellStart"/>
      <w:r>
        <w:t>Luminor</w:t>
      </w:r>
      <w:proofErr w:type="spellEnd"/>
      <w:r>
        <w:t>“). Kitas iškilęs apribojimas – nepakankamai išsamūs atsakymai iš bankų. Laiku atsakymus pateikė „</w:t>
      </w:r>
      <w:proofErr w:type="spellStart"/>
      <w:r>
        <w:t>Swedbank</w:t>
      </w:r>
      <w:proofErr w:type="spellEnd"/>
      <w:r>
        <w:t>“, SEB bankas, Šiaulių bankas ir Medicinos bankas. „</w:t>
      </w:r>
      <w:proofErr w:type="spellStart"/>
      <w:r>
        <w:t>Luminor</w:t>
      </w:r>
      <w:proofErr w:type="spellEnd"/>
      <w:r>
        <w:t>“ atsakymus dėl objektyvių p</w:t>
      </w:r>
      <w:r>
        <w:t>riežasčių pateikė šiek tiek vėliau. „Citadele“ komentaro nepateikė dėl laiko atsakymui stokos.</w:t>
      </w:r>
    </w:p>
    <w:p w:rsidR="007B6E0A" w:rsidRDefault="007B6E0A">
      <w:pPr>
        <w:pStyle w:val="normal0"/>
      </w:pPr>
    </w:p>
    <w:p w:rsidR="007B6E0A" w:rsidRDefault="000C6977">
      <w:pPr>
        <w:pStyle w:val="normal0"/>
      </w:pPr>
      <w:r>
        <w:t>Antrojo tyrimo metu šie iššūkiai smarkiai sumažėjo. Nors kai kurie atsakymai nebuvo išsamūs (Medicinos bankas), atsakymus bei tyrimo rezultatų komentarus gavome</w:t>
      </w:r>
      <w:r>
        <w:t xml:space="preserve"> iš visų tyrime dalyvavusių bankų. Be papildomos informacijos ir komentarų, bankų atstovai taip pat pateikė vidaus politikas, kurios nepatenka į šio tyrimo apimtį, todėl nebuvo papildomai vertinamos. Antrojo – 2021 m. gruodžio – tyrimo metu išanalizuoti 20</w:t>
      </w:r>
      <w:r>
        <w:t>20 ir 2021 metų dokumentai bei politikos.</w:t>
      </w:r>
    </w:p>
    <w:p w:rsidR="007B6E0A" w:rsidRPr="000C6977" w:rsidRDefault="007B6E0A">
      <w:pPr>
        <w:pStyle w:val="normal0"/>
        <w:rPr>
          <w:color w:val="E8EAED"/>
          <w:sz w:val="42"/>
          <w:szCs w:val="42"/>
          <w:shd w:val="clear" w:color="auto" w:fill="303134"/>
        </w:rPr>
      </w:pPr>
    </w:p>
    <w:p w:rsidR="007B6E0A" w:rsidRDefault="000C6977">
      <w:pPr>
        <w:pStyle w:val="Subtitle"/>
      </w:pPr>
      <w:bookmarkStart w:id="5" w:name="_5qlhjs19533v" w:colFirst="0" w:colLast="0"/>
      <w:bookmarkEnd w:id="5"/>
      <w:r>
        <w:t>Rezultatai</w:t>
      </w:r>
    </w:p>
    <w:p w:rsidR="007B6E0A" w:rsidRDefault="000C6977">
      <w:pPr>
        <w:pStyle w:val="normal0"/>
      </w:pPr>
      <w:r>
        <w:t>Žemiau nurodyti tyrimo rezultatai. Pirmoje lentelėje nurodomi galutiniai tyrimo rezultatai devyniose temose. Antroje lentelėje nurodomi pirmojo (liepos mėnesio) ir antrojo (gruodžio mėnesio) tyrimo re</w:t>
      </w:r>
      <w:r>
        <w:t>zultatai penkiose temose bei pastebimas pokytis dėl atnaujintų dokumentų.</w:t>
      </w:r>
    </w:p>
    <w:p w:rsidR="007B6E0A" w:rsidRDefault="007B6E0A">
      <w:pPr>
        <w:pStyle w:val="normal0"/>
      </w:pPr>
    </w:p>
    <w:p w:rsidR="007B6E0A" w:rsidRDefault="007B6E0A">
      <w:pPr>
        <w:pStyle w:val="normal0"/>
      </w:pPr>
    </w:p>
    <w:tbl>
      <w:tblPr>
        <w:tblStyle w:val="a"/>
        <w:tblW w:w="7920" w:type="dxa"/>
        <w:tblInd w:w="-60" w:type="dxa"/>
        <w:tblBorders>
          <w:top w:val="single" w:sz="4" w:space="0" w:color="303134"/>
          <w:left w:val="single" w:sz="4" w:space="0" w:color="303134"/>
          <w:bottom w:val="single" w:sz="4" w:space="0" w:color="303134"/>
          <w:right w:val="single" w:sz="4" w:space="0" w:color="303134"/>
          <w:insideH w:val="single" w:sz="4" w:space="0" w:color="303134"/>
          <w:insideV w:val="single" w:sz="4" w:space="0" w:color="303134"/>
        </w:tblBorders>
        <w:tblLayout w:type="fixed"/>
        <w:tblLook w:val="0600"/>
      </w:tblPr>
      <w:tblGrid>
        <w:gridCol w:w="1725"/>
        <w:gridCol w:w="960"/>
        <w:gridCol w:w="1020"/>
        <w:gridCol w:w="1185"/>
        <w:gridCol w:w="840"/>
        <w:gridCol w:w="1260"/>
        <w:gridCol w:w="930"/>
      </w:tblGrid>
      <w:tr w:rsidR="007B6E0A">
        <w:trPr>
          <w:trHeight w:val="615"/>
        </w:trPr>
        <w:tc>
          <w:tcPr>
            <w:tcW w:w="1725" w:type="dxa"/>
            <w:tcBorders>
              <w:top w:val="single" w:sz="4" w:space="0" w:color="303134"/>
              <w:left w:val="single" w:sz="4" w:space="0" w:color="303134"/>
              <w:bottom w:val="single" w:sz="4" w:space="0" w:color="303134"/>
              <w:right w:val="single" w:sz="4" w:space="0" w:color="303134"/>
            </w:tcBorders>
            <w:shd w:val="clear" w:color="auto" w:fill="E8EAED"/>
            <w:tcMar>
              <w:top w:w="40" w:type="dxa"/>
              <w:left w:w="40" w:type="dxa"/>
              <w:bottom w:w="40" w:type="dxa"/>
              <w:right w:w="40" w:type="dxa"/>
            </w:tcMar>
            <w:vAlign w:val="bottom"/>
          </w:tcPr>
          <w:p w:rsidR="007B6E0A" w:rsidRDefault="007B6E0A">
            <w:pPr>
              <w:pStyle w:val="normal0"/>
              <w:widowControl w:val="0"/>
              <w:pBdr>
                <w:top w:val="nil"/>
                <w:left w:val="nil"/>
                <w:bottom w:val="nil"/>
                <w:right w:val="nil"/>
                <w:between w:val="nil"/>
              </w:pBdr>
              <w:spacing w:line="240" w:lineRule="auto"/>
            </w:pPr>
          </w:p>
        </w:tc>
        <w:tc>
          <w:tcPr>
            <w:tcW w:w="960" w:type="dxa"/>
            <w:tcBorders>
              <w:top w:val="single" w:sz="4" w:space="0" w:color="303134"/>
              <w:left w:val="single" w:sz="4" w:space="0" w:color="303134"/>
              <w:bottom w:val="single" w:sz="4" w:space="0" w:color="303134"/>
              <w:right w:val="single" w:sz="4" w:space="0" w:color="303134"/>
            </w:tcBorders>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rPr>
                <w:b/>
              </w:rPr>
            </w:pPr>
            <w:r>
              <w:rPr>
                <w:b/>
              </w:rPr>
              <w:t>Citadele</w:t>
            </w:r>
          </w:p>
        </w:tc>
        <w:tc>
          <w:tcPr>
            <w:tcW w:w="1020" w:type="dxa"/>
            <w:tcBorders>
              <w:top w:val="single" w:sz="4" w:space="0" w:color="303134"/>
              <w:left w:val="single" w:sz="4" w:space="0" w:color="303134"/>
              <w:bottom w:val="single" w:sz="4" w:space="0" w:color="303134"/>
              <w:right w:val="single" w:sz="4" w:space="0" w:color="303134"/>
            </w:tcBorders>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rPr>
                <w:b/>
              </w:rPr>
            </w:pPr>
            <w:proofErr w:type="spellStart"/>
            <w:r>
              <w:rPr>
                <w:b/>
              </w:rPr>
              <w:t>Luminor</w:t>
            </w:r>
            <w:proofErr w:type="spellEnd"/>
          </w:p>
        </w:tc>
        <w:tc>
          <w:tcPr>
            <w:tcW w:w="1185" w:type="dxa"/>
            <w:tcBorders>
              <w:top w:val="single" w:sz="4" w:space="0" w:color="303134"/>
              <w:left w:val="single" w:sz="4" w:space="0" w:color="303134"/>
              <w:bottom w:val="single" w:sz="4" w:space="0" w:color="303134"/>
              <w:right w:val="single" w:sz="4" w:space="0" w:color="303134"/>
            </w:tcBorders>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rPr>
                <w:b/>
              </w:rPr>
            </w:pPr>
            <w:r>
              <w:rPr>
                <w:b/>
              </w:rPr>
              <w:t>Medicinos bankas</w:t>
            </w:r>
          </w:p>
        </w:tc>
        <w:tc>
          <w:tcPr>
            <w:tcW w:w="840" w:type="dxa"/>
            <w:tcBorders>
              <w:top w:val="single" w:sz="4" w:space="0" w:color="303134"/>
              <w:left w:val="single" w:sz="4" w:space="0" w:color="303134"/>
              <w:bottom w:val="single" w:sz="4" w:space="0" w:color="303134"/>
              <w:right w:val="single" w:sz="4" w:space="0" w:color="303134"/>
            </w:tcBorders>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rPr>
                <w:b/>
              </w:rPr>
            </w:pPr>
            <w:r>
              <w:rPr>
                <w:b/>
              </w:rPr>
              <w:t>SEB</w:t>
            </w:r>
          </w:p>
        </w:tc>
        <w:tc>
          <w:tcPr>
            <w:tcW w:w="1260" w:type="dxa"/>
            <w:tcBorders>
              <w:top w:val="single" w:sz="4" w:space="0" w:color="303134"/>
              <w:left w:val="single" w:sz="4" w:space="0" w:color="303134"/>
              <w:bottom w:val="single" w:sz="4" w:space="0" w:color="303134"/>
              <w:right w:val="single" w:sz="4" w:space="0" w:color="303134"/>
            </w:tcBorders>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rPr>
                <w:b/>
              </w:rPr>
            </w:pPr>
            <w:proofErr w:type="spellStart"/>
            <w:r>
              <w:rPr>
                <w:b/>
              </w:rPr>
              <w:t>Swedbank</w:t>
            </w:r>
            <w:proofErr w:type="spellEnd"/>
          </w:p>
        </w:tc>
        <w:tc>
          <w:tcPr>
            <w:tcW w:w="930" w:type="dxa"/>
            <w:tcBorders>
              <w:top w:val="single" w:sz="4" w:space="0" w:color="303134"/>
              <w:left w:val="single" w:sz="4" w:space="0" w:color="303134"/>
              <w:bottom w:val="single" w:sz="4" w:space="0" w:color="303134"/>
              <w:right w:val="single" w:sz="4" w:space="0" w:color="303134"/>
            </w:tcBorders>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rPr>
                <w:b/>
              </w:rPr>
            </w:pPr>
            <w:r>
              <w:rPr>
                <w:b/>
              </w:rPr>
              <w:t>Šiaulių bankas</w:t>
            </w:r>
          </w:p>
        </w:tc>
      </w:tr>
      <w:tr w:rsidR="007B6E0A">
        <w:trPr>
          <w:trHeight w:val="555"/>
        </w:trPr>
        <w:tc>
          <w:tcPr>
            <w:tcW w:w="1725"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rPr>
                <w:b/>
              </w:rPr>
            </w:pPr>
            <w:r>
              <w:rPr>
                <w:b/>
              </w:rPr>
              <w:t>Gyvūnų gerovė</w:t>
            </w:r>
          </w:p>
        </w:tc>
        <w:tc>
          <w:tcPr>
            <w:tcW w:w="96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0</w:t>
            </w:r>
          </w:p>
        </w:tc>
        <w:tc>
          <w:tcPr>
            <w:tcW w:w="102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0</w:t>
            </w:r>
          </w:p>
        </w:tc>
        <w:tc>
          <w:tcPr>
            <w:tcW w:w="1185"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0</w:t>
            </w:r>
          </w:p>
        </w:tc>
        <w:tc>
          <w:tcPr>
            <w:tcW w:w="84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0</w:t>
            </w:r>
          </w:p>
        </w:tc>
        <w:tc>
          <w:tcPr>
            <w:tcW w:w="126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2,0</w:t>
            </w:r>
          </w:p>
        </w:tc>
        <w:tc>
          <w:tcPr>
            <w:tcW w:w="93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0</w:t>
            </w:r>
          </w:p>
        </w:tc>
      </w:tr>
      <w:tr w:rsidR="007B6E0A">
        <w:trPr>
          <w:trHeight w:val="555"/>
        </w:trPr>
        <w:tc>
          <w:tcPr>
            <w:tcW w:w="1725"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rPr>
                <w:b/>
              </w:rPr>
            </w:pPr>
            <w:r>
              <w:rPr>
                <w:b/>
              </w:rPr>
              <w:t>Klimato kaita</w:t>
            </w:r>
          </w:p>
        </w:tc>
        <w:tc>
          <w:tcPr>
            <w:tcW w:w="96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0</w:t>
            </w:r>
          </w:p>
        </w:tc>
        <w:tc>
          <w:tcPr>
            <w:tcW w:w="102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3,8</w:t>
            </w:r>
          </w:p>
        </w:tc>
        <w:tc>
          <w:tcPr>
            <w:tcW w:w="1185"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0</w:t>
            </w:r>
          </w:p>
        </w:tc>
        <w:tc>
          <w:tcPr>
            <w:tcW w:w="84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5,7</w:t>
            </w:r>
          </w:p>
        </w:tc>
        <w:tc>
          <w:tcPr>
            <w:tcW w:w="126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6,1</w:t>
            </w:r>
          </w:p>
        </w:tc>
        <w:tc>
          <w:tcPr>
            <w:tcW w:w="93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0,2</w:t>
            </w:r>
          </w:p>
        </w:tc>
      </w:tr>
      <w:tr w:rsidR="007B6E0A">
        <w:trPr>
          <w:trHeight w:val="345"/>
        </w:trPr>
        <w:tc>
          <w:tcPr>
            <w:tcW w:w="1725"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rPr>
                <w:b/>
              </w:rPr>
            </w:pPr>
            <w:r>
              <w:rPr>
                <w:b/>
              </w:rPr>
              <w:t>Korupcija</w:t>
            </w:r>
          </w:p>
        </w:tc>
        <w:tc>
          <w:tcPr>
            <w:tcW w:w="96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2,5</w:t>
            </w:r>
          </w:p>
        </w:tc>
        <w:tc>
          <w:tcPr>
            <w:tcW w:w="102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4,2</w:t>
            </w:r>
          </w:p>
        </w:tc>
        <w:tc>
          <w:tcPr>
            <w:tcW w:w="1185"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0</w:t>
            </w:r>
          </w:p>
        </w:tc>
        <w:tc>
          <w:tcPr>
            <w:tcW w:w="84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8,8</w:t>
            </w:r>
          </w:p>
        </w:tc>
        <w:tc>
          <w:tcPr>
            <w:tcW w:w="126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7,5</w:t>
            </w:r>
          </w:p>
        </w:tc>
        <w:tc>
          <w:tcPr>
            <w:tcW w:w="93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1,3</w:t>
            </w:r>
          </w:p>
        </w:tc>
      </w:tr>
      <w:tr w:rsidR="007B6E0A">
        <w:trPr>
          <w:trHeight w:val="555"/>
        </w:trPr>
        <w:tc>
          <w:tcPr>
            <w:tcW w:w="1725"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rPr>
                <w:b/>
              </w:rPr>
            </w:pPr>
            <w:r>
              <w:rPr>
                <w:b/>
              </w:rPr>
              <w:t>Lyčių lygybė</w:t>
            </w:r>
          </w:p>
        </w:tc>
        <w:tc>
          <w:tcPr>
            <w:tcW w:w="96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0</w:t>
            </w:r>
          </w:p>
        </w:tc>
        <w:tc>
          <w:tcPr>
            <w:tcW w:w="102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1,3</w:t>
            </w:r>
          </w:p>
        </w:tc>
        <w:tc>
          <w:tcPr>
            <w:tcW w:w="1185"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1,3</w:t>
            </w:r>
          </w:p>
        </w:tc>
        <w:tc>
          <w:tcPr>
            <w:tcW w:w="84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5,8</w:t>
            </w:r>
          </w:p>
        </w:tc>
        <w:tc>
          <w:tcPr>
            <w:tcW w:w="126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5,1</w:t>
            </w:r>
          </w:p>
        </w:tc>
        <w:tc>
          <w:tcPr>
            <w:tcW w:w="93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0</w:t>
            </w:r>
          </w:p>
        </w:tc>
      </w:tr>
      <w:tr w:rsidR="007B6E0A">
        <w:trPr>
          <w:trHeight w:val="345"/>
        </w:trPr>
        <w:tc>
          <w:tcPr>
            <w:tcW w:w="1725"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rPr>
                <w:b/>
              </w:rPr>
            </w:pPr>
            <w:r>
              <w:rPr>
                <w:b/>
              </w:rPr>
              <w:t>Sveikata</w:t>
            </w:r>
          </w:p>
        </w:tc>
        <w:tc>
          <w:tcPr>
            <w:tcW w:w="96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0,7</w:t>
            </w:r>
          </w:p>
        </w:tc>
        <w:tc>
          <w:tcPr>
            <w:tcW w:w="102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2,2</w:t>
            </w:r>
          </w:p>
        </w:tc>
        <w:tc>
          <w:tcPr>
            <w:tcW w:w="1185"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0</w:t>
            </w:r>
          </w:p>
        </w:tc>
        <w:tc>
          <w:tcPr>
            <w:tcW w:w="84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1,1</w:t>
            </w:r>
          </w:p>
        </w:tc>
        <w:tc>
          <w:tcPr>
            <w:tcW w:w="126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4,5</w:t>
            </w:r>
          </w:p>
        </w:tc>
        <w:tc>
          <w:tcPr>
            <w:tcW w:w="93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0</w:t>
            </w:r>
          </w:p>
        </w:tc>
      </w:tr>
      <w:tr w:rsidR="007B6E0A">
        <w:trPr>
          <w:trHeight w:val="345"/>
        </w:trPr>
        <w:tc>
          <w:tcPr>
            <w:tcW w:w="1725"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rPr>
                <w:b/>
              </w:rPr>
            </w:pPr>
            <w:r>
              <w:rPr>
                <w:b/>
              </w:rPr>
              <w:t>Žmogaus teisės</w:t>
            </w:r>
          </w:p>
        </w:tc>
        <w:tc>
          <w:tcPr>
            <w:tcW w:w="96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0</w:t>
            </w:r>
          </w:p>
        </w:tc>
        <w:tc>
          <w:tcPr>
            <w:tcW w:w="102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2,6</w:t>
            </w:r>
          </w:p>
        </w:tc>
        <w:tc>
          <w:tcPr>
            <w:tcW w:w="1185"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0</w:t>
            </w:r>
          </w:p>
        </w:tc>
        <w:tc>
          <w:tcPr>
            <w:tcW w:w="84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8,5</w:t>
            </w:r>
          </w:p>
        </w:tc>
        <w:tc>
          <w:tcPr>
            <w:tcW w:w="126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9,1</w:t>
            </w:r>
          </w:p>
        </w:tc>
        <w:tc>
          <w:tcPr>
            <w:tcW w:w="93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0,8</w:t>
            </w:r>
          </w:p>
        </w:tc>
      </w:tr>
      <w:tr w:rsidR="007B6E0A">
        <w:trPr>
          <w:trHeight w:val="345"/>
        </w:trPr>
        <w:tc>
          <w:tcPr>
            <w:tcW w:w="1725"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rPr>
                <w:b/>
              </w:rPr>
            </w:pPr>
            <w:r>
              <w:rPr>
                <w:b/>
              </w:rPr>
              <w:t>Darbuotojų teisės</w:t>
            </w:r>
          </w:p>
        </w:tc>
        <w:tc>
          <w:tcPr>
            <w:tcW w:w="96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0</w:t>
            </w:r>
          </w:p>
        </w:tc>
        <w:tc>
          <w:tcPr>
            <w:tcW w:w="102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1,8</w:t>
            </w:r>
          </w:p>
        </w:tc>
        <w:tc>
          <w:tcPr>
            <w:tcW w:w="1185"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0</w:t>
            </w:r>
          </w:p>
        </w:tc>
        <w:tc>
          <w:tcPr>
            <w:tcW w:w="84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7,0</w:t>
            </w:r>
          </w:p>
        </w:tc>
        <w:tc>
          <w:tcPr>
            <w:tcW w:w="126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7,4</w:t>
            </w:r>
          </w:p>
        </w:tc>
        <w:tc>
          <w:tcPr>
            <w:tcW w:w="93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0,3</w:t>
            </w:r>
          </w:p>
        </w:tc>
      </w:tr>
      <w:tr w:rsidR="007B6E0A">
        <w:trPr>
          <w:trHeight w:val="345"/>
        </w:trPr>
        <w:tc>
          <w:tcPr>
            <w:tcW w:w="1725"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rPr>
                <w:b/>
              </w:rPr>
            </w:pPr>
            <w:r>
              <w:rPr>
                <w:b/>
              </w:rPr>
              <w:t>Gamta</w:t>
            </w:r>
          </w:p>
        </w:tc>
        <w:tc>
          <w:tcPr>
            <w:tcW w:w="96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0</w:t>
            </w:r>
          </w:p>
        </w:tc>
        <w:tc>
          <w:tcPr>
            <w:tcW w:w="102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2,1</w:t>
            </w:r>
          </w:p>
        </w:tc>
        <w:tc>
          <w:tcPr>
            <w:tcW w:w="1185"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0</w:t>
            </w:r>
          </w:p>
        </w:tc>
        <w:tc>
          <w:tcPr>
            <w:tcW w:w="84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6,9</w:t>
            </w:r>
          </w:p>
        </w:tc>
        <w:tc>
          <w:tcPr>
            <w:tcW w:w="126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5,9</w:t>
            </w:r>
          </w:p>
        </w:tc>
        <w:tc>
          <w:tcPr>
            <w:tcW w:w="93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0,2</w:t>
            </w:r>
          </w:p>
        </w:tc>
      </w:tr>
      <w:tr w:rsidR="007B6E0A">
        <w:trPr>
          <w:trHeight w:val="345"/>
        </w:trPr>
        <w:tc>
          <w:tcPr>
            <w:tcW w:w="1725"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rPr>
                <w:b/>
              </w:rPr>
            </w:pPr>
            <w:r>
              <w:rPr>
                <w:b/>
              </w:rPr>
              <w:t>Mokesčiai</w:t>
            </w:r>
          </w:p>
        </w:tc>
        <w:tc>
          <w:tcPr>
            <w:tcW w:w="96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0</w:t>
            </w:r>
          </w:p>
        </w:tc>
        <w:tc>
          <w:tcPr>
            <w:tcW w:w="102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2,9</w:t>
            </w:r>
          </w:p>
        </w:tc>
        <w:tc>
          <w:tcPr>
            <w:tcW w:w="1185"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0</w:t>
            </w:r>
          </w:p>
        </w:tc>
        <w:tc>
          <w:tcPr>
            <w:tcW w:w="84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6,3</w:t>
            </w:r>
          </w:p>
        </w:tc>
        <w:tc>
          <w:tcPr>
            <w:tcW w:w="126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5,3</w:t>
            </w:r>
          </w:p>
        </w:tc>
        <w:tc>
          <w:tcPr>
            <w:tcW w:w="93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2,6</w:t>
            </w:r>
          </w:p>
        </w:tc>
      </w:tr>
      <w:tr w:rsidR="007B6E0A">
        <w:trPr>
          <w:trHeight w:val="615"/>
        </w:trPr>
        <w:tc>
          <w:tcPr>
            <w:tcW w:w="1725"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rPr>
                <w:b/>
              </w:rPr>
            </w:pPr>
            <w:r>
              <w:rPr>
                <w:b/>
              </w:rPr>
              <w:t>Vidurkis (balais)</w:t>
            </w:r>
          </w:p>
        </w:tc>
        <w:tc>
          <w:tcPr>
            <w:tcW w:w="96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rPr>
                <w:b/>
              </w:rPr>
            </w:pPr>
            <w:r>
              <w:rPr>
                <w:b/>
              </w:rPr>
              <w:t>0,4</w:t>
            </w:r>
          </w:p>
        </w:tc>
        <w:tc>
          <w:tcPr>
            <w:tcW w:w="102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rPr>
                <w:b/>
              </w:rPr>
            </w:pPr>
            <w:r>
              <w:rPr>
                <w:b/>
              </w:rPr>
              <w:t>2,3</w:t>
            </w:r>
          </w:p>
        </w:tc>
        <w:tc>
          <w:tcPr>
            <w:tcW w:w="1185"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rPr>
                <w:b/>
              </w:rPr>
            </w:pPr>
            <w:r>
              <w:rPr>
                <w:b/>
              </w:rPr>
              <w:t>0,1</w:t>
            </w:r>
          </w:p>
        </w:tc>
        <w:tc>
          <w:tcPr>
            <w:tcW w:w="84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rPr>
                <w:b/>
              </w:rPr>
            </w:pPr>
            <w:r>
              <w:rPr>
                <w:b/>
              </w:rPr>
              <w:t>5,6</w:t>
            </w:r>
          </w:p>
        </w:tc>
        <w:tc>
          <w:tcPr>
            <w:tcW w:w="126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rPr>
                <w:b/>
              </w:rPr>
            </w:pPr>
            <w:r>
              <w:rPr>
                <w:b/>
              </w:rPr>
              <w:t>5,9</w:t>
            </w:r>
          </w:p>
        </w:tc>
        <w:tc>
          <w:tcPr>
            <w:tcW w:w="93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rPr>
                <w:b/>
              </w:rPr>
            </w:pPr>
            <w:r>
              <w:rPr>
                <w:b/>
              </w:rPr>
              <w:t>0,6</w:t>
            </w:r>
          </w:p>
        </w:tc>
      </w:tr>
      <w:tr w:rsidR="007B6E0A">
        <w:trPr>
          <w:trHeight w:val="345"/>
        </w:trPr>
        <w:tc>
          <w:tcPr>
            <w:tcW w:w="1725"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Vidurkis (%)</w:t>
            </w:r>
          </w:p>
        </w:tc>
        <w:tc>
          <w:tcPr>
            <w:tcW w:w="96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4</w:t>
            </w:r>
          </w:p>
        </w:tc>
        <w:tc>
          <w:tcPr>
            <w:tcW w:w="102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23</w:t>
            </w:r>
          </w:p>
        </w:tc>
        <w:tc>
          <w:tcPr>
            <w:tcW w:w="1185"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1</w:t>
            </w:r>
          </w:p>
        </w:tc>
        <w:tc>
          <w:tcPr>
            <w:tcW w:w="84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56</w:t>
            </w:r>
          </w:p>
        </w:tc>
        <w:tc>
          <w:tcPr>
            <w:tcW w:w="126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59</w:t>
            </w:r>
          </w:p>
        </w:tc>
        <w:tc>
          <w:tcPr>
            <w:tcW w:w="930" w:type="dxa"/>
            <w:tcBorders>
              <w:top w:val="single" w:sz="4" w:space="0" w:color="303134"/>
              <w:left w:val="single" w:sz="4" w:space="0" w:color="303134"/>
              <w:bottom w:val="single" w:sz="4" w:space="0" w:color="303134"/>
              <w:right w:val="single" w:sz="4" w:space="0" w:color="303134"/>
            </w:tcBorders>
            <w:shd w:val="clear" w:color="auto" w:fill="auto"/>
            <w:tcMar>
              <w:top w:w="40" w:type="dxa"/>
              <w:left w:w="40" w:type="dxa"/>
              <w:bottom w:w="40" w:type="dxa"/>
              <w:right w:w="40" w:type="dxa"/>
            </w:tcMar>
            <w:vAlign w:val="bottom"/>
          </w:tcPr>
          <w:p w:rsidR="007B6E0A" w:rsidRDefault="000C6977">
            <w:pPr>
              <w:pStyle w:val="normal0"/>
              <w:widowControl w:val="0"/>
              <w:pBdr>
                <w:top w:val="nil"/>
                <w:left w:val="nil"/>
                <w:bottom w:val="nil"/>
                <w:right w:val="nil"/>
                <w:between w:val="nil"/>
              </w:pBdr>
              <w:spacing w:line="240" w:lineRule="auto"/>
            </w:pPr>
            <w:r>
              <w:t>6</w:t>
            </w:r>
          </w:p>
        </w:tc>
      </w:tr>
    </w:tbl>
    <w:p w:rsidR="007B6E0A" w:rsidRDefault="000C6977" w:rsidP="000C6977">
      <w:pPr>
        <w:pStyle w:val="normal0"/>
        <w:spacing w:before="120"/>
        <w:rPr>
          <w:i/>
        </w:rPr>
      </w:pPr>
      <w:r>
        <w:rPr>
          <w:i/>
        </w:rPr>
        <w:t>1 lentelė. Galutinio 2021 m. gruodžio mėnesio vertinimo rezultatai (9 temos).</w:t>
      </w:r>
    </w:p>
    <w:p w:rsidR="007B6E0A" w:rsidRDefault="007B6E0A">
      <w:pPr>
        <w:pStyle w:val="normal0"/>
        <w:ind w:left="720"/>
        <w:rPr>
          <w:i/>
        </w:rPr>
      </w:pPr>
    </w:p>
    <w:p w:rsidR="007B6E0A" w:rsidRDefault="000C6977">
      <w:pPr>
        <w:pStyle w:val="normal0"/>
      </w:pPr>
      <w:r>
        <w:t>Pirma lentelė nurodo, kad didžiausią visų temų vidurkį gruodžio mėnesio tyrimo metu surinko „</w:t>
      </w:r>
      <w:proofErr w:type="spellStart"/>
      <w:r>
        <w:t>Swedbank</w:t>
      </w:r>
      <w:proofErr w:type="spellEnd"/>
      <w:r>
        <w:t>“ (5,9) ir SEB (5,6). Trečioje vietoje „</w:t>
      </w:r>
      <w:proofErr w:type="spellStart"/>
      <w:r>
        <w:t>Luminor</w:t>
      </w:r>
      <w:proofErr w:type="spellEnd"/>
      <w:r>
        <w:t>“ surinkęs 2,3 balus iš 10. K</w:t>
      </w:r>
      <w:r>
        <w:t>etvirtoje – Šiaulių bankas (0,6), penktoje – „Citadele“ (0,4), šeštoje vietoje – Medicinos bankas surinkęs 0,1 balą iš 10.</w:t>
      </w:r>
    </w:p>
    <w:p w:rsidR="007B6E0A" w:rsidRDefault="007B6E0A">
      <w:pPr>
        <w:pStyle w:val="normal0"/>
      </w:pPr>
    </w:p>
    <w:p w:rsidR="007B6E0A" w:rsidRDefault="000C6977">
      <w:pPr>
        <w:pStyle w:val="normal0"/>
        <w:numPr>
          <w:ilvl w:val="0"/>
          <w:numId w:val="1"/>
        </w:numPr>
      </w:pPr>
      <w:r>
        <w:t>Gyvūnų gerovės temoje aukščiausią balą (2 iš 10) surinko „</w:t>
      </w:r>
      <w:proofErr w:type="spellStart"/>
      <w:r>
        <w:t>Swedbank</w:t>
      </w:r>
      <w:proofErr w:type="spellEnd"/>
      <w:r>
        <w:t>“. Kiti bankai surinko 0 balų.</w:t>
      </w:r>
    </w:p>
    <w:p w:rsidR="007B6E0A" w:rsidRDefault="000C6977">
      <w:pPr>
        <w:pStyle w:val="normal0"/>
        <w:numPr>
          <w:ilvl w:val="0"/>
          <w:numId w:val="1"/>
        </w:numPr>
      </w:pPr>
      <w:r>
        <w:t>Klimato kaitos temoje „</w:t>
      </w:r>
      <w:proofErr w:type="spellStart"/>
      <w:r>
        <w:t>Swedbank</w:t>
      </w:r>
      <w:proofErr w:type="spellEnd"/>
      <w:r>
        <w:t>“ t</w:t>
      </w:r>
      <w:r>
        <w:t>aip pat pasirodė geriausiai (6,1), antroje vietoje SEB (5,7), trečioje „</w:t>
      </w:r>
      <w:proofErr w:type="spellStart"/>
      <w:r>
        <w:t>Luminor</w:t>
      </w:r>
      <w:proofErr w:type="spellEnd"/>
      <w:r>
        <w:t>“ (3,8), ketvirtoje – Šiaulių bankas (0,2). „Citadele“ ir Medicinos bankas balų nesurinko.</w:t>
      </w:r>
    </w:p>
    <w:p w:rsidR="007B6E0A" w:rsidRDefault="000C6977">
      <w:pPr>
        <w:pStyle w:val="normal0"/>
        <w:numPr>
          <w:ilvl w:val="0"/>
          <w:numId w:val="1"/>
        </w:numPr>
      </w:pPr>
      <w:r>
        <w:t>Korupcijos temoje daugiausia balų surinko SEB (8,8). Antroje vietoje „</w:t>
      </w:r>
      <w:proofErr w:type="spellStart"/>
      <w:r>
        <w:t>Swedbank</w:t>
      </w:r>
      <w:proofErr w:type="spellEnd"/>
      <w:r>
        <w:t>“ (7,5),</w:t>
      </w:r>
      <w:r>
        <w:t xml:space="preserve"> trečioje – „</w:t>
      </w:r>
      <w:proofErr w:type="spellStart"/>
      <w:r>
        <w:t>Luminor</w:t>
      </w:r>
      <w:proofErr w:type="spellEnd"/>
      <w:r>
        <w:t>“ (4,2), ketvirtoje – „Citadele“ (2,5), penktoje – Šiaulių bankas (1,3). Medicinos bankas balų nesurinko.</w:t>
      </w:r>
    </w:p>
    <w:p w:rsidR="007B6E0A" w:rsidRDefault="000C6977">
      <w:pPr>
        <w:pStyle w:val="normal0"/>
        <w:numPr>
          <w:ilvl w:val="0"/>
          <w:numId w:val="1"/>
        </w:numPr>
      </w:pPr>
      <w:r>
        <w:t>Lyčių lygybės temoje pirmavo SEB (5,8 balai iš 10). Antroje vietoje „</w:t>
      </w:r>
      <w:proofErr w:type="spellStart"/>
      <w:r>
        <w:t>Swedbank</w:t>
      </w:r>
      <w:proofErr w:type="spellEnd"/>
      <w:r>
        <w:t>“ (5,1). „</w:t>
      </w:r>
      <w:proofErr w:type="spellStart"/>
      <w:r>
        <w:t>Luminor</w:t>
      </w:r>
      <w:proofErr w:type="spellEnd"/>
      <w:r>
        <w:t>“ ir Medicinos bankas surinko po 1,3</w:t>
      </w:r>
      <w:r>
        <w:t xml:space="preserve"> balo. Šiaulių bankas ir „Citadele“ balų nesurinko.</w:t>
      </w:r>
    </w:p>
    <w:p w:rsidR="007B6E0A" w:rsidRDefault="000C6977">
      <w:pPr>
        <w:pStyle w:val="normal0"/>
        <w:numPr>
          <w:ilvl w:val="0"/>
          <w:numId w:val="1"/>
        </w:numPr>
      </w:pPr>
      <w:r>
        <w:t>Sveikatos temoje pirmavo „</w:t>
      </w:r>
      <w:proofErr w:type="spellStart"/>
      <w:r>
        <w:t>Swedbank</w:t>
      </w:r>
      <w:proofErr w:type="spellEnd"/>
      <w:r>
        <w:t>“ (4,5 balai). Antroje vietoje – „</w:t>
      </w:r>
      <w:proofErr w:type="spellStart"/>
      <w:r>
        <w:t>Luminor</w:t>
      </w:r>
      <w:proofErr w:type="spellEnd"/>
      <w:r>
        <w:t>“ (2,2), trečioje – SEB (1,1), ketvirtoje – „Citadele“ (0,7). Medicinos bankas ir Šiaulių bankas balų nesurinko.</w:t>
      </w:r>
    </w:p>
    <w:p w:rsidR="007B6E0A" w:rsidRDefault="000C6977">
      <w:pPr>
        <w:pStyle w:val="normal0"/>
        <w:numPr>
          <w:ilvl w:val="0"/>
          <w:numId w:val="1"/>
        </w:numPr>
      </w:pPr>
      <w:r>
        <w:t>Žmogaus teisių temoje daugiausia balų surinko „</w:t>
      </w:r>
      <w:proofErr w:type="spellStart"/>
      <w:r>
        <w:t>Swedbank</w:t>
      </w:r>
      <w:proofErr w:type="spellEnd"/>
      <w:r>
        <w:t>“ (9,1). Antroje vietoje – SEB (8,5), trečioje – „</w:t>
      </w:r>
      <w:proofErr w:type="spellStart"/>
      <w:r>
        <w:t>Luminor</w:t>
      </w:r>
      <w:proofErr w:type="spellEnd"/>
      <w:r>
        <w:t>“ (2,6), ketvirtoje – Šiaulių bankas (0,8). Medicinos bankas ir „Citadele“ balų nesurinko.</w:t>
      </w:r>
    </w:p>
    <w:p w:rsidR="007B6E0A" w:rsidRDefault="000C6977">
      <w:pPr>
        <w:pStyle w:val="normal0"/>
        <w:numPr>
          <w:ilvl w:val="0"/>
          <w:numId w:val="1"/>
        </w:numPr>
      </w:pPr>
      <w:r>
        <w:t>Darbuotojų teisių apsaugos srityje daugiausia balų su</w:t>
      </w:r>
      <w:r>
        <w:t>rinko „</w:t>
      </w:r>
      <w:proofErr w:type="spellStart"/>
      <w:r>
        <w:t>Swedbank</w:t>
      </w:r>
      <w:proofErr w:type="spellEnd"/>
      <w:r>
        <w:t>“ (7,4). Antroje vietoje – SEB (7,0), trečioje vietoje – „</w:t>
      </w:r>
      <w:proofErr w:type="spellStart"/>
      <w:r>
        <w:t>Luminor</w:t>
      </w:r>
      <w:proofErr w:type="spellEnd"/>
      <w:r>
        <w:t>“ (1,8), ketvirtoje – Šiaulių bankas (0,3). Medicinos bankas ir „Citadele“ balų nesurinko.</w:t>
      </w:r>
    </w:p>
    <w:p w:rsidR="007B6E0A" w:rsidRDefault="000C6977">
      <w:pPr>
        <w:pStyle w:val="normal0"/>
        <w:numPr>
          <w:ilvl w:val="0"/>
          <w:numId w:val="1"/>
        </w:numPr>
      </w:pPr>
      <w:r>
        <w:t>Gamtos temoje pirmavo SEB (6,9 balai iš 10). Antroje vietoje – „</w:t>
      </w:r>
      <w:proofErr w:type="spellStart"/>
      <w:r>
        <w:t>Swedbank</w:t>
      </w:r>
      <w:proofErr w:type="spellEnd"/>
      <w:r>
        <w:t>“ (5,9). Treč</w:t>
      </w:r>
      <w:r>
        <w:t>ioje vietoje – „</w:t>
      </w:r>
      <w:proofErr w:type="spellStart"/>
      <w:r>
        <w:t>Luminor</w:t>
      </w:r>
      <w:proofErr w:type="spellEnd"/>
      <w:r>
        <w:t>“ (2,1), ketvirtoje – Šiaulių bankas (0,2). Medicinos bankas ir „Citadele“ balų nesurinko.</w:t>
      </w:r>
    </w:p>
    <w:p w:rsidR="007B6E0A" w:rsidRDefault="000C6977">
      <w:pPr>
        <w:pStyle w:val="normal0"/>
        <w:numPr>
          <w:ilvl w:val="0"/>
          <w:numId w:val="1"/>
        </w:numPr>
      </w:pPr>
      <w:r>
        <w:t>Mokesčių temoje pirmavo SEB (6,3 balai iš 10). Antroje vietoje – „</w:t>
      </w:r>
      <w:proofErr w:type="spellStart"/>
      <w:r>
        <w:t>Swedbank</w:t>
      </w:r>
      <w:proofErr w:type="spellEnd"/>
      <w:r>
        <w:t>“ (5,3). Trečioje vietoje – „</w:t>
      </w:r>
      <w:proofErr w:type="spellStart"/>
      <w:r>
        <w:t>Luminor</w:t>
      </w:r>
      <w:proofErr w:type="spellEnd"/>
      <w:r>
        <w:t>“ (2,9), ketvirtoje – Šiaulių ba</w:t>
      </w:r>
      <w:r>
        <w:t>nkas (2,6). Medicinos bankas ir „Citadele“ balų nesurinko.</w:t>
      </w:r>
    </w:p>
    <w:p w:rsidR="007B6E0A" w:rsidRDefault="007B6E0A">
      <w:pPr>
        <w:pStyle w:val="normal0"/>
      </w:pPr>
    </w:p>
    <w:p w:rsidR="007B6E0A" w:rsidRDefault="007B6E0A">
      <w:pPr>
        <w:pStyle w:val="normal0"/>
      </w:pPr>
    </w:p>
    <w:tbl>
      <w:tblPr>
        <w:tblStyle w:val="a0"/>
        <w:tblW w:w="9450" w:type="dxa"/>
        <w:tblInd w:w="-575" w:type="dxa"/>
        <w:tblBorders>
          <w:top w:val="single" w:sz="4" w:space="0" w:color="303134"/>
          <w:left w:val="single" w:sz="4" w:space="0" w:color="303134"/>
          <w:bottom w:val="single" w:sz="4" w:space="0" w:color="303134"/>
          <w:right w:val="single" w:sz="4" w:space="0" w:color="303134"/>
          <w:insideH w:val="single" w:sz="4" w:space="0" w:color="303134"/>
          <w:insideV w:val="single" w:sz="4" w:space="0" w:color="303134"/>
        </w:tblBorders>
        <w:tblLayout w:type="fixed"/>
        <w:tblLook w:val="0600"/>
      </w:tblPr>
      <w:tblGrid>
        <w:gridCol w:w="1365"/>
        <w:gridCol w:w="660"/>
        <w:gridCol w:w="675"/>
        <w:gridCol w:w="675"/>
        <w:gridCol w:w="675"/>
        <w:gridCol w:w="675"/>
        <w:gridCol w:w="675"/>
        <w:gridCol w:w="675"/>
        <w:gridCol w:w="675"/>
        <w:gridCol w:w="675"/>
        <w:gridCol w:w="675"/>
        <w:gridCol w:w="675"/>
        <w:gridCol w:w="675"/>
      </w:tblGrid>
      <w:tr w:rsidR="007B6E0A">
        <w:trPr>
          <w:trHeight w:val="953"/>
        </w:trPr>
        <w:tc>
          <w:tcPr>
            <w:tcW w:w="1365" w:type="dxa"/>
            <w:vMerge w:val="restart"/>
            <w:shd w:val="clear" w:color="auto" w:fill="E8EAED"/>
            <w:tcMar>
              <w:top w:w="100" w:type="dxa"/>
              <w:left w:w="100" w:type="dxa"/>
              <w:bottom w:w="100" w:type="dxa"/>
              <w:right w:w="100" w:type="dxa"/>
            </w:tcMar>
          </w:tcPr>
          <w:p w:rsidR="007B6E0A" w:rsidRDefault="007B6E0A">
            <w:pPr>
              <w:pStyle w:val="normal0"/>
              <w:widowControl w:val="0"/>
              <w:pBdr>
                <w:top w:val="nil"/>
                <w:left w:val="nil"/>
                <w:bottom w:val="nil"/>
                <w:right w:val="nil"/>
                <w:between w:val="nil"/>
              </w:pBdr>
              <w:spacing w:line="240" w:lineRule="auto"/>
            </w:pPr>
          </w:p>
        </w:tc>
        <w:tc>
          <w:tcPr>
            <w:tcW w:w="1335" w:type="dxa"/>
            <w:gridSpan w:val="2"/>
            <w:shd w:val="clear" w:color="auto" w:fill="auto"/>
            <w:tcMar>
              <w:top w:w="100" w:type="dxa"/>
              <w:left w:w="100" w:type="dxa"/>
              <w:bottom w:w="100" w:type="dxa"/>
              <w:right w:w="100" w:type="dxa"/>
            </w:tcMar>
          </w:tcPr>
          <w:p w:rsidR="007B6E0A" w:rsidRDefault="000C6977">
            <w:pPr>
              <w:pStyle w:val="normal0"/>
              <w:widowControl w:val="0"/>
              <w:spacing w:line="240" w:lineRule="auto"/>
            </w:pPr>
            <w:r>
              <w:t>Citadele</w:t>
            </w:r>
          </w:p>
          <w:p w:rsidR="007B6E0A" w:rsidRDefault="007B6E0A">
            <w:pPr>
              <w:pStyle w:val="normal0"/>
              <w:widowControl w:val="0"/>
              <w:spacing w:line="240" w:lineRule="auto"/>
            </w:pPr>
          </w:p>
          <w:p w:rsidR="007B6E0A" w:rsidRDefault="007B6E0A">
            <w:pPr>
              <w:pStyle w:val="normal0"/>
              <w:widowControl w:val="0"/>
              <w:spacing w:line="240" w:lineRule="auto"/>
            </w:pPr>
          </w:p>
        </w:tc>
        <w:tc>
          <w:tcPr>
            <w:tcW w:w="1350" w:type="dxa"/>
            <w:gridSpan w:val="2"/>
            <w:shd w:val="clear" w:color="auto" w:fill="auto"/>
            <w:tcMar>
              <w:top w:w="100" w:type="dxa"/>
              <w:left w:w="100" w:type="dxa"/>
              <w:bottom w:w="100" w:type="dxa"/>
              <w:right w:w="100" w:type="dxa"/>
            </w:tcMar>
          </w:tcPr>
          <w:p w:rsidR="007B6E0A" w:rsidRDefault="000C6977">
            <w:pPr>
              <w:pStyle w:val="normal0"/>
              <w:widowControl w:val="0"/>
              <w:pBdr>
                <w:top w:val="nil"/>
                <w:left w:val="nil"/>
                <w:bottom w:val="nil"/>
                <w:right w:val="nil"/>
                <w:between w:val="nil"/>
              </w:pBdr>
              <w:spacing w:line="240" w:lineRule="auto"/>
            </w:pPr>
            <w:proofErr w:type="spellStart"/>
            <w:r>
              <w:t>Luminor</w:t>
            </w:r>
            <w:proofErr w:type="spellEnd"/>
          </w:p>
        </w:tc>
        <w:tc>
          <w:tcPr>
            <w:tcW w:w="1350" w:type="dxa"/>
            <w:gridSpan w:val="2"/>
            <w:shd w:val="clear" w:color="auto" w:fill="auto"/>
            <w:tcMar>
              <w:top w:w="100" w:type="dxa"/>
              <w:left w:w="100" w:type="dxa"/>
              <w:bottom w:w="100" w:type="dxa"/>
              <w:right w:w="100" w:type="dxa"/>
            </w:tcMar>
          </w:tcPr>
          <w:p w:rsidR="007B6E0A" w:rsidRDefault="000C6977">
            <w:pPr>
              <w:pStyle w:val="normal0"/>
              <w:widowControl w:val="0"/>
              <w:pBdr>
                <w:top w:val="nil"/>
                <w:left w:val="nil"/>
                <w:bottom w:val="nil"/>
                <w:right w:val="nil"/>
                <w:between w:val="nil"/>
              </w:pBdr>
              <w:spacing w:line="240" w:lineRule="auto"/>
            </w:pPr>
            <w:r>
              <w:t>Medicinos bankas</w:t>
            </w:r>
          </w:p>
        </w:tc>
        <w:tc>
          <w:tcPr>
            <w:tcW w:w="1350" w:type="dxa"/>
            <w:gridSpan w:val="2"/>
            <w:shd w:val="clear" w:color="auto" w:fill="auto"/>
            <w:tcMar>
              <w:top w:w="100" w:type="dxa"/>
              <w:left w:w="100" w:type="dxa"/>
              <w:bottom w:w="100" w:type="dxa"/>
              <w:right w:w="100" w:type="dxa"/>
            </w:tcMar>
          </w:tcPr>
          <w:p w:rsidR="007B6E0A" w:rsidRDefault="000C6977">
            <w:pPr>
              <w:pStyle w:val="normal0"/>
              <w:widowControl w:val="0"/>
              <w:pBdr>
                <w:top w:val="nil"/>
                <w:left w:val="nil"/>
                <w:bottom w:val="nil"/>
                <w:right w:val="nil"/>
                <w:between w:val="nil"/>
              </w:pBdr>
              <w:spacing w:line="240" w:lineRule="auto"/>
            </w:pPr>
            <w:r>
              <w:t>SEB</w:t>
            </w:r>
          </w:p>
        </w:tc>
        <w:tc>
          <w:tcPr>
            <w:tcW w:w="1350" w:type="dxa"/>
            <w:gridSpan w:val="2"/>
            <w:shd w:val="clear" w:color="auto" w:fill="auto"/>
            <w:tcMar>
              <w:top w:w="100" w:type="dxa"/>
              <w:left w:w="100" w:type="dxa"/>
              <w:bottom w:w="100" w:type="dxa"/>
              <w:right w:w="100" w:type="dxa"/>
            </w:tcMar>
          </w:tcPr>
          <w:p w:rsidR="007B6E0A" w:rsidRDefault="000C6977">
            <w:pPr>
              <w:pStyle w:val="normal0"/>
              <w:widowControl w:val="0"/>
              <w:pBdr>
                <w:top w:val="nil"/>
                <w:left w:val="nil"/>
                <w:bottom w:val="nil"/>
                <w:right w:val="nil"/>
                <w:between w:val="nil"/>
              </w:pBdr>
              <w:spacing w:line="240" w:lineRule="auto"/>
            </w:pPr>
            <w:proofErr w:type="spellStart"/>
            <w:r>
              <w:t>Swedbank</w:t>
            </w:r>
            <w:proofErr w:type="spellEnd"/>
          </w:p>
        </w:tc>
        <w:tc>
          <w:tcPr>
            <w:tcW w:w="1350" w:type="dxa"/>
            <w:gridSpan w:val="2"/>
            <w:shd w:val="clear" w:color="auto" w:fill="auto"/>
            <w:tcMar>
              <w:top w:w="100" w:type="dxa"/>
              <w:left w:w="100" w:type="dxa"/>
              <w:bottom w:w="100" w:type="dxa"/>
              <w:right w:w="100" w:type="dxa"/>
            </w:tcMar>
          </w:tcPr>
          <w:p w:rsidR="007B6E0A" w:rsidRDefault="000C6977">
            <w:pPr>
              <w:pStyle w:val="normal0"/>
              <w:widowControl w:val="0"/>
              <w:pBdr>
                <w:top w:val="nil"/>
                <w:left w:val="nil"/>
                <w:bottom w:val="nil"/>
                <w:right w:val="nil"/>
                <w:between w:val="nil"/>
              </w:pBdr>
              <w:spacing w:line="240" w:lineRule="auto"/>
            </w:pPr>
            <w:r>
              <w:t>Šiaulių bankas</w:t>
            </w:r>
          </w:p>
        </w:tc>
      </w:tr>
      <w:tr w:rsidR="007B6E0A">
        <w:trPr>
          <w:trHeight w:val="477"/>
        </w:trPr>
        <w:tc>
          <w:tcPr>
            <w:tcW w:w="1365" w:type="dxa"/>
            <w:vMerge/>
            <w:shd w:val="clear" w:color="auto" w:fill="E8EAED"/>
            <w:tcMar>
              <w:top w:w="100" w:type="dxa"/>
              <w:left w:w="100" w:type="dxa"/>
              <w:bottom w:w="100" w:type="dxa"/>
              <w:right w:w="100" w:type="dxa"/>
            </w:tcMar>
          </w:tcPr>
          <w:p w:rsidR="007B6E0A" w:rsidRDefault="007B6E0A">
            <w:pPr>
              <w:pStyle w:val="normal0"/>
              <w:widowControl w:val="0"/>
              <w:pBdr>
                <w:top w:val="nil"/>
                <w:left w:val="nil"/>
                <w:bottom w:val="nil"/>
                <w:right w:val="nil"/>
                <w:between w:val="nil"/>
              </w:pBdr>
              <w:spacing w:line="240" w:lineRule="auto"/>
            </w:pPr>
          </w:p>
        </w:tc>
        <w:tc>
          <w:tcPr>
            <w:tcW w:w="660" w:type="dxa"/>
            <w:shd w:val="clear" w:color="auto" w:fill="auto"/>
            <w:tcMar>
              <w:top w:w="100" w:type="dxa"/>
              <w:left w:w="100" w:type="dxa"/>
              <w:bottom w:w="100" w:type="dxa"/>
              <w:right w:w="100" w:type="dxa"/>
            </w:tcMar>
          </w:tcPr>
          <w:p w:rsidR="007B6E0A" w:rsidRDefault="000C6977">
            <w:pPr>
              <w:pStyle w:val="normal0"/>
              <w:widowControl w:val="0"/>
              <w:pBdr>
                <w:top w:val="nil"/>
                <w:left w:val="nil"/>
                <w:bottom w:val="nil"/>
                <w:right w:val="nil"/>
                <w:between w:val="nil"/>
              </w:pBdr>
              <w:spacing w:line="240" w:lineRule="auto"/>
            </w:pPr>
            <w:r>
              <w:t>I</w:t>
            </w:r>
          </w:p>
        </w:tc>
        <w:tc>
          <w:tcPr>
            <w:tcW w:w="675" w:type="dxa"/>
            <w:shd w:val="clear" w:color="auto" w:fill="auto"/>
            <w:tcMar>
              <w:top w:w="100" w:type="dxa"/>
              <w:left w:w="100" w:type="dxa"/>
              <w:bottom w:w="100" w:type="dxa"/>
              <w:right w:w="100" w:type="dxa"/>
            </w:tcMar>
          </w:tcPr>
          <w:p w:rsidR="007B6E0A" w:rsidRDefault="000C6977">
            <w:pPr>
              <w:pStyle w:val="normal0"/>
              <w:widowControl w:val="0"/>
              <w:pBdr>
                <w:top w:val="nil"/>
                <w:left w:val="nil"/>
                <w:bottom w:val="nil"/>
                <w:right w:val="nil"/>
                <w:between w:val="nil"/>
              </w:pBdr>
              <w:spacing w:line="240" w:lineRule="auto"/>
            </w:pPr>
            <w:r>
              <w:t>II</w:t>
            </w:r>
          </w:p>
        </w:tc>
        <w:tc>
          <w:tcPr>
            <w:tcW w:w="675" w:type="dxa"/>
            <w:shd w:val="clear" w:color="auto" w:fill="auto"/>
            <w:tcMar>
              <w:top w:w="100" w:type="dxa"/>
              <w:left w:w="100" w:type="dxa"/>
              <w:bottom w:w="100" w:type="dxa"/>
              <w:right w:w="100" w:type="dxa"/>
            </w:tcMar>
          </w:tcPr>
          <w:p w:rsidR="007B6E0A" w:rsidRDefault="000C6977">
            <w:pPr>
              <w:pStyle w:val="normal0"/>
              <w:widowControl w:val="0"/>
              <w:pBdr>
                <w:top w:val="nil"/>
                <w:left w:val="nil"/>
                <w:bottom w:val="nil"/>
                <w:right w:val="nil"/>
                <w:between w:val="nil"/>
              </w:pBdr>
              <w:spacing w:line="240" w:lineRule="auto"/>
            </w:pPr>
            <w:r>
              <w:t>I</w:t>
            </w:r>
          </w:p>
        </w:tc>
        <w:tc>
          <w:tcPr>
            <w:tcW w:w="675" w:type="dxa"/>
            <w:shd w:val="clear" w:color="auto" w:fill="auto"/>
            <w:tcMar>
              <w:top w:w="100" w:type="dxa"/>
              <w:left w:w="100" w:type="dxa"/>
              <w:bottom w:w="100" w:type="dxa"/>
              <w:right w:w="100" w:type="dxa"/>
            </w:tcMar>
          </w:tcPr>
          <w:p w:rsidR="007B6E0A" w:rsidRDefault="000C6977">
            <w:pPr>
              <w:pStyle w:val="normal0"/>
              <w:widowControl w:val="0"/>
              <w:pBdr>
                <w:top w:val="nil"/>
                <w:left w:val="nil"/>
                <w:bottom w:val="nil"/>
                <w:right w:val="nil"/>
                <w:between w:val="nil"/>
              </w:pBdr>
              <w:spacing w:line="240" w:lineRule="auto"/>
            </w:pPr>
            <w:r>
              <w:t>II</w:t>
            </w:r>
          </w:p>
        </w:tc>
        <w:tc>
          <w:tcPr>
            <w:tcW w:w="675" w:type="dxa"/>
            <w:shd w:val="clear" w:color="auto" w:fill="auto"/>
            <w:tcMar>
              <w:top w:w="100" w:type="dxa"/>
              <w:left w:w="100" w:type="dxa"/>
              <w:bottom w:w="100" w:type="dxa"/>
              <w:right w:w="100" w:type="dxa"/>
            </w:tcMar>
          </w:tcPr>
          <w:p w:rsidR="007B6E0A" w:rsidRDefault="000C6977">
            <w:pPr>
              <w:pStyle w:val="normal0"/>
              <w:widowControl w:val="0"/>
              <w:pBdr>
                <w:top w:val="nil"/>
                <w:left w:val="nil"/>
                <w:bottom w:val="nil"/>
                <w:right w:val="nil"/>
                <w:between w:val="nil"/>
              </w:pBdr>
              <w:spacing w:line="240" w:lineRule="auto"/>
            </w:pPr>
            <w:r>
              <w:t>I</w:t>
            </w:r>
          </w:p>
        </w:tc>
        <w:tc>
          <w:tcPr>
            <w:tcW w:w="675" w:type="dxa"/>
            <w:shd w:val="clear" w:color="auto" w:fill="auto"/>
            <w:tcMar>
              <w:top w:w="100" w:type="dxa"/>
              <w:left w:w="100" w:type="dxa"/>
              <w:bottom w:w="100" w:type="dxa"/>
              <w:right w:w="100" w:type="dxa"/>
            </w:tcMar>
          </w:tcPr>
          <w:p w:rsidR="007B6E0A" w:rsidRDefault="000C6977">
            <w:pPr>
              <w:pStyle w:val="normal0"/>
              <w:widowControl w:val="0"/>
              <w:pBdr>
                <w:top w:val="nil"/>
                <w:left w:val="nil"/>
                <w:bottom w:val="nil"/>
                <w:right w:val="nil"/>
                <w:between w:val="nil"/>
              </w:pBdr>
              <w:spacing w:line="240" w:lineRule="auto"/>
            </w:pPr>
            <w:r>
              <w:t>II</w:t>
            </w:r>
          </w:p>
        </w:tc>
        <w:tc>
          <w:tcPr>
            <w:tcW w:w="675" w:type="dxa"/>
            <w:shd w:val="clear" w:color="auto" w:fill="auto"/>
            <w:tcMar>
              <w:top w:w="100" w:type="dxa"/>
              <w:left w:w="100" w:type="dxa"/>
              <w:bottom w:w="100" w:type="dxa"/>
              <w:right w:w="100" w:type="dxa"/>
            </w:tcMar>
          </w:tcPr>
          <w:p w:rsidR="007B6E0A" w:rsidRDefault="000C6977">
            <w:pPr>
              <w:pStyle w:val="normal0"/>
              <w:widowControl w:val="0"/>
              <w:pBdr>
                <w:top w:val="nil"/>
                <w:left w:val="nil"/>
                <w:bottom w:val="nil"/>
                <w:right w:val="nil"/>
                <w:between w:val="nil"/>
              </w:pBdr>
              <w:spacing w:line="240" w:lineRule="auto"/>
            </w:pPr>
            <w:r>
              <w:t>I</w:t>
            </w:r>
          </w:p>
        </w:tc>
        <w:tc>
          <w:tcPr>
            <w:tcW w:w="675" w:type="dxa"/>
            <w:shd w:val="clear" w:color="auto" w:fill="auto"/>
            <w:tcMar>
              <w:top w:w="100" w:type="dxa"/>
              <w:left w:w="100" w:type="dxa"/>
              <w:bottom w:w="100" w:type="dxa"/>
              <w:right w:w="100" w:type="dxa"/>
            </w:tcMar>
          </w:tcPr>
          <w:p w:rsidR="007B6E0A" w:rsidRDefault="000C6977">
            <w:pPr>
              <w:pStyle w:val="normal0"/>
              <w:widowControl w:val="0"/>
              <w:pBdr>
                <w:top w:val="nil"/>
                <w:left w:val="nil"/>
                <w:bottom w:val="nil"/>
                <w:right w:val="nil"/>
                <w:between w:val="nil"/>
              </w:pBdr>
              <w:spacing w:line="240" w:lineRule="auto"/>
            </w:pPr>
            <w:r>
              <w:t>II</w:t>
            </w:r>
          </w:p>
        </w:tc>
        <w:tc>
          <w:tcPr>
            <w:tcW w:w="675" w:type="dxa"/>
            <w:shd w:val="clear" w:color="auto" w:fill="auto"/>
            <w:tcMar>
              <w:top w:w="100" w:type="dxa"/>
              <w:left w:w="100" w:type="dxa"/>
              <w:bottom w:w="100" w:type="dxa"/>
              <w:right w:w="100" w:type="dxa"/>
            </w:tcMar>
          </w:tcPr>
          <w:p w:rsidR="007B6E0A" w:rsidRDefault="000C6977">
            <w:pPr>
              <w:pStyle w:val="normal0"/>
              <w:widowControl w:val="0"/>
              <w:pBdr>
                <w:top w:val="nil"/>
                <w:left w:val="nil"/>
                <w:bottom w:val="nil"/>
                <w:right w:val="nil"/>
                <w:between w:val="nil"/>
              </w:pBdr>
              <w:spacing w:line="240" w:lineRule="auto"/>
            </w:pPr>
            <w:r>
              <w:t>I</w:t>
            </w:r>
          </w:p>
        </w:tc>
        <w:tc>
          <w:tcPr>
            <w:tcW w:w="675" w:type="dxa"/>
            <w:shd w:val="clear" w:color="auto" w:fill="auto"/>
            <w:tcMar>
              <w:top w:w="100" w:type="dxa"/>
              <w:left w:w="100" w:type="dxa"/>
              <w:bottom w:w="100" w:type="dxa"/>
              <w:right w:w="100" w:type="dxa"/>
            </w:tcMar>
          </w:tcPr>
          <w:p w:rsidR="007B6E0A" w:rsidRDefault="000C6977">
            <w:pPr>
              <w:pStyle w:val="normal0"/>
              <w:widowControl w:val="0"/>
              <w:pBdr>
                <w:top w:val="nil"/>
                <w:left w:val="nil"/>
                <w:bottom w:val="nil"/>
                <w:right w:val="nil"/>
                <w:between w:val="nil"/>
              </w:pBdr>
              <w:spacing w:line="240" w:lineRule="auto"/>
            </w:pPr>
            <w:r>
              <w:t>II</w:t>
            </w:r>
          </w:p>
        </w:tc>
        <w:tc>
          <w:tcPr>
            <w:tcW w:w="675" w:type="dxa"/>
            <w:shd w:val="clear" w:color="auto" w:fill="auto"/>
            <w:tcMar>
              <w:top w:w="100" w:type="dxa"/>
              <w:left w:w="100" w:type="dxa"/>
              <w:bottom w:w="100" w:type="dxa"/>
              <w:right w:w="100" w:type="dxa"/>
            </w:tcMar>
          </w:tcPr>
          <w:p w:rsidR="007B6E0A" w:rsidRDefault="000C6977">
            <w:pPr>
              <w:pStyle w:val="normal0"/>
              <w:widowControl w:val="0"/>
              <w:pBdr>
                <w:top w:val="nil"/>
                <w:left w:val="nil"/>
                <w:bottom w:val="nil"/>
                <w:right w:val="nil"/>
                <w:between w:val="nil"/>
              </w:pBdr>
              <w:spacing w:line="240" w:lineRule="auto"/>
            </w:pPr>
            <w:r>
              <w:t>I</w:t>
            </w:r>
          </w:p>
        </w:tc>
        <w:tc>
          <w:tcPr>
            <w:tcW w:w="675" w:type="dxa"/>
            <w:shd w:val="clear" w:color="auto" w:fill="auto"/>
            <w:tcMar>
              <w:top w:w="100" w:type="dxa"/>
              <w:left w:w="100" w:type="dxa"/>
              <w:bottom w:w="100" w:type="dxa"/>
              <w:right w:w="100" w:type="dxa"/>
            </w:tcMar>
          </w:tcPr>
          <w:p w:rsidR="007B6E0A" w:rsidRDefault="000C6977">
            <w:pPr>
              <w:pStyle w:val="normal0"/>
              <w:widowControl w:val="0"/>
              <w:pBdr>
                <w:top w:val="nil"/>
                <w:left w:val="nil"/>
                <w:bottom w:val="nil"/>
                <w:right w:val="nil"/>
                <w:between w:val="nil"/>
              </w:pBdr>
              <w:spacing w:line="240" w:lineRule="auto"/>
            </w:pPr>
            <w:r>
              <w:t>II</w:t>
            </w:r>
          </w:p>
        </w:tc>
      </w:tr>
      <w:tr w:rsidR="007B6E0A">
        <w:tc>
          <w:tcPr>
            <w:tcW w:w="1365" w:type="dxa"/>
            <w:shd w:val="clear" w:color="auto" w:fill="auto"/>
            <w:tcMar>
              <w:top w:w="100" w:type="dxa"/>
              <w:left w:w="100" w:type="dxa"/>
              <w:bottom w:w="100" w:type="dxa"/>
              <w:right w:w="100" w:type="dxa"/>
            </w:tcMar>
          </w:tcPr>
          <w:p w:rsidR="007B6E0A" w:rsidRDefault="000C6977">
            <w:pPr>
              <w:pStyle w:val="normal0"/>
              <w:widowControl w:val="0"/>
              <w:pBdr>
                <w:top w:val="nil"/>
                <w:left w:val="nil"/>
                <w:bottom w:val="nil"/>
                <w:right w:val="nil"/>
                <w:between w:val="nil"/>
              </w:pBdr>
              <w:spacing w:line="240" w:lineRule="auto"/>
            </w:pPr>
            <w:r>
              <w:t>Klimato kaita</w:t>
            </w:r>
          </w:p>
        </w:tc>
        <w:tc>
          <w:tcPr>
            <w:tcW w:w="660"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3,8</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5,1</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5,7</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4,9</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6,1</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0,2</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0,2</w:t>
            </w:r>
          </w:p>
        </w:tc>
      </w:tr>
      <w:tr w:rsidR="007B6E0A">
        <w:tc>
          <w:tcPr>
            <w:tcW w:w="1365" w:type="dxa"/>
            <w:shd w:val="clear" w:color="auto" w:fill="auto"/>
            <w:tcMar>
              <w:top w:w="100" w:type="dxa"/>
              <w:left w:w="100" w:type="dxa"/>
              <w:bottom w:w="100" w:type="dxa"/>
              <w:right w:w="100" w:type="dxa"/>
            </w:tcMar>
          </w:tcPr>
          <w:p w:rsidR="007B6E0A" w:rsidRDefault="000C6977">
            <w:pPr>
              <w:pStyle w:val="normal0"/>
              <w:widowControl w:val="0"/>
              <w:pBdr>
                <w:top w:val="nil"/>
                <w:left w:val="nil"/>
                <w:bottom w:val="nil"/>
                <w:right w:val="nil"/>
                <w:between w:val="nil"/>
              </w:pBdr>
              <w:spacing w:line="240" w:lineRule="auto"/>
            </w:pPr>
            <w:r>
              <w:t>Lyčių lygybė</w:t>
            </w:r>
          </w:p>
        </w:tc>
        <w:tc>
          <w:tcPr>
            <w:tcW w:w="660"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0,7</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1,3</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1,3</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4,4</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5,8</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5,1</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5,1</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w:t>
            </w:r>
          </w:p>
        </w:tc>
      </w:tr>
      <w:tr w:rsidR="007B6E0A">
        <w:tc>
          <w:tcPr>
            <w:tcW w:w="1365" w:type="dxa"/>
            <w:shd w:val="clear" w:color="auto" w:fill="auto"/>
            <w:tcMar>
              <w:top w:w="100" w:type="dxa"/>
              <w:left w:w="100" w:type="dxa"/>
              <w:bottom w:w="100" w:type="dxa"/>
              <w:right w:w="100" w:type="dxa"/>
            </w:tcMar>
          </w:tcPr>
          <w:p w:rsidR="007B6E0A" w:rsidRDefault="000C6977">
            <w:pPr>
              <w:pStyle w:val="normal0"/>
              <w:widowControl w:val="0"/>
              <w:pBdr>
                <w:top w:val="nil"/>
                <w:left w:val="nil"/>
                <w:bottom w:val="nil"/>
                <w:right w:val="nil"/>
                <w:between w:val="nil"/>
              </w:pBdr>
              <w:spacing w:line="240" w:lineRule="auto"/>
            </w:pPr>
            <w:r>
              <w:t>Žmogaus teisės</w:t>
            </w:r>
          </w:p>
        </w:tc>
        <w:tc>
          <w:tcPr>
            <w:tcW w:w="660"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2,6</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7,2</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8,5</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8,2</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9,1</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0,8</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0,8</w:t>
            </w:r>
          </w:p>
        </w:tc>
      </w:tr>
      <w:tr w:rsidR="007B6E0A">
        <w:tc>
          <w:tcPr>
            <w:tcW w:w="1365" w:type="dxa"/>
            <w:shd w:val="clear" w:color="auto" w:fill="auto"/>
            <w:tcMar>
              <w:top w:w="100" w:type="dxa"/>
              <w:left w:w="100" w:type="dxa"/>
              <w:bottom w:w="100" w:type="dxa"/>
              <w:right w:w="100" w:type="dxa"/>
            </w:tcMar>
          </w:tcPr>
          <w:p w:rsidR="007B6E0A" w:rsidRDefault="000C6977">
            <w:pPr>
              <w:pStyle w:val="normal0"/>
              <w:widowControl w:val="0"/>
              <w:pBdr>
                <w:top w:val="nil"/>
                <w:left w:val="nil"/>
                <w:bottom w:val="nil"/>
                <w:right w:val="nil"/>
                <w:between w:val="nil"/>
              </w:pBdr>
              <w:spacing w:line="240" w:lineRule="auto"/>
            </w:pPr>
            <w:r>
              <w:lastRenderedPageBreak/>
              <w:t>Darbuotojų teisės</w:t>
            </w:r>
          </w:p>
        </w:tc>
        <w:tc>
          <w:tcPr>
            <w:tcW w:w="660"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1,8</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5,8</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7,0</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7,1</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7,4</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0,1</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0,3</w:t>
            </w:r>
          </w:p>
        </w:tc>
      </w:tr>
      <w:tr w:rsidR="007B6E0A">
        <w:tc>
          <w:tcPr>
            <w:tcW w:w="1365" w:type="dxa"/>
            <w:shd w:val="clear" w:color="auto" w:fill="auto"/>
            <w:tcMar>
              <w:top w:w="100" w:type="dxa"/>
              <w:left w:w="100" w:type="dxa"/>
              <w:bottom w:w="100" w:type="dxa"/>
              <w:right w:w="100" w:type="dxa"/>
            </w:tcMar>
          </w:tcPr>
          <w:p w:rsidR="007B6E0A" w:rsidRDefault="000C6977">
            <w:pPr>
              <w:pStyle w:val="normal0"/>
              <w:widowControl w:val="0"/>
              <w:pBdr>
                <w:top w:val="nil"/>
                <w:left w:val="nil"/>
                <w:bottom w:val="nil"/>
                <w:right w:val="nil"/>
                <w:between w:val="nil"/>
              </w:pBdr>
              <w:spacing w:line="240" w:lineRule="auto"/>
            </w:pPr>
            <w:r>
              <w:t>Poveikis gamtai</w:t>
            </w:r>
          </w:p>
        </w:tc>
        <w:tc>
          <w:tcPr>
            <w:tcW w:w="660"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2,1</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6,3</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6,9</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5,9</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5,9</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0,2</w:t>
            </w:r>
          </w:p>
          <w:p w:rsidR="007B6E0A" w:rsidRDefault="000C6977">
            <w:pPr>
              <w:pStyle w:val="normal0"/>
              <w:widowControl w:val="0"/>
              <w:spacing w:line="240" w:lineRule="auto"/>
            </w:pPr>
            <w:r>
              <w:t xml:space="preserve"> </w:t>
            </w:r>
          </w:p>
        </w:tc>
      </w:tr>
      <w:tr w:rsidR="007B6E0A">
        <w:tc>
          <w:tcPr>
            <w:tcW w:w="1365" w:type="dxa"/>
            <w:shd w:val="clear" w:color="auto" w:fill="auto"/>
            <w:tcMar>
              <w:top w:w="100" w:type="dxa"/>
              <w:left w:w="100" w:type="dxa"/>
              <w:bottom w:w="100" w:type="dxa"/>
              <w:right w:w="100" w:type="dxa"/>
            </w:tcMar>
          </w:tcPr>
          <w:p w:rsidR="007B6E0A" w:rsidRDefault="000C6977">
            <w:pPr>
              <w:pStyle w:val="normal0"/>
              <w:widowControl w:val="0"/>
              <w:pBdr>
                <w:top w:val="nil"/>
                <w:left w:val="nil"/>
                <w:bottom w:val="nil"/>
                <w:right w:val="nil"/>
                <w:between w:val="nil"/>
              </w:pBdr>
              <w:spacing w:line="240" w:lineRule="auto"/>
            </w:pPr>
            <w:r>
              <w:t>Vidurkis</w:t>
            </w:r>
          </w:p>
        </w:tc>
        <w:tc>
          <w:tcPr>
            <w:tcW w:w="660"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1%</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23%</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0</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3%</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58%</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68%</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62%</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67%</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2%</w:t>
            </w:r>
          </w:p>
        </w:tc>
        <w:tc>
          <w:tcPr>
            <w:tcW w:w="675" w:type="dxa"/>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pPr>
            <w:r>
              <w:t>3%</w:t>
            </w:r>
          </w:p>
        </w:tc>
      </w:tr>
      <w:tr w:rsidR="007B6E0A">
        <w:trPr>
          <w:trHeight w:val="420"/>
        </w:trPr>
        <w:tc>
          <w:tcPr>
            <w:tcW w:w="1365" w:type="dxa"/>
            <w:shd w:val="clear" w:color="auto" w:fill="auto"/>
            <w:tcMar>
              <w:top w:w="100" w:type="dxa"/>
              <w:left w:w="100" w:type="dxa"/>
              <w:bottom w:w="100" w:type="dxa"/>
              <w:right w:w="100" w:type="dxa"/>
            </w:tcMar>
          </w:tcPr>
          <w:p w:rsidR="007B6E0A" w:rsidRDefault="000C6977">
            <w:pPr>
              <w:pStyle w:val="normal0"/>
              <w:widowControl w:val="0"/>
              <w:pBdr>
                <w:top w:val="nil"/>
                <w:left w:val="nil"/>
                <w:bottom w:val="nil"/>
                <w:right w:val="nil"/>
                <w:between w:val="nil"/>
              </w:pBdr>
              <w:spacing w:line="240" w:lineRule="auto"/>
            </w:pPr>
            <w:r>
              <w:t>Pokytis</w:t>
            </w:r>
          </w:p>
        </w:tc>
        <w:tc>
          <w:tcPr>
            <w:tcW w:w="1335" w:type="dxa"/>
            <w:gridSpan w:val="2"/>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rPr>
                <w:b/>
              </w:rPr>
            </w:pPr>
            <w:r>
              <w:rPr>
                <w:b/>
              </w:rPr>
              <w:t>0%</w:t>
            </w:r>
          </w:p>
        </w:tc>
        <w:tc>
          <w:tcPr>
            <w:tcW w:w="1350" w:type="dxa"/>
            <w:gridSpan w:val="2"/>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rPr>
                <w:b/>
              </w:rPr>
            </w:pPr>
            <w:r>
              <w:rPr>
                <w:b/>
              </w:rPr>
              <w:t>+22%</w:t>
            </w:r>
          </w:p>
        </w:tc>
        <w:tc>
          <w:tcPr>
            <w:tcW w:w="1350" w:type="dxa"/>
            <w:gridSpan w:val="2"/>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rPr>
                <w:b/>
              </w:rPr>
            </w:pPr>
            <w:r>
              <w:rPr>
                <w:b/>
              </w:rPr>
              <w:t>+3%</w:t>
            </w:r>
          </w:p>
        </w:tc>
        <w:tc>
          <w:tcPr>
            <w:tcW w:w="1350" w:type="dxa"/>
            <w:gridSpan w:val="2"/>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rPr>
                <w:b/>
              </w:rPr>
            </w:pPr>
            <w:r>
              <w:rPr>
                <w:b/>
              </w:rPr>
              <w:t>+10%</w:t>
            </w:r>
          </w:p>
        </w:tc>
        <w:tc>
          <w:tcPr>
            <w:tcW w:w="1350" w:type="dxa"/>
            <w:gridSpan w:val="2"/>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rPr>
                <w:b/>
              </w:rPr>
            </w:pPr>
            <w:r>
              <w:rPr>
                <w:b/>
              </w:rPr>
              <w:t>+5%</w:t>
            </w:r>
          </w:p>
        </w:tc>
        <w:tc>
          <w:tcPr>
            <w:tcW w:w="1350" w:type="dxa"/>
            <w:gridSpan w:val="2"/>
            <w:tcBorders>
              <w:top w:val="single" w:sz="4" w:space="0" w:color="303134"/>
              <w:left w:val="single" w:sz="4" w:space="0" w:color="303134"/>
              <w:bottom w:val="single" w:sz="4" w:space="0" w:color="303134"/>
              <w:right w:val="single" w:sz="4" w:space="0" w:color="303134"/>
            </w:tcBorders>
            <w:tcMar>
              <w:top w:w="100" w:type="dxa"/>
              <w:left w:w="100" w:type="dxa"/>
              <w:bottom w:w="100" w:type="dxa"/>
              <w:right w:w="100" w:type="dxa"/>
            </w:tcMar>
          </w:tcPr>
          <w:p w:rsidR="007B6E0A" w:rsidRDefault="000C6977">
            <w:pPr>
              <w:pStyle w:val="normal0"/>
              <w:widowControl w:val="0"/>
              <w:spacing w:line="240" w:lineRule="auto"/>
              <w:rPr>
                <w:b/>
              </w:rPr>
            </w:pPr>
            <w:r>
              <w:rPr>
                <w:b/>
              </w:rPr>
              <w:t>+1%</w:t>
            </w:r>
          </w:p>
        </w:tc>
      </w:tr>
    </w:tbl>
    <w:p w:rsidR="007B6E0A" w:rsidRDefault="000C6977" w:rsidP="000C6977">
      <w:pPr>
        <w:pStyle w:val="normal0"/>
        <w:spacing w:before="120"/>
        <w:rPr>
          <w:i/>
        </w:rPr>
      </w:pPr>
      <w:r>
        <w:rPr>
          <w:i/>
        </w:rPr>
        <w:t xml:space="preserve">2 lentelė. Pirmojo (2021 m. liepos) ir antrojo (2021 m. gruodžio) tyrimo etapų penkių tiriamų temų palyginimas. </w:t>
      </w:r>
    </w:p>
    <w:p w:rsidR="007B6E0A" w:rsidRDefault="007B6E0A">
      <w:pPr>
        <w:pStyle w:val="normal0"/>
      </w:pPr>
    </w:p>
    <w:p w:rsidR="007B6E0A" w:rsidRDefault="000C6977">
      <w:pPr>
        <w:pStyle w:val="normal0"/>
      </w:pPr>
      <w:r>
        <w:t>Lyginant su pirmo tyrimo temų rezultatais (2 lentelė), antro tyrimo balai buvo aukštesni. Didžiausias pokytis matomas „</w:t>
      </w:r>
      <w:proofErr w:type="spellStart"/>
      <w:r>
        <w:t>Luminor</w:t>
      </w:r>
      <w:proofErr w:type="spellEnd"/>
      <w:r>
        <w:t>“ banko (22%) atveju. Taip pat nemažas pokytis matomas SEB (10%) bei „</w:t>
      </w:r>
      <w:proofErr w:type="spellStart"/>
      <w:r>
        <w:t>Swedbank</w:t>
      </w:r>
      <w:proofErr w:type="spellEnd"/>
      <w:r>
        <w:t>“ (5%) bankuose. Medicinos banko rezultatas pakilo 3</w:t>
      </w:r>
      <w:r>
        <w:t>%, o Šiaulių banko 1%. „Citadele“ banko rezultatas išliko 0.</w:t>
      </w:r>
    </w:p>
    <w:p w:rsidR="007B6E0A" w:rsidRDefault="007B6E0A">
      <w:pPr>
        <w:pStyle w:val="normal0"/>
      </w:pPr>
    </w:p>
    <w:p w:rsidR="007B6E0A" w:rsidRDefault="000C6977">
      <w:pPr>
        <w:pStyle w:val="normal0"/>
      </w:pPr>
      <w:r>
        <w:t>„</w:t>
      </w:r>
      <w:proofErr w:type="spellStart"/>
      <w:r>
        <w:t>Luminor</w:t>
      </w:r>
      <w:proofErr w:type="spellEnd"/>
      <w:r>
        <w:t>“ banko šuolis paaiškinamas dėl atnaujintos tvarumo politikos, kuri buvo publikuota 2021 metų gruodžio mėnesį. Kitų bankų išaugęs įvertinimo balas taip pat priklauso nuo atnaujintų polit</w:t>
      </w:r>
      <w:r>
        <w:t>ikos dokumentų.</w:t>
      </w:r>
    </w:p>
    <w:p w:rsidR="007B6E0A" w:rsidRPr="000C6977" w:rsidRDefault="007B6E0A" w:rsidP="000C6977">
      <w:pPr>
        <w:pStyle w:val="normal0"/>
        <w:rPr>
          <w:color w:val="E8EAED"/>
          <w:sz w:val="42"/>
          <w:szCs w:val="42"/>
          <w:shd w:val="clear" w:color="auto" w:fill="303134"/>
        </w:rPr>
      </w:pPr>
      <w:bookmarkStart w:id="6" w:name="_l7nppdjnhrhh" w:colFirst="0" w:colLast="0"/>
      <w:bookmarkEnd w:id="6"/>
    </w:p>
    <w:p w:rsidR="007B6E0A" w:rsidRDefault="000C6977">
      <w:pPr>
        <w:pStyle w:val="Subtitle"/>
      </w:pPr>
      <w:bookmarkStart w:id="7" w:name="_ttsxk8t9gqu" w:colFirst="0" w:colLast="0"/>
      <w:bookmarkEnd w:id="7"/>
      <w:r>
        <w:t>Klausimai d</w:t>
      </w:r>
      <w:r>
        <w:t>iskusijai</w:t>
      </w:r>
      <w:r>
        <w:t xml:space="preserve"> ir rekomendacijos</w:t>
      </w:r>
    </w:p>
    <w:p w:rsidR="007B6E0A" w:rsidRDefault="000C6977">
      <w:pPr>
        <w:pStyle w:val="normal0"/>
      </w:pPr>
      <w:r>
        <w:t>Pirmojo tyrimo metu buvo pastebėta, kad iš tirtų pagrindinių Lietuvoje veikiančių bankų tik du bankai buvo aktyvūs visose tirtose temose (SEB bankas ir „</w:t>
      </w:r>
      <w:proofErr w:type="spellStart"/>
      <w:r>
        <w:t>Swedbank</w:t>
      </w:r>
      <w:proofErr w:type="spellEnd"/>
      <w:r>
        <w:t>“). Antro tyrimo metu aktyvūs buvo kone visi banka</w:t>
      </w:r>
      <w:r>
        <w:t>i (išskyrus Medicinos banką, kurio atveju kaip tik šiuo metu vyksta pardavimo sandorio procesai). Kaip ir pirmo tyrimo metu, antrame tyrime kai kurie bankai nurodė, kad su tam tikromis tvarumo temomis susijusią informaciją skelbia banko vidiniuose dokument</w:t>
      </w:r>
      <w:r>
        <w:t xml:space="preserve">uose. Deja, ši informacija nebuvo vertinama, nes pagrindinis tyrimo tikslas yra įvertinti viešai prieinamą informaciją, kuri būtų lengvai pasiekiama vartotojams. Kaip ir pirmojo tyrimo metu, aukščiausius balus gavę bankai yra tarptautiniai, surinkę mažiau </w:t>
      </w:r>
      <w:r>
        <w:t>balų – lietuviški bankai (išskyrus Citadele).</w:t>
      </w:r>
    </w:p>
    <w:p w:rsidR="007B6E0A" w:rsidRDefault="007B6E0A">
      <w:pPr>
        <w:pStyle w:val="normal0"/>
      </w:pPr>
    </w:p>
    <w:p w:rsidR="007B6E0A" w:rsidRDefault="000C6977">
      <w:pPr>
        <w:pStyle w:val="normal0"/>
      </w:pPr>
      <w:r>
        <w:t>Tai galėtų reikšti, kad tarptautiniams tinklams priklausantys didesnieji bankai yra labiau imlūs globaliu mastu reiškiamam susirūpinimui tvarumu. Tačiau mažesnieji bankai, turintys daugiau manevro laisvės, gal</w:t>
      </w:r>
      <w:r>
        <w:t>i labai lengvai įveikti atotrūkį, aktyviai įgyvendindami strateginius pokyčius ir formuodami tvarumą skatinančias politikas savo veikloje.</w:t>
      </w:r>
    </w:p>
    <w:p w:rsidR="007B6E0A" w:rsidRDefault="007B6E0A">
      <w:pPr>
        <w:pStyle w:val="normal0"/>
      </w:pPr>
    </w:p>
    <w:p w:rsidR="007B6E0A" w:rsidRDefault="000C6977">
      <w:pPr>
        <w:pStyle w:val="normal0"/>
      </w:pPr>
      <w:r>
        <w:t>Atsižvelgiant į tyrimo rezultatus, bankams siūlomos šios rekomendacijos:</w:t>
      </w:r>
    </w:p>
    <w:p w:rsidR="007B6E0A" w:rsidRDefault="007B6E0A">
      <w:pPr>
        <w:pStyle w:val="normal0"/>
      </w:pPr>
    </w:p>
    <w:p w:rsidR="007B6E0A" w:rsidRDefault="000C6977">
      <w:pPr>
        <w:pStyle w:val="normal0"/>
      </w:pPr>
      <w:r>
        <w:t>1) užtikrinti, kad aplinkosaugos, socialin</w:t>
      </w:r>
      <w:r>
        <w:t>iai bei valdysenos veiksniai (ESG) būtų įgyvendinami plačiu mastu visoje banko veikloje, būtų tinkamai aprašomi ir vykdomi pagal priimtas vidines politikas;</w:t>
      </w:r>
    </w:p>
    <w:p w:rsidR="007B6E0A" w:rsidRDefault="000C6977">
      <w:pPr>
        <w:pStyle w:val="normal0"/>
      </w:pPr>
      <w:r>
        <w:t xml:space="preserve">2) tiksliai nurodyti, kuriuose bankų veiklos sektoriuose (pvz., kredituojant tam tikras ekonomines </w:t>
      </w:r>
      <w:r>
        <w:t xml:space="preserve">veiklas) yra taikoma viešai publikuojama bankų tvarumo politiką rodanti </w:t>
      </w:r>
      <w:r>
        <w:lastRenderedPageBreak/>
        <w:t>informacija. Taip pat siūlome atskirai identifikuoti bankų nuosavų investicijų srityje ir klientų finansavimo srityje naudojamus dokumentus (politikas);</w:t>
      </w:r>
    </w:p>
    <w:p w:rsidR="007B6E0A" w:rsidRDefault="000C6977">
      <w:pPr>
        <w:pStyle w:val="normal0"/>
      </w:pPr>
      <w:r>
        <w:t>3) pateikti aiškią, suprantamą,</w:t>
      </w:r>
      <w:r>
        <w:t xml:space="preserve"> viešą informaciją apie taikomas tvarumą skatinančias politikas klientams ir visiems vartotojams;</w:t>
      </w:r>
    </w:p>
    <w:p w:rsidR="007B6E0A" w:rsidRDefault="000C6977">
      <w:pPr>
        <w:pStyle w:val="normal0"/>
      </w:pPr>
      <w:r>
        <w:t>4) aktyviai kurti ir įgyvendinti tvarumo politiką, kuri atitiktų tarptautinius standartus;</w:t>
      </w:r>
    </w:p>
    <w:p w:rsidR="007B6E0A" w:rsidRDefault="000C6977">
      <w:pPr>
        <w:pStyle w:val="normal0"/>
      </w:pPr>
      <w:r>
        <w:t>5) prisidėti kuriant tvarią finansų sektoriaus ekosistemą;</w:t>
      </w:r>
    </w:p>
    <w:p w:rsidR="007B6E0A" w:rsidRDefault="000C6977">
      <w:pPr>
        <w:pStyle w:val="normal0"/>
      </w:pPr>
      <w:r>
        <w:t>6) skati</w:t>
      </w:r>
      <w:r>
        <w:t>nti naujų talentų, darbuotojų paiešką darnaus finansavimo klausimais bankuose.</w:t>
      </w:r>
    </w:p>
    <w:p w:rsidR="007B6E0A" w:rsidRPr="000C6977" w:rsidRDefault="007B6E0A">
      <w:pPr>
        <w:pStyle w:val="normal0"/>
        <w:rPr>
          <w:color w:val="E8EAED"/>
          <w:sz w:val="42"/>
          <w:szCs w:val="42"/>
          <w:shd w:val="clear" w:color="auto" w:fill="303134"/>
        </w:rPr>
      </w:pPr>
    </w:p>
    <w:p w:rsidR="007B6E0A" w:rsidRDefault="000C6977">
      <w:pPr>
        <w:pStyle w:val="Subtitle"/>
      </w:pPr>
      <w:bookmarkStart w:id="8" w:name="_wkr2705hz5jb" w:colFirst="0" w:colLast="0"/>
      <w:bookmarkEnd w:id="8"/>
      <w:r>
        <w:t>Išvados</w:t>
      </w:r>
    </w:p>
    <w:p w:rsidR="007B6E0A" w:rsidRDefault="000C6977">
      <w:pPr>
        <w:pStyle w:val="normal0"/>
      </w:pPr>
      <w:r>
        <w:t>Pagal „</w:t>
      </w:r>
      <w:proofErr w:type="spellStart"/>
      <w:r>
        <w:t>Fair</w:t>
      </w:r>
      <w:proofErr w:type="spellEnd"/>
      <w:r>
        <w:t xml:space="preserve"> </w:t>
      </w:r>
      <w:proofErr w:type="spellStart"/>
      <w:r>
        <w:t>Finance</w:t>
      </w:r>
      <w:proofErr w:type="spellEnd"/>
      <w:r>
        <w:t xml:space="preserve"> </w:t>
      </w:r>
      <w:proofErr w:type="spellStart"/>
      <w:r>
        <w:t>International</w:t>
      </w:r>
      <w:proofErr w:type="spellEnd"/>
      <w:r>
        <w:t>“ metodologiją tyrime nagrinėta šešių Lietuvoje veikiančių bankų viešai prieinama informacija apie jų su tvarumu susijusias veiklas. Buvo siekiama ištirti, kurių Lietuvoje veikiančių bankų viešai skelbiama, lengvai prieinam</w:t>
      </w:r>
      <w:r>
        <w:t>a veiklos politika yra labiausiai susijusi su ESG principais, ir apie tai informuoti vartotojus. Pirmojo tyrimo metu paaiškėjo, kad šioje srityje aktyviausiai veikia du bankai – SEB bankas ir „</w:t>
      </w:r>
      <w:proofErr w:type="spellStart"/>
      <w:r>
        <w:t>Swedbank</w:t>
      </w:r>
      <w:proofErr w:type="spellEnd"/>
      <w:r>
        <w:t xml:space="preserve">“. Antro tyrimo metu buvo pastebėtas aktyvesnis ne tik </w:t>
      </w:r>
      <w:r>
        <w:t>šių dviejų, bet ir kitų bankų bendradarbiavimas (išskyrus Medicinos banką). Antro tyrimo bendri bankų balai nėra aukšti (didžiausias 5,9 balo iš 10). Dėl šios priežasties visi Lietuvoje veikiantys bankai turėtų tobulinti savo politiką, susijusią su aplinko</w:t>
      </w:r>
      <w:r>
        <w:t>s apsauga bei visuomenės gerove.</w:t>
      </w:r>
    </w:p>
    <w:p w:rsidR="007B6E0A" w:rsidRDefault="007B6E0A">
      <w:pPr>
        <w:pStyle w:val="normal0"/>
      </w:pPr>
    </w:p>
    <w:p w:rsidR="000C6977" w:rsidRDefault="000C6977" w:rsidP="000C6977">
      <w:pPr>
        <w:pStyle w:val="normal0"/>
        <w:ind w:left="720"/>
        <w:jc w:val="center"/>
      </w:pPr>
      <w:r>
        <w:t>* * *</w:t>
      </w:r>
    </w:p>
    <w:p w:rsidR="000C6977" w:rsidRPr="000C6977" w:rsidRDefault="000C6977">
      <w:pPr>
        <w:pStyle w:val="normal0"/>
        <w:rPr>
          <w:color w:val="E8EAED"/>
          <w:sz w:val="42"/>
          <w:szCs w:val="42"/>
          <w:shd w:val="clear" w:color="auto" w:fill="303134"/>
        </w:rPr>
      </w:pPr>
    </w:p>
    <w:p w:rsidR="007B6E0A" w:rsidRDefault="000C6977">
      <w:pPr>
        <w:pStyle w:val="Subtitle"/>
      </w:pPr>
      <w:bookmarkStart w:id="9" w:name="_55txm41ajmyx" w:colFirst="0" w:colLast="0"/>
      <w:bookmarkEnd w:id="9"/>
      <w:r>
        <w:t>Šaltiniai</w:t>
      </w:r>
    </w:p>
    <w:p w:rsidR="007B6E0A" w:rsidRPr="000C6977" w:rsidRDefault="000C6977">
      <w:pPr>
        <w:pStyle w:val="normal0"/>
      </w:pPr>
      <w:r w:rsidRPr="000C6977">
        <w:t>ISO (2010), ISO 26000: 2010. Socialinės atsakomybės gairės [</w:t>
      </w:r>
      <w:proofErr w:type="spellStart"/>
      <w:r w:rsidRPr="000C6977">
        <w:t>Guidance</w:t>
      </w:r>
      <w:proofErr w:type="spellEnd"/>
      <w:r w:rsidRPr="000C6977">
        <w:t xml:space="preserve"> </w:t>
      </w:r>
      <w:proofErr w:type="spellStart"/>
      <w:r w:rsidRPr="000C6977">
        <w:t>on</w:t>
      </w:r>
      <w:proofErr w:type="spellEnd"/>
      <w:r w:rsidRPr="000C6977">
        <w:t xml:space="preserve"> </w:t>
      </w:r>
      <w:proofErr w:type="spellStart"/>
      <w:r w:rsidRPr="000C6977">
        <w:t>Social</w:t>
      </w:r>
      <w:proofErr w:type="spellEnd"/>
      <w:r w:rsidRPr="000C6977">
        <w:t xml:space="preserve"> </w:t>
      </w:r>
      <w:proofErr w:type="spellStart"/>
      <w:r w:rsidRPr="000C6977">
        <w:t>Responsibility</w:t>
      </w:r>
      <w:proofErr w:type="spellEnd"/>
      <w:r w:rsidRPr="000C6977">
        <w:t xml:space="preserve">], </w:t>
      </w:r>
      <w:proofErr w:type="spellStart"/>
      <w:r w:rsidRPr="000C6977">
        <w:t>Geneva</w:t>
      </w:r>
      <w:proofErr w:type="spellEnd"/>
      <w:r w:rsidRPr="000C6977">
        <w:t xml:space="preserve">, </w:t>
      </w:r>
      <w:proofErr w:type="spellStart"/>
      <w:r w:rsidRPr="000C6977">
        <w:t>Switzerland</w:t>
      </w:r>
      <w:proofErr w:type="spellEnd"/>
      <w:r w:rsidRPr="000C6977">
        <w:t>.</w:t>
      </w:r>
    </w:p>
    <w:p w:rsidR="007B6E0A" w:rsidRPr="000C6977" w:rsidRDefault="000C6977">
      <w:pPr>
        <w:pStyle w:val="normal0"/>
      </w:pPr>
      <w:proofErr w:type="spellStart"/>
      <w:r w:rsidRPr="000C6977">
        <w:t>Swedbank</w:t>
      </w:r>
      <w:proofErr w:type="spellEnd"/>
      <w:r w:rsidRPr="000C6977">
        <w:t>. 2019. Metinė ir tvarumo ataskaita [</w:t>
      </w:r>
      <w:proofErr w:type="spellStart"/>
      <w:r w:rsidRPr="000C6977">
        <w:t>Annual</w:t>
      </w:r>
      <w:proofErr w:type="spellEnd"/>
      <w:r w:rsidRPr="000C6977">
        <w:t xml:space="preserve"> </w:t>
      </w:r>
      <w:proofErr w:type="spellStart"/>
      <w:r w:rsidRPr="000C6977">
        <w:t>and</w:t>
      </w:r>
      <w:proofErr w:type="spellEnd"/>
      <w:r w:rsidRPr="000C6977">
        <w:t xml:space="preserve"> </w:t>
      </w:r>
      <w:proofErr w:type="spellStart"/>
      <w:r w:rsidRPr="000C6977">
        <w:t>Sustainability</w:t>
      </w:r>
      <w:proofErr w:type="spellEnd"/>
      <w:r w:rsidRPr="000C6977">
        <w:t xml:space="preserve"> </w:t>
      </w:r>
      <w:proofErr w:type="spellStart"/>
      <w:r w:rsidRPr="000C6977">
        <w:t>Report</w:t>
      </w:r>
      <w:proofErr w:type="spellEnd"/>
      <w:r w:rsidRPr="000C6977">
        <w:t>]. Žiūrėta liepos</w:t>
      </w:r>
      <w:r w:rsidRPr="000C6977">
        <w:t xml:space="preserve"> 14 d. 2021. URL: https://internetbank.swedbank.se/ConditionsEarchive/download?bankid=1111&amp;id=WEBDOC-PRODE53581973 </w:t>
      </w:r>
    </w:p>
    <w:p w:rsidR="007B6E0A" w:rsidRPr="000C6977" w:rsidRDefault="000C6977">
      <w:pPr>
        <w:pStyle w:val="normal0"/>
      </w:pPr>
      <w:proofErr w:type="spellStart"/>
      <w:r w:rsidRPr="000C6977">
        <w:t>Swedbank</w:t>
      </w:r>
      <w:proofErr w:type="spellEnd"/>
      <w:r w:rsidRPr="000C6977">
        <w:t xml:space="preserve"> </w:t>
      </w:r>
      <w:proofErr w:type="spellStart"/>
      <w:r w:rsidRPr="000C6977">
        <w:t>Robur</w:t>
      </w:r>
      <w:proofErr w:type="spellEnd"/>
      <w:r w:rsidRPr="000C6977">
        <w:t xml:space="preserve">. 2020. </w:t>
      </w:r>
      <w:proofErr w:type="spellStart"/>
      <w:r w:rsidRPr="000C6977">
        <w:t>Swedbank</w:t>
      </w:r>
      <w:proofErr w:type="spellEnd"/>
      <w:r w:rsidRPr="000C6977">
        <w:t xml:space="preserve"> </w:t>
      </w:r>
      <w:proofErr w:type="spellStart"/>
      <w:r w:rsidRPr="000C6977">
        <w:t>Robur</w:t>
      </w:r>
      <w:proofErr w:type="spellEnd"/>
      <w:r w:rsidRPr="000C6977">
        <w:t xml:space="preserve"> atsakingų investicijų politika [</w:t>
      </w:r>
      <w:proofErr w:type="spellStart"/>
      <w:r w:rsidRPr="000C6977">
        <w:t>Swedbank</w:t>
      </w:r>
      <w:proofErr w:type="spellEnd"/>
      <w:r w:rsidRPr="000C6977">
        <w:t xml:space="preserve"> </w:t>
      </w:r>
      <w:proofErr w:type="spellStart"/>
      <w:r w:rsidRPr="000C6977">
        <w:t>Robur‘s</w:t>
      </w:r>
      <w:proofErr w:type="spellEnd"/>
      <w:r w:rsidRPr="000C6977">
        <w:t xml:space="preserve"> </w:t>
      </w:r>
      <w:proofErr w:type="spellStart"/>
      <w:r w:rsidRPr="000C6977">
        <w:t>Policy</w:t>
      </w:r>
      <w:proofErr w:type="spellEnd"/>
      <w:r w:rsidRPr="000C6977">
        <w:t xml:space="preserve"> </w:t>
      </w:r>
      <w:proofErr w:type="spellStart"/>
      <w:r w:rsidRPr="000C6977">
        <w:t>for</w:t>
      </w:r>
      <w:proofErr w:type="spellEnd"/>
      <w:r w:rsidRPr="000C6977">
        <w:t xml:space="preserve"> </w:t>
      </w:r>
      <w:proofErr w:type="spellStart"/>
      <w:r w:rsidRPr="000C6977">
        <w:t>Responsible</w:t>
      </w:r>
      <w:proofErr w:type="spellEnd"/>
      <w:r w:rsidRPr="000C6977">
        <w:t xml:space="preserve"> </w:t>
      </w:r>
      <w:proofErr w:type="spellStart"/>
      <w:r w:rsidRPr="000C6977">
        <w:t>Investments</w:t>
      </w:r>
      <w:proofErr w:type="spellEnd"/>
      <w:r w:rsidRPr="000C6977">
        <w:t>]. Žiūrėta liepos 14</w:t>
      </w:r>
      <w:r w:rsidRPr="000C6977">
        <w:t xml:space="preserve"> d. 2021. URL: https://online.swedbank.se/ConditionsEarchive/download?bankid=1111&amp;id=WEBDOC-PPE1341385 </w:t>
      </w:r>
    </w:p>
    <w:p w:rsidR="007B6E0A" w:rsidRPr="000C6977" w:rsidRDefault="000C6977">
      <w:pPr>
        <w:pStyle w:val="normal0"/>
      </w:pPr>
      <w:proofErr w:type="spellStart"/>
      <w:r w:rsidRPr="000C6977">
        <w:t>Swedbank</w:t>
      </w:r>
      <w:proofErr w:type="spellEnd"/>
      <w:r w:rsidRPr="000C6977">
        <w:t>. 2018. Klimato apžvalga [</w:t>
      </w:r>
      <w:proofErr w:type="spellStart"/>
      <w:r w:rsidRPr="000C6977">
        <w:t>Climate</w:t>
      </w:r>
      <w:proofErr w:type="spellEnd"/>
      <w:r w:rsidRPr="000C6977">
        <w:t xml:space="preserve"> </w:t>
      </w:r>
      <w:proofErr w:type="spellStart"/>
      <w:r w:rsidRPr="000C6977">
        <w:t>Review</w:t>
      </w:r>
      <w:proofErr w:type="spellEnd"/>
      <w:r w:rsidRPr="000C6977">
        <w:t xml:space="preserve">]. Žiūrėta liepos 14 d. 2021. URL: https://internetbank.swedbank.se/ConditionsEarchive/download?bankid=1111&amp;id=WEBDOC-PPE1341622 </w:t>
      </w:r>
    </w:p>
    <w:p w:rsidR="007B6E0A" w:rsidRPr="000C6977" w:rsidRDefault="000C6977">
      <w:pPr>
        <w:pStyle w:val="normal0"/>
      </w:pPr>
      <w:proofErr w:type="spellStart"/>
      <w:r w:rsidRPr="000C6977">
        <w:t>Swedbank</w:t>
      </w:r>
      <w:proofErr w:type="spellEnd"/>
      <w:r w:rsidRPr="000C6977">
        <w:t>. 2020. Sektorių gairės [</w:t>
      </w:r>
      <w:proofErr w:type="spellStart"/>
      <w:r w:rsidRPr="000C6977">
        <w:t>Sector</w:t>
      </w:r>
      <w:proofErr w:type="spellEnd"/>
      <w:r w:rsidRPr="000C6977">
        <w:t xml:space="preserve"> </w:t>
      </w:r>
      <w:proofErr w:type="spellStart"/>
      <w:r w:rsidRPr="000C6977">
        <w:t>Guidelines</w:t>
      </w:r>
      <w:proofErr w:type="spellEnd"/>
      <w:r w:rsidRPr="000C6977">
        <w:t>]. Žiūrėta liepos 14 d. 2021</w:t>
      </w:r>
      <w:r w:rsidRPr="000C6977">
        <w:t xml:space="preserve">. URL: https://online.swedbank.se/ConditionsEarchive/download?bankid=1111&amp;id=WEBDOC-PPE1341785 </w:t>
      </w:r>
    </w:p>
    <w:p w:rsidR="007B6E0A" w:rsidRPr="000C6977" w:rsidRDefault="000C6977">
      <w:pPr>
        <w:pStyle w:val="normal0"/>
      </w:pPr>
      <w:proofErr w:type="spellStart"/>
      <w:r w:rsidRPr="000C6977">
        <w:t>Swedbank</w:t>
      </w:r>
      <w:proofErr w:type="spellEnd"/>
      <w:r w:rsidRPr="000C6977">
        <w:t>. 2020. Įvairovės ir įtraukimo politika [</w:t>
      </w:r>
      <w:proofErr w:type="spellStart"/>
      <w:r w:rsidRPr="000C6977">
        <w:t>Policy</w:t>
      </w:r>
      <w:proofErr w:type="spellEnd"/>
      <w:r w:rsidRPr="000C6977">
        <w:t xml:space="preserve"> </w:t>
      </w:r>
      <w:proofErr w:type="spellStart"/>
      <w:r w:rsidRPr="000C6977">
        <w:t>on</w:t>
      </w:r>
      <w:proofErr w:type="spellEnd"/>
      <w:r w:rsidRPr="000C6977">
        <w:t xml:space="preserve"> </w:t>
      </w:r>
      <w:proofErr w:type="spellStart"/>
      <w:r w:rsidRPr="000C6977">
        <w:t>diversity</w:t>
      </w:r>
      <w:proofErr w:type="spellEnd"/>
      <w:r w:rsidRPr="000C6977">
        <w:t xml:space="preserve"> </w:t>
      </w:r>
      <w:proofErr w:type="spellStart"/>
      <w:r w:rsidRPr="000C6977">
        <w:t>and</w:t>
      </w:r>
      <w:proofErr w:type="spellEnd"/>
      <w:r w:rsidRPr="000C6977">
        <w:t xml:space="preserve"> </w:t>
      </w:r>
      <w:proofErr w:type="spellStart"/>
      <w:r w:rsidRPr="000C6977">
        <w:t>Inclusion</w:t>
      </w:r>
      <w:proofErr w:type="spellEnd"/>
      <w:r w:rsidRPr="000C6977">
        <w:t>]. Žiūrėta liepos 14 d. 2021. URL: https://online.swedbank.se/ConditionsEarchi</w:t>
      </w:r>
      <w:r w:rsidRPr="000C6977">
        <w:t xml:space="preserve">ve/download?bankid=1111&amp;id=WEBDOC-PPE1341739 </w:t>
      </w:r>
    </w:p>
    <w:p w:rsidR="007B6E0A" w:rsidRPr="000C6977" w:rsidRDefault="000C6977">
      <w:pPr>
        <w:pStyle w:val="normal0"/>
      </w:pPr>
      <w:proofErr w:type="spellStart"/>
      <w:r w:rsidRPr="000C6977">
        <w:lastRenderedPageBreak/>
        <w:t>Swedbank</w:t>
      </w:r>
      <w:proofErr w:type="spellEnd"/>
      <w:r w:rsidRPr="000C6977">
        <w:t xml:space="preserve">. </w:t>
      </w:r>
      <w:proofErr w:type="spellStart"/>
      <w:r w:rsidRPr="000C6977">
        <w:t>n.d</w:t>
      </w:r>
      <w:proofErr w:type="spellEnd"/>
      <w:r w:rsidRPr="000C6977">
        <w:t>. Lygybė, įvairovė ir įtraukimas [</w:t>
      </w:r>
      <w:proofErr w:type="spellStart"/>
      <w:r w:rsidRPr="000C6977">
        <w:t>Equality</w:t>
      </w:r>
      <w:proofErr w:type="spellEnd"/>
      <w:r w:rsidRPr="000C6977">
        <w:t xml:space="preserve">, </w:t>
      </w:r>
      <w:proofErr w:type="spellStart"/>
      <w:r w:rsidRPr="000C6977">
        <w:t>Diversity</w:t>
      </w:r>
      <w:proofErr w:type="spellEnd"/>
      <w:r w:rsidRPr="000C6977">
        <w:t xml:space="preserve"> </w:t>
      </w:r>
      <w:proofErr w:type="spellStart"/>
      <w:r w:rsidRPr="000C6977">
        <w:t>and</w:t>
      </w:r>
      <w:proofErr w:type="spellEnd"/>
      <w:r w:rsidRPr="000C6977">
        <w:t xml:space="preserve"> </w:t>
      </w:r>
      <w:proofErr w:type="spellStart"/>
      <w:r w:rsidRPr="000C6977">
        <w:t>Inclusion</w:t>
      </w:r>
      <w:proofErr w:type="spellEnd"/>
      <w:r w:rsidRPr="000C6977">
        <w:t xml:space="preserve">]. Žiūrėta liepos 14 d. 2021. URL: https://www.swedbank.com/sustainability/employees/equality-diversity-and-inclusion.html </w:t>
      </w:r>
      <w:proofErr w:type="spellStart"/>
      <w:r w:rsidRPr="000C6977">
        <w:t>Swedban</w:t>
      </w:r>
      <w:r w:rsidRPr="000C6977">
        <w:t>k</w:t>
      </w:r>
      <w:proofErr w:type="spellEnd"/>
      <w:r w:rsidRPr="000C6977">
        <w:t>. 2020. Žmogaus teisių politika [</w:t>
      </w:r>
      <w:proofErr w:type="spellStart"/>
      <w:r w:rsidRPr="000C6977">
        <w:t>Policy</w:t>
      </w:r>
      <w:proofErr w:type="spellEnd"/>
      <w:r w:rsidRPr="000C6977">
        <w:t xml:space="preserve"> </w:t>
      </w:r>
      <w:proofErr w:type="spellStart"/>
      <w:r w:rsidRPr="000C6977">
        <w:t>on</w:t>
      </w:r>
      <w:proofErr w:type="spellEnd"/>
      <w:r w:rsidRPr="000C6977">
        <w:t xml:space="preserve"> </w:t>
      </w:r>
      <w:proofErr w:type="spellStart"/>
      <w:r w:rsidRPr="000C6977">
        <w:t>Human</w:t>
      </w:r>
      <w:proofErr w:type="spellEnd"/>
      <w:r w:rsidRPr="000C6977">
        <w:t xml:space="preserve"> </w:t>
      </w:r>
      <w:proofErr w:type="spellStart"/>
      <w:r w:rsidRPr="000C6977">
        <w:t>Rights</w:t>
      </w:r>
      <w:proofErr w:type="spellEnd"/>
      <w:r w:rsidRPr="000C6977">
        <w:t xml:space="preserve">]. Žiūrėta liepos 14 d. 2021. URL: https://online.swedbank.se/ConditionsEarchive/download?bankid=1111&amp;id=WEBDOC-PPE1341666 </w:t>
      </w:r>
    </w:p>
    <w:p w:rsidR="007B6E0A" w:rsidRPr="000C6977" w:rsidRDefault="000C6977">
      <w:pPr>
        <w:pStyle w:val="normal0"/>
      </w:pPr>
      <w:proofErr w:type="spellStart"/>
      <w:r w:rsidRPr="000C6977">
        <w:t>Swedbank</w:t>
      </w:r>
      <w:proofErr w:type="spellEnd"/>
      <w:r w:rsidRPr="000C6977">
        <w:t xml:space="preserve"> </w:t>
      </w:r>
      <w:proofErr w:type="spellStart"/>
      <w:r w:rsidRPr="000C6977">
        <w:t>Robur</w:t>
      </w:r>
      <w:proofErr w:type="spellEnd"/>
      <w:r w:rsidRPr="000C6977">
        <w:t>. 2020. Pozicijos santrauka: vaikų teisės [</w:t>
      </w:r>
      <w:proofErr w:type="spellStart"/>
      <w:r w:rsidRPr="000C6977">
        <w:t>Position</w:t>
      </w:r>
      <w:proofErr w:type="spellEnd"/>
      <w:r w:rsidRPr="000C6977">
        <w:t xml:space="preserve"> </w:t>
      </w:r>
      <w:proofErr w:type="spellStart"/>
      <w:r w:rsidRPr="000C6977">
        <w:t>Paper</w:t>
      </w:r>
      <w:proofErr w:type="spellEnd"/>
      <w:r w:rsidRPr="000C6977">
        <w:t xml:space="preserve">: </w:t>
      </w:r>
      <w:proofErr w:type="spellStart"/>
      <w:r w:rsidRPr="000C6977">
        <w:t>Chi</w:t>
      </w:r>
      <w:r w:rsidRPr="000C6977">
        <w:t>ldren</w:t>
      </w:r>
      <w:proofErr w:type="spellEnd"/>
      <w:r w:rsidRPr="000C6977">
        <w:t xml:space="preserve"> </w:t>
      </w:r>
      <w:proofErr w:type="spellStart"/>
      <w:r w:rsidRPr="000C6977">
        <w:t>Rights</w:t>
      </w:r>
      <w:proofErr w:type="spellEnd"/>
      <w:r w:rsidRPr="000C6977">
        <w:t xml:space="preserve">]. Žiūrėta liepos 14 d. 2021. URL: https://online.swedbank.se/ConditionsEarchive/download?bankid=1111&amp;id=WEBDOC-PPE1340687 </w:t>
      </w:r>
    </w:p>
    <w:p w:rsidR="007B6E0A" w:rsidRPr="000C6977" w:rsidRDefault="000C6977">
      <w:pPr>
        <w:pStyle w:val="normal0"/>
      </w:pPr>
      <w:proofErr w:type="spellStart"/>
      <w:r w:rsidRPr="000C6977">
        <w:t>Swedbank</w:t>
      </w:r>
      <w:proofErr w:type="spellEnd"/>
      <w:r w:rsidRPr="000C6977">
        <w:t>. 2020. Sektoriaus gairės: miškininkystė [</w:t>
      </w:r>
      <w:proofErr w:type="spellStart"/>
      <w:r w:rsidRPr="000C6977">
        <w:t>Sector</w:t>
      </w:r>
      <w:proofErr w:type="spellEnd"/>
      <w:r w:rsidRPr="000C6977">
        <w:t xml:space="preserve"> </w:t>
      </w:r>
      <w:proofErr w:type="spellStart"/>
      <w:r w:rsidRPr="000C6977">
        <w:t>Guidelines</w:t>
      </w:r>
      <w:proofErr w:type="spellEnd"/>
      <w:r w:rsidRPr="000C6977">
        <w:t xml:space="preserve">: </w:t>
      </w:r>
      <w:proofErr w:type="spellStart"/>
      <w:r w:rsidRPr="000C6977">
        <w:t>Forestry</w:t>
      </w:r>
      <w:proofErr w:type="spellEnd"/>
      <w:r w:rsidRPr="000C6977">
        <w:t>]. Žiūrėta liepos 14 d. 2021. URL: https://</w:t>
      </w:r>
      <w:r w:rsidRPr="000C6977">
        <w:t xml:space="preserve">online.swedbank.se/ConditionsEarchive/download?bankid=1111&amp;id=WEBDOC-PPE1341780 </w:t>
      </w:r>
    </w:p>
    <w:p w:rsidR="007B6E0A" w:rsidRPr="000C6977" w:rsidRDefault="000C6977">
      <w:pPr>
        <w:pStyle w:val="normal0"/>
      </w:pPr>
      <w:proofErr w:type="spellStart"/>
      <w:r w:rsidRPr="000C6977">
        <w:t>Swedbank</w:t>
      </w:r>
      <w:proofErr w:type="spellEnd"/>
      <w:r w:rsidRPr="000C6977">
        <w:t>. 2020. Sektoriaus gairės: nuosavybė [</w:t>
      </w:r>
      <w:proofErr w:type="spellStart"/>
      <w:r w:rsidRPr="000C6977">
        <w:t>Sector</w:t>
      </w:r>
      <w:proofErr w:type="spellEnd"/>
      <w:r w:rsidRPr="000C6977">
        <w:t xml:space="preserve"> </w:t>
      </w:r>
      <w:proofErr w:type="spellStart"/>
      <w:r w:rsidRPr="000C6977">
        <w:t>Guidelines</w:t>
      </w:r>
      <w:proofErr w:type="spellEnd"/>
      <w:r w:rsidRPr="000C6977">
        <w:t xml:space="preserve">: </w:t>
      </w:r>
      <w:proofErr w:type="spellStart"/>
      <w:r w:rsidRPr="000C6977">
        <w:t>Property</w:t>
      </w:r>
      <w:proofErr w:type="spellEnd"/>
      <w:r w:rsidRPr="000C6977">
        <w:t>]. Žiūrėta liepos 14 d. 2021. URL: https://online.swedbank.se/ConditionsEarchive/download?bankid=1111&amp;</w:t>
      </w:r>
      <w:r w:rsidRPr="000C6977">
        <w:t xml:space="preserve">id=WEBDOC-PPE1341782 </w:t>
      </w:r>
    </w:p>
    <w:p w:rsidR="007B6E0A" w:rsidRPr="000C6977" w:rsidRDefault="000C6977">
      <w:pPr>
        <w:pStyle w:val="normal0"/>
      </w:pPr>
      <w:proofErr w:type="spellStart"/>
      <w:r w:rsidRPr="000C6977">
        <w:t>Swedbank</w:t>
      </w:r>
      <w:proofErr w:type="spellEnd"/>
      <w:r w:rsidRPr="000C6977">
        <w:t>. 2020. Sektoriaus gairės: metalas ir kasyba [</w:t>
      </w:r>
      <w:proofErr w:type="spellStart"/>
      <w:r w:rsidRPr="000C6977">
        <w:t>Sector</w:t>
      </w:r>
      <w:proofErr w:type="spellEnd"/>
      <w:r w:rsidRPr="000C6977">
        <w:t xml:space="preserve"> </w:t>
      </w:r>
      <w:proofErr w:type="spellStart"/>
      <w:r w:rsidRPr="000C6977">
        <w:t>Guidelines</w:t>
      </w:r>
      <w:proofErr w:type="spellEnd"/>
      <w:r w:rsidRPr="000C6977">
        <w:t xml:space="preserve">: </w:t>
      </w:r>
      <w:proofErr w:type="spellStart"/>
      <w:r w:rsidRPr="000C6977">
        <w:t>Metals</w:t>
      </w:r>
      <w:proofErr w:type="spellEnd"/>
      <w:r w:rsidRPr="000C6977">
        <w:t xml:space="preserve"> </w:t>
      </w:r>
      <w:proofErr w:type="spellStart"/>
      <w:r w:rsidRPr="000C6977">
        <w:t>and</w:t>
      </w:r>
      <w:proofErr w:type="spellEnd"/>
      <w:r w:rsidRPr="000C6977">
        <w:t xml:space="preserve"> </w:t>
      </w:r>
      <w:proofErr w:type="spellStart"/>
      <w:r w:rsidRPr="000C6977">
        <w:t>Mining</w:t>
      </w:r>
      <w:proofErr w:type="spellEnd"/>
      <w:r w:rsidRPr="000C6977">
        <w:t xml:space="preserve">]. Žiūrėta liepos 14 d. 2021. URL: https://online.swedbank.se/ConditionsEarchive/download?bankid=1111&amp;id=WEBDOC-PPE1341786 </w:t>
      </w:r>
    </w:p>
    <w:p w:rsidR="007B6E0A" w:rsidRPr="000C6977" w:rsidRDefault="000C6977">
      <w:pPr>
        <w:pStyle w:val="normal0"/>
      </w:pPr>
      <w:proofErr w:type="spellStart"/>
      <w:r w:rsidRPr="000C6977">
        <w:t>Swedbank</w:t>
      </w:r>
      <w:proofErr w:type="spellEnd"/>
      <w:r w:rsidRPr="000C6977">
        <w:t>. 2020. Tvar</w:t>
      </w:r>
      <w:r w:rsidRPr="000C6977">
        <w:t>umo politika [</w:t>
      </w:r>
      <w:proofErr w:type="spellStart"/>
      <w:r w:rsidRPr="000C6977">
        <w:t>Sustainability</w:t>
      </w:r>
      <w:proofErr w:type="spellEnd"/>
      <w:r w:rsidRPr="000C6977">
        <w:t xml:space="preserve"> </w:t>
      </w:r>
      <w:proofErr w:type="spellStart"/>
      <w:r w:rsidRPr="000C6977">
        <w:t>Policy</w:t>
      </w:r>
      <w:proofErr w:type="spellEnd"/>
      <w:r w:rsidRPr="000C6977">
        <w:t xml:space="preserve">]. Žiūrėta liepos 14 d. 2021. URL: https://online.swedbank.se/ConditionsEarchive/download?bankid=1111&amp;id=WEBDOC-PPE1341707 </w:t>
      </w:r>
    </w:p>
    <w:p w:rsidR="007B6E0A" w:rsidRPr="000C6977" w:rsidRDefault="000C6977">
      <w:pPr>
        <w:pStyle w:val="normal0"/>
      </w:pPr>
      <w:proofErr w:type="spellStart"/>
      <w:r w:rsidRPr="000C6977">
        <w:t>Swedbank</w:t>
      </w:r>
      <w:proofErr w:type="spellEnd"/>
      <w:r w:rsidRPr="000C6977">
        <w:t xml:space="preserve">. </w:t>
      </w:r>
      <w:proofErr w:type="spellStart"/>
      <w:r w:rsidRPr="000C6977">
        <w:t>n.d</w:t>
      </w:r>
      <w:proofErr w:type="spellEnd"/>
      <w:r w:rsidRPr="000C6977">
        <w:t>. Kredito politika [</w:t>
      </w:r>
      <w:proofErr w:type="spellStart"/>
      <w:r w:rsidRPr="000C6977">
        <w:t>Credit</w:t>
      </w:r>
      <w:proofErr w:type="spellEnd"/>
      <w:r w:rsidRPr="000C6977">
        <w:t xml:space="preserve"> </w:t>
      </w:r>
      <w:proofErr w:type="spellStart"/>
      <w:r w:rsidRPr="000C6977">
        <w:t>Policy</w:t>
      </w:r>
      <w:proofErr w:type="spellEnd"/>
      <w:r w:rsidRPr="000C6977">
        <w:t>]. Žiūrėta kovo 11 d. 2021. URL: https://www.swedba</w:t>
      </w:r>
      <w:r w:rsidRPr="000C6977">
        <w:t xml:space="preserve">nk.com/sustainability/strategy-andframework/sustainability-framework/policies/credit-policy.html </w:t>
      </w:r>
    </w:p>
    <w:p w:rsidR="007B6E0A" w:rsidRPr="000C6977" w:rsidRDefault="000C6977">
      <w:pPr>
        <w:pStyle w:val="normal0"/>
      </w:pPr>
      <w:proofErr w:type="spellStart"/>
      <w:r w:rsidRPr="000C6977">
        <w:t>Swedbank</w:t>
      </w:r>
      <w:proofErr w:type="spellEnd"/>
      <w:r w:rsidRPr="000C6977">
        <w:t xml:space="preserve">. </w:t>
      </w:r>
      <w:proofErr w:type="spellStart"/>
      <w:r w:rsidRPr="000C6977">
        <w:t>n.d</w:t>
      </w:r>
      <w:proofErr w:type="spellEnd"/>
      <w:r w:rsidRPr="000C6977">
        <w:t>. Susitarimai ir sistemos [</w:t>
      </w:r>
      <w:proofErr w:type="spellStart"/>
      <w:r w:rsidRPr="000C6977">
        <w:t>Agreements</w:t>
      </w:r>
      <w:proofErr w:type="spellEnd"/>
      <w:r w:rsidRPr="000C6977">
        <w:t xml:space="preserve"> </w:t>
      </w:r>
      <w:proofErr w:type="spellStart"/>
      <w:r w:rsidRPr="000C6977">
        <w:t>and</w:t>
      </w:r>
      <w:proofErr w:type="spellEnd"/>
      <w:r w:rsidRPr="000C6977">
        <w:t xml:space="preserve"> </w:t>
      </w:r>
      <w:proofErr w:type="spellStart"/>
      <w:r w:rsidRPr="000C6977">
        <w:t>Frameworks</w:t>
      </w:r>
      <w:proofErr w:type="spellEnd"/>
      <w:r w:rsidRPr="000C6977">
        <w:t>]. Žiūrėta kovo 11 d. 2021. URL: https://www.swedbank.com/sustainability/strategy-and-framewo</w:t>
      </w:r>
      <w:r w:rsidRPr="000C6977">
        <w:t xml:space="preserve">rk/agreements-cooperations/agreements-and-frameworks.html </w:t>
      </w:r>
    </w:p>
    <w:p w:rsidR="007B6E0A" w:rsidRPr="000C6977" w:rsidRDefault="000C6977">
      <w:pPr>
        <w:pStyle w:val="normal0"/>
      </w:pPr>
      <w:proofErr w:type="spellStart"/>
      <w:r w:rsidRPr="000C6977">
        <w:t>Swedbank</w:t>
      </w:r>
      <w:proofErr w:type="spellEnd"/>
      <w:r w:rsidRPr="000C6977">
        <w:t>. 2020. Pašalinimo sąrašas [</w:t>
      </w:r>
      <w:proofErr w:type="spellStart"/>
      <w:r w:rsidRPr="000C6977">
        <w:t>Exclusion</w:t>
      </w:r>
      <w:proofErr w:type="spellEnd"/>
      <w:r w:rsidRPr="000C6977">
        <w:t xml:space="preserve"> </w:t>
      </w:r>
      <w:proofErr w:type="spellStart"/>
      <w:r w:rsidRPr="000C6977">
        <w:t>list</w:t>
      </w:r>
      <w:proofErr w:type="spellEnd"/>
      <w:r w:rsidRPr="000C6977">
        <w:t xml:space="preserve">]. Žiūrėta liepos 14 d. 2021. URL: https://online.swedbank.se/ConditionsEarchive/download?bankid=1111&amp;id=WEBDOC-PPE1341384 </w:t>
      </w:r>
    </w:p>
    <w:p w:rsidR="007B6E0A" w:rsidRPr="000C6977" w:rsidRDefault="000C6977">
      <w:pPr>
        <w:pStyle w:val="normal0"/>
      </w:pPr>
      <w:proofErr w:type="spellStart"/>
      <w:r w:rsidRPr="000C6977">
        <w:t>Swedbank</w:t>
      </w:r>
      <w:proofErr w:type="spellEnd"/>
      <w:r w:rsidRPr="000C6977">
        <w:t>. 2021. Pozicij</w:t>
      </w:r>
      <w:r w:rsidRPr="000C6977">
        <w:t>os pareiškimas: klimato kaita [</w:t>
      </w:r>
      <w:proofErr w:type="spellStart"/>
      <w:r w:rsidRPr="000C6977">
        <w:t>Position</w:t>
      </w:r>
      <w:proofErr w:type="spellEnd"/>
      <w:r w:rsidRPr="000C6977">
        <w:t xml:space="preserve"> </w:t>
      </w:r>
      <w:proofErr w:type="spellStart"/>
      <w:r w:rsidRPr="000C6977">
        <w:t>Statement</w:t>
      </w:r>
      <w:proofErr w:type="spellEnd"/>
      <w:r w:rsidRPr="000C6977">
        <w:t xml:space="preserve"> </w:t>
      </w:r>
      <w:proofErr w:type="spellStart"/>
      <w:r w:rsidRPr="000C6977">
        <w:t>Climate</w:t>
      </w:r>
      <w:proofErr w:type="spellEnd"/>
      <w:r w:rsidRPr="000C6977">
        <w:t xml:space="preserve"> </w:t>
      </w:r>
      <w:proofErr w:type="spellStart"/>
      <w:r w:rsidRPr="000C6977">
        <w:t>Change</w:t>
      </w:r>
      <w:proofErr w:type="spellEnd"/>
      <w:r w:rsidRPr="000C6977">
        <w:t xml:space="preserve">]. Žiūrėta liepos 14 d. 2021. URL: https://online.swedbank.se/ConditionsEarchive/download?bankid=1111&amp;id=WEBDOC-PPE1341798 </w:t>
      </w:r>
    </w:p>
    <w:p w:rsidR="007B6E0A" w:rsidRPr="000C6977" w:rsidRDefault="000C6977">
      <w:pPr>
        <w:pStyle w:val="normal0"/>
      </w:pPr>
      <w:proofErr w:type="spellStart"/>
      <w:r w:rsidRPr="000C6977">
        <w:t>Swedbank</w:t>
      </w:r>
      <w:proofErr w:type="spellEnd"/>
      <w:r w:rsidRPr="000C6977">
        <w:t xml:space="preserve"> </w:t>
      </w:r>
      <w:proofErr w:type="spellStart"/>
      <w:r w:rsidRPr="000C6977">
        <w:t>Robur</w:t>
      </w:r>
      <w:proofErr w:type="spellEnd"/>
      <w:r w:rsidRPr="000C6977">
        <w:t>. 2019. Klimato ataskaita 2019 [</w:t>
      </w:r>
      <w:proofErr w:type="spellStart"/>
      <w:r w:rsidRPr="000C6977">
        <w:t>Climate</w:t>
      </w:r>
      <w:proofErr w:type="spellEnd"/>
      <w:r w:rsidRPr="000C6977">
        <w:t xml:space="preserve"> </w:t>
      </w:r>
      <w:proofErr w:type="spellStart"/>
      <w:r w:rsidRPr="000C6977">
        <w:t>Report</w:t>
      </w:r>
      <w:proofErr w:type="spellEnd"/>
      <w:r w:rsidRPr="000C6977">
        <w:t xml:space="preserve"> 2019]. </w:t>
      </w:r>
      <w:r w:rsidRPr="000C6977">
        <w:t xml:space="preserve">Žiūrėta liepos 14 d. 2021. URL: https://internetbank.swedbank.se/ConditionsEarchive/download?bankid=1111&amp;id=WEBDOC-PRODE65944239 </w:t>
      </w:r>
    </w:p>
    <w:p w:rsidR="007B6E0A" w:rsidRPr="000C6977" w:rsidRDefault="000C6977">
      <w:pPr>
        <w:pStyle w:val="normal0"/>
      </w:pPr>
      <w:proofErr w:type="spellStart"/>
      <w:r w:rsidRPr="000C6977">
        <w:t>Swedbank</w:t>
      </w:r>
      <w:proofErr w:type="spellEnd"/>
      <w:r w:rsidRPr="000C6977">
        <w:t xml:space="preserve"> </w:t>
      </w:r>
      <w:proofErr w:type="spellStart"/>
      <w:r w:rsidRPr="000C6977">
        <w:t>Robur</w:t>
      </w:r>
      <w:proofErr w:type="spellEnd"/>
      <w:r w:rsidRPr="000C6977">
        <w:t xml:space="preserve">. 2019. Tvarios investicijos 2019 [2019 </w:t>
      </w:r>
      <w:proofErr w:type="spellStart"/>
      <w:r w:rsidRPr="000C6977">
        <w:t>Sustainable</w:t>
      </w:r>
      <w:proofErr w:type="spellEnd"/>
      <w:r w:rsidRPr="000C6977">
        <w:t xml:space="preserve"> </w:t>
      </w:r>
      <w:proofErr w:type="spellStart"/>
      <w:r w:rsidRPr="000C6977">
        <w:t>investments</w:t>
      </w:r>
      <w:proofErr w:type="spellEnd"/>
      <w:r w:rsidRPr="000C6977">
        <w:t>]. Žiūrėta liepos 14 d. 2021. URL: https://intern</w:t>
      </w:r>
      <w:r w:rsidRPr="000C6977">
        <w:t xml:space="preserve">etbank.swedbank.se/ConditionsEarchive/download?bankid=1111&amp;id=WEBDOC-PRODE61201366 </w:t>
      </w:r>
    </w:p>
    <w:p w:rsidR="007B6E0A" w:rsidRPr="000C6977" w:rsidRDefault="000C6977">
      <w:pPr>
        <w:pStyle w:val="normal0"/>
      </w:pPr>
      <w:proofErr w:type="spellStart"/>
      <w:r w:rsidRPr="000C6977">
        <w:t>Swedbank</w:t>
      </w:r>
      <w:proofErr w:type="spellEnd"/>
      <w:r w:rsidRPr="000C6977">
        <w:t xml:space="preserve"> </w:t>
      </w:r>
      <w:proofErr w:type="spellStart"/>
      <w:r w:rsidRPr="000C6977">
        <w:t>Robur</w:t>
      </w:r>
      <w:proofErr w:type="spellEnd"/>
      <w:r w:rsidRPr="000C6977">
        <w:t xml:space="preserve">. 2014. </w:t>
      </w:r>
      <w:proofErr w:type="spellStart"/>
      <w:r w:rsidRPr="000C6977">
        <w:t>Swedbank</w:t>
      </w:r>
      <w:proofErr w:type="spellEnd"/>
      <w:r w:rsidRPr="000C6977">
        <w:t xml:space="preserve"> </w:t>
      </w:r>
      <w:proofErr w:type="spellStart"/>
      <w:r w:rsidRPr="000C6977">
        <w:t>Robur</w:t>
      </w:r>
      <w:proofErr w:type="spellEnd"/>
      <w:r w:rsidRPr="000C6977">
        <w:t xml:space="preserve"> kriterijai įmonėms, kurios yra asocijuojamos su tarptautinių normų pažeidimu [</w:t>
      </w:r>
      <w:proofErr w:type="spellStart"/>
      <w:r w:rsidRPr="000C6977">
        <w:t>Swedbank</w:t>
      </w:r>
      <w:proofErr w:type="spellEnd"/>
      <w:r w:rsidRPr="000C6977">
        <w:t xml:space="preserve"> </w:t>
      </w:r>
      <w:proofErr w:type="spellStart"/>
      <w:r w:rsidRPr="000C6977">
        <w:t>Robur‘s</w:t>
      </w:r>
      <w:proofErr w:type="spellEnd"/>
      <w:r w:rsidRPr="000C6977">
        <w:t xml:space="preserve"> </w:t>
      </w:r>
      <w:proofErr w:type="spellStart"/>
      <w:r w:rsidRPr="000C6977">
        <w:t>Criteria</w:t>
      </w:r>
      <w:proofErr w:type="spellEnd"/>
      <w:r w:rsidRPr="000C6977">
        <w:t xml:space="preserve"> </w:t>
      </w:r>
      <w:proofErr w:type="spellStart"/>
      <w:r w:rsidRPr="000C6977">
        <w:t>for</w:t>
      </w:r>
      <w:proofErr w:type="spellEnd"/>
      <w:r w:rsidRPr="000C6977">
        <w:t xml:space="preserve"> </w:t>
      </w:r>
      <w:proofErr w:type="spellStart"/>
      <w:r w:rsidRPr="000C6977">
        <w:t>Companies</w:t>
      </w:r>
      <w:proofErr w:type="spellEnd"/>
      <w:r w:rsidRPr="000C6977">
        <w:t xml:space="preserve"> </w:t>
      </w:r>
      <w:proofErr w:type="spellStart"/>
      <w:r w:rsidRPr="000C6977">
        <w:t>Associated</w:t>
      </w:r>
      <w:proofErr w:type="spellEnd"/>
      <w:r w:rsidRPr="000C6977">
        <w:t xml:space="preserve"> </w:t>
      </w:r>
      <w:proofErr w:type="spellStart"/>
      <w:r w:rsidRPr="000C6977">
        <w:t>with</w:t>
      </w:r>
      <w:proofErr w:type="spellEnd"/>
      <w:r w:rsidRPr="000C6977">
        <w:t xml:space="preserve"> </w:t>
      </w:r>
      <w:proofErr w:type="spellStart"/>
      <w:r w:rsidRPr="000C6977">
        <w:lastRenderedPageBreak/>
        <w:t>V</w:t>
      </w:r>
      <w:r w:rsidRPr="000C6977">
        <w:t>iolations</w:t>
      </w:r>
      <w:proofErr w:type="spellEnd"/>
      <w:r w:rsidRPr="000C6977">
        <w:t xml:space="preserve"> </w:t>
      </w:r>
      <w:proofErr w:type="spellStart"/>
      <w:r w:rsidRPr="000C6977">
        <w:t>of</w:t>
      </w:r>
      <w:proofErr w:type="spellEnd"/>
      <w:r w:rsidRPr="000C6977">
        <w:t xml:space="preserve"> </w:t>
      </w:r>
      <w:proofErr w:type="spellStart"/>
      <w:r w:rsidRPr="000C6977">
        <w:t>International</w:t>
      </w:r>
      <w:proofErr w:type="spellEnd"/>
      <w:r w:rsidRPr="000C6977">
        <w:t xml:space="preserve"> </w:t>
      </w:r>
      <w:proofErr w:type="spellStart"/>
      <w:r w:rsidRPr="000C6977">
        <w:t>Norms</w:t>
      </w:r>
      <w:proofErr w:type="spellEnd"/>
      <w:r w:rsidRPr="000C6977">
        <w:t xml:space="preserve">]. Žiūrėta liepos 14 d. 2021. URL: https://online.swedbank.se/ConditionsEarchive/download?bankid=1111&amp;id=WEBDOC-PPE1340512 </w:t>
      </w:r>
    </w:p>
    <w:p w:rsidR="007B6E0A" w:rsidRPr="000C6977" w:rsidRDefault="000C6977">
      <w:pPr>
        <w:pStyle w:val="normal0"/>
      </w:pPr>
      <w:proofErr w:type="spellStart"/>
      <w:r w:rsidRPr="000C6977">
        <w:t>Swedbank</w:t>
      </w:r>
      <w:proofErr w:type="spellEnd"/>
      <w:r w:rsidRPr="000C6977">
        <w:t>. 2021. Sektoriaus gairės: Energetika [</w:t>
      </w:r>
      <w:proofErr w:type="spellStart"/>
      <w:r w:rsidRPr="000C6977">
        <w:t>Sector</w:t>
      </w:r>
      <w:proofErr w:type="spellEnd"/>
      <w:r w:rsidRPr="000C6977">
        <w:t xml:space="preserve"> </w:t>
      </w:r>
      <w:proofErr w:type="spellStart"/>
      <w:r w:rsidRPr="000C6977">
        <w:t>Guidelines</w:t>
      </w:r>
      <w:proofErr w:type="spellEnd"/>
      <w:r w:rsidRPr="000C6977">
        <w:t xml:space="preserve">: </w:t>
      </w:r>
      <w:proofErr w:type="spellStart"/>
      <w:r w:rsidRPr="000C6977">
        <w:t>Energy</w:t>
      </w:r>
      <w:proofErr w:type="spellEnd"/>
      <w:r w:rsidRPr="000C6977">
        <w:t>]. Žiūrėta liepos 14 d. 2021</w:t>
      </w:r>
      <w:r w:rsidRPr="000C6977">
        <w:t xml:space="preserve">. URL: https://online.swedbank.se/ConditionsEarchive/download?bankid=1111&amp;id=WEBDOC-PPE1341773 </w:t>
      </w:r>
    </w:p>
    <w:p w:rsidR="007B6E0A" w:rsidRPr="000C6977" w:rsidRDefault="000C6977">
      <w:pPr>
        <w:pStyle w:val="normal0"/>
      </w:pPr>
      <w:proofErr w:type="spellStart"/>
      <w:r w:rsidRPr="000C6977">
        <w:t>Swedbank</w:t>
      </w:r>
      <w:proofErr w:type="spellEnd"/>
      <w:r w:rsidRPr="000C6977">
        <w:t>. 2020. Metinė ir tvarumo ataskaita [</w:t>
      </w:r>
      <w:proofErr w:type="spellStart"/>
      <w:r w:rsidRPr="000C6977">
        <w:t>Annual</w:t>
      </w:r>
      <w:proofErr w:type="spellEnd"/>
      <w:r w:rsidRPr="000C6977">
        <w:t xml:space="preserve"> </w:t>
      </w:r>
      <w:proofErr w:type="spellStart"/>
      <w:r w:rsidRPr="000C6977">
        <w:t>and</w:t>
      </w:r>
      <w:proofErr w:type="spellEnd"/>
      <w:r w:rsidRPr="000C6977">
        <w:t xml:space="preserve"> </w:t>
      </w:r>
      <w:proofErr w:type="spellStart"/>
      <w:r w:rsidRPr="000C6977">
        <w:t>Sustainability</w:t>
      </w:r>
      <w:proofErr w:type="spellEnd"/>
      <w:r w:rsidRPr="000C6977">
        <w:t xml:space="preserve"> </w:t>
      </w:r>
      <w:proofErr w:type="spellStart"/>
      <w:r w:rsidRPr="000C6977">
        <w:t>Report</w:t>
      </w:r>
      <w:proofErr w:type="spellEnd"/>
      <w:r w:rsidRPr="000C6977">
        <w:t>]. Žiūrėta liepos 14 d. 2021. URL: https://online.swedbank.se/ConditionsEarchive/do</w:t>
      </w:r>
      <w:r w:rsidRPr="000C6977">
        <w:t xml:space="preserve">wnload?bankid=1111&amp;id=WEBDOC-PRODE78501331 7 </w:t>
      </w:r>
    </w:p>
    <w:p w:rsidR="007B6E0A" w:rsidRPr="000C6977" w:rsidRDefault="000C6977">
      <w:pPr>
        <w:pStyle w:val="normal0"/>
      </w:pPr>
      <w:proofErr w:type="spellStart"/>
      <w:r w:rsidRPr="000C6977">
        <w:t>Swedbank</w:t>
      </w:r>
      <w:proofErr w:type="spellEnd"/>
      <w:r w:rsidRPr="000C6977">
        <w:t xml:space="preserve"> </w:t>
      </w:r>
      <w:proofErr w:type="spellStart"/>
      <w:r w:rsidRPr="000C6977">
        <w:t>Robur</w:t>
      </w:r>
      <w:proofErr w:type="spellEnd"/>
      <w:r w:rsidRPr="000C6977">
        <w:t xml:space="preserve">. </w:t>
      </w:r>
      <w:proofErr w:type="spellStart"/>
      <w:r w:rsidRPr="000C6977">
        <w:t>n.d</w:t>
      </w:r>
      <w:proofErr w:type="spellEnd"/>
      <w:r w:rsidRPr="000C6977">
        <w:t xml:space="preserve">. Apie </w:t>
      </w:r>
      <w:proofErr w:type="spellStart"/>
      <w:r w:rsidRPr="000C6977">
        <w:t>Swedbank</w:t>
      </w:r>
      <w:proofErr w:type="spellEnd"/>
      <w:r w:rsidRPr="000C6977">
        <w:t xml:space="preserve"> </w:t>
      </w:r>
      <w:proofErr w:type="spellStart"/>
      <w:r w:rsidRPr="000C6977">
        <w:t>Robur</w:t>
      </w:r>
      <w:proofErr w:type="spellEnd"/>
      <w:r w:rsidRPr="000C6977">
        <w:t xml:space="preserve"> [</w:t>
      </w:r>
      <w:proofErr w:type="spellStart"/>
      <w:r w:rsidRPr="000C6977">
        <w:t>About</w:t>
      </w:r>
      <w:proofErr w:type="spellEnd"/>
      <w:r w:rsidRPr="000C6977">
        <w:t xml:space="preserve"> </w:t>
      </w:r>
      <w:proofErr w:type="spellStart"/>
      <w:r w:rsidRPr="000C6977">
        <w:t>Swedbank</w:t>
      </w:r>
      <w:proofErr w:type="spellEnd"/>
      <w:r w:rsidRPr="000C6977">
        <w:t xml:space="preserve"> </w:t>
      </w:r>
      <w:proofErr w:type="spellStart"/>
      <w:r w:rsidRPr="000C6977">
        <w:t>Robur</w:t>
      </w:r>
      <w:proofErr w:type="spellEnd"/>
      <w:r w:rsidRPr="000C6977">
        <w:t xml:space="preserve">]. Žiūrėta liepos 14 d. 2021. URL: https://swedbankrobur.com/aboutus.html </w:t>
      </w:r>
    </w:p>
    <w:p w:rsidR="007B6E0A" w:rsidRPr="000C6977" w:rsidRDefault="000C6977">
      <w:pPr>
        <w:pStyle w:val="normal0"/>
      </w:pPr>
      <w:proofErr w:type="spellStart"/>
      <w:r w:rsidRPr="000C6977">
        <w:t>Swedbank</w:t>
      </w:r>
      <w:proofErr w:type="spellEnd"/>
      <w:r w:rsidRPr="000C6977">
        <w:t xml:space="preserve"> </w:t>
      </w:r>
      <w:proofErr w:type="spellStart"/>
      <w:r w:rsidRPr="000C6977">
        <w:t>Robur</w:t>
      </w:r>
      <w:proofErr w:type="spellEnd"/>
      <w:r w:rsidRPr="000C6977">
        <w:t xml:space="preserve">. 2021. </w:t>
      </w:r>
      <w:proofErr w:type="spellStart"/>
      <w:r w:rsidRPr="000C6977">
        <w:t>Swedbank</w:t>
      </w:r>
      <w:proofErr w:type="spellEnd"/>
      <w:r w:rsidRPr="000C6977">
        <w:t xml:space="preserve"> </w:t>
      </w:r>
      <w:proofErr w:type="spellStart"/>
      <w:r w:rsidRPr="000C6977">
        <w:t>Robur</w:t>
      </w:r>
      <w:proofErr w:type="spellEnd"/>
      <w:r w:rsidRPr="000C6977">
        <w:t xml:space="preserve"> atsakingų investicijų politika [</w:t>
      </w:r>
      <w:proofErr w:type="spellStart"/>
      <w:r w:rsidRPr="000C6977">
        <w:t>Swed</w:t>
      </w:r>
      <w:r w:rsidRPr="000C6977">
        <w:t>bank</w:t>
      </w:r>
      <w:proofErr w:type="spellEnd"/>
      <w:r w:rsidRPr="000C6977">
        <w:t xml:space="preserve"> </w:t>
      </w:r>
      <w:proofErr w:type="spellStart"/>
      <w:r w:rsidRPr="000C6977">
        <w:t>Robur‘s</w:t>
      </w:r>
      <w:proofErr w:type="spellEnd"/>
      <w:r w:rsidRPr="000C6977">
        <w:t xml:space="preserve"> </w:t>
      </w:r>
      <w:proofErr w:type="spellStart"/>
      <w:r w:rsidRPr="000C6977">
        <w:t>Policy</w:t>
      </w:r>
      <w:proofErr w:type="spellEnd"/>
      <w:r w:rsidRPr="000C6977">
        <w:t xml:space="preserve"> </w:t>
      </w:r>
      <w:proofErr w:type="spellStart"/>
      <w:r w:rsidRPr="000C6977">
        <w:t>for</w:t>
      </w:r>
      <w:proofErr w:type="spellEnd"/>
      <w:r w:rsidRPr="000C6977">
        <w:t xml:space="preserve"> </w:t>
      </w:r>
      <w:proofErr w:type="spellStart"/>
      <w:r w:rsidRPr="000C6977">
        <w:t>Responsible</w:t>
      </w:r>
      <w:proofErr w:type="spellEnd"/>
      <w:r w:rsidRPr="000C6977">
        <w:t xml:space="preserve"> </w:t>
      </w:r>
      <w:proofErr w:type="spellStart"/>
      <w:r w:rsidRPr="000C6977">
        <w:t>Investments</w:t>
      </w:r>
      <w:proofErr w:type="spellEnd"/>
      <w:r w:rsidRPr="000C6977">
        <w:t xml:space="preserve">]. Žiūrėta liepos 14 d. 2021. URL: https://online.swedbank.se/ConditionsEarchive/download?bankid=1111&amp;id=WEBDOC-PPE1341385 </w:t>
      </w:r>
    </w:p>
    <w:p w:rsidR="007B6E0A" w:rsidRPr="000C6977" w:rsidRDefault="000C6977">
      <w:pPr>
        <w:pStyle w:val="normal0"/>
      </w:pPr>
      <w:proofErr w:type="spellStart"/>
      <w:r w:rsidRPr="000C6977">
        <w:t>Swedbank</w:t>
      </w:r>
      <w:proofErr w:type="spellEnd"/>
      <w:r w:rsidRPr="000C6977">
        <w:t>. 2020. Surinkta tvarumo informacija [</w:t>
      </w:r>
      <w:proofErr w:type="spellStart"/>
      <w:r w:rsidRPr="000C6977">
        <w:t>Compiled</w:t>
      </w:r>
      <w:proofErr w:type="spellEnd"/>
      <w:r w:rsidRPr="000C6977">
        <w:t xml:space="preserve"> </w:t>
      </w:r>
      <w:proofErr w:type="spellStart"/>
      <w:r w:rsidRPr="000C6977">
        <w:t>Sustainability</w:t>
      </w:r>
      <w:proofErr w:type="spellEnd"/>
      <w:r w:rsidRPr="000C6977">
        <w:t xml:space="preserve"> </w:t>
      </w:r>
      <w:proofErr w:type="spellStart"/>
      <w:r w:rsidRPr="000C6977">
        <w:t>Information</w:t>
      </w:r>
      <w:proofErr w:type="spellEnd"/>
      <w:r w:rsidRPr="000C6977">
        <w:t>]. Ž</w:t>
      </w:r>
      <w:r w:rsidRPr="000C6977">
        <w:t xml:space="preserve">iūrėta liepos 14 d. 2021. URL: https://internetbank.swedbank.se/ConditionsEarchive/download?bankid=1111&amp;id=WEBDOC-PRODE78731506 </w:t>
      </w:r>
    </w:p>
    <w:p w:rsidR="007B6E0A" w:rsidRPr="000C6977" w:rsidRDefault="000C6977">
      <w:pPr>
        <w:pStyle w:val="normal0"/>
      </w:pPr>
      <w:proofErr w:type="spellStart"/>
      <w:r w:rsidRPr="000C6977">
        <w:t>Swedbank</w:t>
      </w:r>
      <w:proofErr w:type="spellEnd"/>
      <w:r w:rsidRPr="000C6977">
        <w:t xml:space="preserve"> AB. 2020. Metinė ataskaita [</w:t>
      </w:r>
      <w:proofErr w:type="spellStart"/>
      <w:r w:rsidRPr="000C6977">
        <w:t>Annual</w:t>
      </w:r>
      <w:proofErr w:type="spellEnd"/>
      <w:r w:rsidRPr="000C6977">
        <w:t xml:space="preserve"> </w:t>
      </w:r>
      <w:proofErr w:type="spellStart"/>
      <w:r w:rsidRPr="000C6977">
        <w:t>Report</w:t>
      </w:r>
      <w:proofErr w:type="spellEnd"/>
      <w:r w:rsidRPr="000C6977">
        <w:t>]. Žiūrėta liepos 14 d. 2021.URL: https://www.swedbank.lt/static/pdf/about/fi</w:t>
      </w:r>
      <w:r w:rsidRPr="000C6977">
        <w:t xml:space="preserve">nance/reports/2020_annual_report.pdf </w:t>
      </w:r>
    </w:p>
    <w:p w:rsidR="007B6E0A" w:rsidRPr="000C6977" w:rsidRDefault="000C6977">
      <w:pPr>
        <w:pStyle w:val="normal0"/>
      </w:pPr>
      <w:proofErr w:type="spellStart"/>
      <w:r w:rsidRPr="000C6977">
        <w:t>Swedbank</w:t>
      </w:r>
      <w:proofErr w:type="spellEnd"/>
      <w:r w:rsidRPr="000C6977">
        <w:t>. 2018. Anglies pėdsako ataskaita [</w:t>
      </w:r>
      <w:proofErr w:type="spellStart"/>
      <w:r w:rsidRPr="000C6977">
        <w:t>Carbon</w:t>
      </w:r>
      <w:proofErr w:type="spellEnd"/>
      <w:r w:rsidRPr="000C6977">
        <w:t xml:space="preserve"> </w:t>
      </w:r>
      <w:proofErr w:type="spellStart"/>
      <w:r w:rsidRPr="000C6977">
        <w:t>Footprint</w:t>
      </w:r>
      <w:proofErr w:type="spellEnd"/>
      <w:r w:rsidRPr="000C6977">
        <w:t xml:space="preserve"> </w:t>
      </w:r>
      <w:proofErr w:type="spellStart"/>
      <w:r w:rsidRPr="000C6977">
        <w:t>Report</w:t>
      </w:r>
      <w:proofErr w:type="spellEnd"/>
      <w:r w:rsidRPr="000C6977">
        <w:t xml:space="preserve">]. Žiūrėta liepos 14 d. 2021. URL: https://online.swedbank.se/ConditionsEarchive/download?bankid=1111&amp;id=WEBDOC-PPE1341732 </w:t>
      </w:r>
      <w:proofErr w:type="spellStart"/>
      <w:r w:rsidRPr="000C6977">
        <w:t>Swedbank</w:t>
      </w:r>
      <w:proofErr w:type="spellEnd"/>
      <w:r w:rsidRPr="000C6977">
        <w:t xml:space="preserve">. </w:t>
      </w:r>
      <w:proofErr w:type="spellStart"/>
      <w:r w:rsidRPr="000C6977">
        <w:t>n.d</w:t>
      </w:r>
      <w:proofErr w:type="spellEnd"/>
      <w:r w:rsidRPr="000C6977">
        <w:t>. Pusiaujo princ</w:t>
      </w:r>
      <w:r w:rsidRPr="000C6977">
        <w:t>ipai [</w:t>
      </w:r>
      <w:proofErr w:type="spellStart"/>
      <w:r w:rsidRPr="000C6977">
        <w:t>Equatorial</w:t>
      </w:r>
      <w:proofErr w:type="spellEnd"/>
      <w:r w:rsidRPr="000C6977">
        <w:t xml:space="preserve"> </w:t>
      </w:r>
      <w:proofErr w:type="spellStart"/>
      <w:r w:rsidRPr="000C6977">
        <w:t>principles</w:t>
      </w:r>
      <w:proofErr w:type="spellEnd"/>
      <w:r w:rsidRPr="000C6977">
        <w:t xml:space="preserve">]. Žiūrėta birželio 10 d. 2021. URL: https://www.swedbank.com/sustainability/responsible-business/finance/equator-principles-.html </w:t>
      </w:r>
    </w:p>
    <w:p w:rsidR="007B6E0A" w:rsidRPr="000C6977" w:rsidRDefault="000C6977">
      <w:pPr>
        <w:pStyle w:val="normal0"/>
      </w:pPr>
      <w:proofErr w:type="spellStart"/>
      <w:r w:rsidRPr="000C6977">
        <w:t>Swedbank</w:t>
      </w:r>
      <w:proofErr w:type="spellEnd"/>
      <w:r w:rsidRPr="000C6977">
        <w:t xml:space="preserve"> </w:t>
      </w:r>
      <w:proofErr w:type="spellStart"/>
      <w:r w:rsidRPr="000C6977">
        <w:t>Robur</w:t>
      </w:r>
      <w:proofErr w:type="spellEnd"/>
      <w:r w:rsidRPr="000C6977">
        <w:t xml:space="preserve">. 2020. </w:t>
      </w:r>
      <w:proofErr w:type="spellStart"/>
      <w:r w:rsidRPr="000C6977">
        <w:t>Swedbank</w:t>
      </w:r>
      <w:proofErr w:type="spellEnd"/>
      <w:r w:rsidRPr="000C6977">
        <w:t xml:space="preserve"> </w:t>
      </w:r>
      <w:proofErr w:type="spellStart"/>
      <w:r w:rsidRPr="000C6977">
        <w:t>Robur</w:t>
      </w:r>
      <w:proofErr w:type="spellEnd"/>
      <w:r w:rsidRPr="000C6977">
        <w:t xml:space="preserve"> klimato strategija [</w:t>
      </w:r>
      <w:proofErr w:type="spellStart"/>
      <w:r w:rsidRPr="000C6977">
        <w:t>Swedbank</w:t>
      </w:r>
      <w:proofErr w:type="spellEnd"/>
      <w:r w:rsidRPr="000C6977">
        <w:t xml:space="preserve"> </w:t>
      </w:r>
      <w:proofErr w:type="spellStart"/>
      <w:r w:rsidRPr="000C6977">
        <w:t>Robur‘s</w:t>
      </w:r>
      <w:proofErr w:type="spellEnd"/>
      <w:r w:rsidRPr="000C6977">
        <w:t xml:space="preserve"> </w:t>
      </w:r>
      <w:proofErr w:type="spellStart"/>
      <w:r w:rsidRPr="000C6977">
        <w:t>Climate</w:t>
      </w:r>
      <w:proofErr w:type="spellEnd"/>
      <w:r w:rsidRPr="000C6977">
        <w:t xml:space="preserve"> </w:t>
      </w:r>
      <w:proofErr w:type="spellStart"/>
      <w:r w:rsidRPr="000C6977">
        <w:t>Strategy</w:t>
      </w:r>
      <w:proofErr w:type="spellEnd"/>
      <w:r w:rsidRPr="000C6977">
        <w:t>]. Žiūr</w:t>
      </w:r>
      <w:r w:rsidRPr="000C6977">
        <w:t xml:space="preserve">ėta liepos 14 d. 2021. URL: https://internetbank.swedbank.se/ConditionsEarchive/download?bankid=1111&amp;id=WEBDOC-PRODE61222857 </w:t>
      </w:r>
    </w:p>
    <w:p w:rsidR="007B6E0A" w:rsidRPr="000C6977" w:rsidRDefault="000C6977">
      <w:pPr>
        <w:pStyle w:val="normal0"/>
      </w:pPr>
      <w:proofErr w:type="spellStart"/>
      <w:r w:rsidRPr="000C6977">
        <w:t>Swedbank</w:t>
      </w:r>
      <w:proofErr w:type="spellEnd"/>
      <w:r w:rsidRPr="000C6977">
        <w:t xml:space="preserve">. </w:t>
      </w:r>
      <w:proofErr w:type="spellStart"/>
      <w:r w:rsidRPr="000C6977">
        <w:t>n.d</w:t>
      </w:r>
      <w:proofErr w:type="spellEnd"/>
      <w:r w:rsidRPr="000C6977">
        <w:t>. Klimatas [</w:t>
      </w:r>
      <w:proofErr w:type="spellStart"/>
      <w:r w:rsidRPr="000C6977">
        <w:t>Climate</w:t>
      </w:r>
      <w:proofErr w:type="spellEnd"/>
      <w:r w:rsidRPr="000C6977">
        <w:t>]. Žiūrėta liepos 14 d. 2021. URL: https://www.swedbank.com/sustainability/environment/climate.htm</w:t>
      </w:r>
      <w:r w:rsidRPr="000C6977">
        <w:t xml:space="preserve">l </w:t>
      </w:r>
    </w:p>
    <w:p w:rsidR="007B6E0A" w:rsidRPr="000C6977" w:rsidRDefault="000C6977">
      <w:pPr>
        <w:pStyle w:val="normal0"/>
      </w:pPr>
      <w:proofErr w:type="spellStart"/>
      <w:r w:rsidRPr="000C6977">
        <w:t>Swedbank</w:t>
      </w:r>
      <w:proofErr w:type="spellEnd"/>
      <w:r w:rsidRPr="000C6977">
        <w:t xml:space="preserve"> </w:t>
      </w:r>
      <w:proofErr w:type="spellStart"/>
      <w:r w:rsidRPr="000C6977">
        <w:t>Robur</w:t>
      </w:r>
      <w:proofErr w:type="spellEnd"/>
      <w:r w:rsidRPr="000C6977">
        <w:t xml:space="preserve">. 2011. </w:t>
      </w:r>
      <w:proofErr w:type="spellStart"/>
      <w:r w:rsidRPr="000C6977">
        <w:t>Swedbank</w:t>
      </w:r>
      <w:proofErr w:type="spellEnd"/>
      <w:r w:rsidRPr="000C6977">
        <w:t xml:space="preserve"> </w:t>
      </w:r>
      <w:proofErr w:type="spellStart"/>
      <w:r w:rsidRPr="000C6977">
        <w:t>Robur</w:t>
      </w:r>
      <w:proofErr w:type="spellEnd"/>
      <w:r w:rsidRPr="000C6977">
        <w:t xml:space="preserve"> pozicija dėl iškastinio aliejaus ir dujų [</w:t>
      </w:r>
      <w:proofErr w:type="spellStart"/>
      <w:r w:rsidRPr="000C6977">
        <w:t>Swedbank</w:t>
      </w:r>
      <w:proofErr w:type="spellEnd"/>
      <w:r w:rsidRPr="000C6977">
        <w:t xml:space="preserve"> </w:t>
      </w:r>
      <w:proofErr w:type="spellStart"/>
      <w:r w:rsidRPr="000C6977">
        <w:t>Robur‘s</w:t>
      </w:r>
      <w:proofErr w:type="spellEnd"/>
      <w:r w:rsidRPr="000C6977">
        <w:t xml:space="preserve"> </w:t>
      </w:r>
      <w:proofErr w:type="spellStart"/>
      <w:r w:rsidRPr="000C6977">
        <w:t>Position</w:t>
      </w:r>
      <w:proofErr w:type="spellEnd"/>
      <w:r w:rsidRPr="000C6977">
        <w:t xml:space="preserve"> </w:t>
      </w:r>
      <w:proofErr w:type="spellStart"/>
      <w:r w:rsidRPr="000C6977">
        <w:t>on</w:t>
      </w:r>
      <w:proofErr w:type="spellEnd"/>
      <w:r w:rsidRPr="000C6977">
        <w:t xml:space="preserve"> </w:t>
      </w:r>
      <w:proofErr w:type="spellStart"/>
      <w:r w:rsidRPr="000C6977">
        <w:t>Production</w:t>
      </w:r>
      <w:proofErr w:type="spellEnd"/>
      <w:r w:rsidRPr="000C6977">
        <w:t xml:space="preserve"> </w:t>
      </w:r>
      <w:proofErr w:type="spellStart"/>
      <w:r w:rsidRPr="000C6977">
        <w:t>of</w:t>
      </w:r>
      <w:proofErr w:type="spellEnd"/>
      <w:r w:rsidRPr="000C6977">
        <w:t xml:space="preserve"> </w:t>
      </w:r>
      <w:proofErr w:type="spellStart"/>
      <w:r w:rsidRPr="000C6977">
        <w:t>Fossil</w:t>
      </w:r>
      <w:proofErr w:type="spellEnd"/>
      <w:r w:rsidRPr="000C6977">
        <w:t xml:space="preserve"> </w:t>
      </w:r>
      <w:proofErr w:type="spellStart"/>
      <w:r w:rsidRPr="000C6977">
        <w:t>Oil</w:t>
      </w:r>
      <w:proofErr w:type="spellEnd"/>
      <w:r w:rsidRPr="000C6977">
        <w:t xml:space="preserve"> </w:t>
      </w:r>
      <w:proofErr w:type="spellStart"/>
      <w:r w:rsidRPr="000C6977">
        <w:t>and</w:t>
      </w:r>
      <w:proofErr w:type="spellEnd"/>
      <w:r w:rsidRPr="000C6977">
        <w:t xml:space="preserve"> </w:t>
      </w:r>
      <w:proofErr w:type="spellStart"/>
      <w:r w:rsidRPr="000C6977">
        <w:t>Gas</w:t>
      </w:r>
      <w:proofErr w:type="spellEnd"/>
      <w:r w:rsidRPr="000C6977">
        <w:t>]. Žiūrėta liepos 14 d. 2021. URL: https://online.swedbank.se/ConditionsEarchive/download?bankid=1111&amp;id=WEBDOC-P</w:t>
      </w:r>
      <w:r w:rsidRPr="000C6977">
        <w:t xml:space="preserve">PE1340862 </w:t>
      </w:r>
    </w:p>
    <w:p w:rsidR="007B6E0A" w:rsidRPr="000C6977" w:rsidRDefault="000C6977">
      <w:pPr>
        <w:pStyle w:val="normal0"/>
      </w:pPr>
      <w:proofErr w:type="spellStart"/>
      <w:r w:rsidRPr="000C6977">
        <w:t>Swedbank</w:t>
      </w:r>
      <w:proofErr w:type="spellEnd"/>
      <w:r w:rsidRPr="000C6977">
        <w:t>. 2020. Aplinkos politika [</w:t>
      </w:r>
      <w:proofErr w:type="spellStart"/>
      <w:r w:rsidRPr="000C6977">
        <w:t>Environmental</w:t>
      </w:r>
      <w:proofErr w:type="spellEnd"/>
      <w:r w:rsidRPr="000C6977">
        <w:t xml:space="preserve"> </w:t>
      </w:r>
      <w:proofErr w:type="spellStart"/>
      <w:r w:rsidRPr="000C6977">
        <w:t>Policy</w:t>
      </w:r>
      <w:proofErr w:type="spellEnd"/>
      <w:r w:rsidRPr="000C6977">
        <w:t xml:space="preserve">]. Žiūrėta liepos 14 d. 2021. URL: https://online.swedbank.se/ConditionsEarchive/download?bankid=1111&amp;id=WEBDOC-PPE1341726 </w:t>
      </w:r>
    </w:p>
    <w:p w:rsidR="007B6E0A" w:rsidRPr="000C6977" w:rsidRDefault="000C6977">
      <w:pPr>
        <w:pStyle w:val="normal0"/>
      </w:pPr>
      <w:proofErr w:type="spellStart"/>
      <w:r w:rsidRPr="000C6977">
        <w:t>Swedbank</w:t>
      </w:r>
      <w:proofErr w:type="spellEnd"/>
      <w:r w:rsidRPr="000C6977">
        <w:t>. 2020. Sektoriaus gairės: Agrokultūra, Žuvininkystė ir gy</w:t>
      </w:r>
      <w:r w:rsidRPr="000C6977">
        <w:t>vūnų gerovė [</w:t>
      </w:r>
      <w:proofErr w:type="spellStart"/>
      <w:r w:rsidRPr="000C6977">
        <w:t>Sectorial</w:t>
      </w:r>
      <w:proofErr w:type="spellEnd"/>
      <w:r w:rsidRPr="000C6977">
        <w:t xml:space="preserve"> </w:t>
      </w:r>
      <w:proofErr w:type="spellStart"/>
      <w:r w:rsidRPr="000C6977">
        <w:t>Guidelines</w:t>
      </w:r>
      <w:proofErr w:type="spellEnd"/>
      <w:r w:rsidRPr="000C6977">
        <w:t xml:space="preserve">: </w:t>
      </w:r>
      <w:proofErr w:type="spellStart"/>
      <w:r w:rsidRPr="000C6977">
        <w:t>Agriculture</w:t>
      </w:r>
      <w:proofErr w:type="spellEnd"/>
      <w:r w:rsidRPr="000C6977">
        <w:t xml:space="preserve">, </w:t>
      </w:r>
      <w:proofErr w:type="spellStart"/>
      <w:r w:rsidRPr="000C6977">
        <w:t>Fisheries</w:t>
      </w:r>
      <w:proofErr w:type="spellEnd"/>
      <w:r w:rsidRPr="000C6977">
        <w:t xml:space="preserve"> </w:t>
      </w:r>
      <w:proofErr w:type="spellStart"/>
      <w:r w:rsidRPr="000C6977">
        <w:t>and</w:t>
      </w:r>
      <w:proofErr w:type="spellEnd"/>
      <w:r w:rsidRPr="000C6977">
        <w:t xml:space="preserve"> </w:t>
      </w:r>
      <w:proofErr w:type="spellStart"/>
      <w:r w:rsidRPr="000C6977">
        <w:t>Animal</w:t>
      </w:r>
      <w:proofErr w:type="spellEnd"/>
      <w:r w:rsidRPr="000C6977">
        <w:t xml:space="preserve"> </w:t>
      </w:r>
      <w:proofErr w:type="spellStart"/>
      <w:r w:rsidRPr="000C6977">
        <w:t>Welfare</w:t>
      </w:r>
      <w:proofErr w:type="spellEnd"/>
      <w:r w:rsidRPr="000C6977">
        <w:t xml:space="preserve">]. Žiūrėta liepos 14 d. 2021. URL: https://online.swedbank.se/ConditionsEarchive/download?bankid=1111&amp;id=WEBDOCPPE1341785 </w:t>
      </w:r>
    </w:p>
    <w:p w:rsidR="007B6E0A" w:rsidRPr="000C6977" w:rsidRDefault="000C6977">
      <w:pPr>
        <w:pStyle w:val="normal0"/>
      </w:pPr>
      <w:r w:rsidRPr="000C6977">
        <w:t>Ekonominio bendravimo ir plėtros organizacija (OECD). 201</w:t>
      </w:r>
      <w:r w:rsidRPr="000C6977">
        <w:t>9. OECD gairių tarptautinėms įmonėms metinė ataskaita [</w:t>
      </w:r>
      <w:proofErr w:type="spellStart"/>
      <w:r w:rsidRPr="000C6977">
        <w:t>Annual</w:t>
      </w:r>
      <w:proofErr w:type="spellEnd"/>
      <w:r w:rsidRPr="000C6977">
        <w:t xml:space="preserve"> </w:t>
      </w:r>
      <w:proofErr w:type="spellStart"/>
      <w:r w:rsidRPr="000C6977">
        <w:t>Report</w:t>
      </w:r>
      <w:proofErr w:type="spellEnd"/>
      <w:r w:rsidRPr="000C6977">
        <w:t xml:space="preserve"> </w:t>
      </w:r>
      <w:proofErr w:type="spellStart"/>
      <w:r w:rsidRPr="000C6977">
        <w:t>on</w:t>
      </w:r>
      <w:proofErr w:type="spellEnd"/>
      <w:r w:rsidRPr="000C6977">
        <w:t xml:space="preserve"> </w:t>
      </w:r>
      <w:proofErr w:type="spellStart"/>
      <w:r w:rsidRPr="000C6977">
        <w:t>the</w:t>
      </w:r>
      <w:proofErr w:type="spellEnd"/>
      <w:r w:rsidRPr="000C6977">
        <w:t xml:space="preserve"> OECD </w:t>
      </w:r>
      <w:proofErr w:type="spellStart"/>
      <w:r w:rsidRPr="000C6977">
        <w:t>Guidelines</w:t>
      </w:r>
      <w:proofErr w:type="spellEnd"/>
      <w:r w:rsidRPr="000C6977">
        <w:t xml:space="preserve"> </w:t>
      </w:r>
      <w:proofErr w:type="spellStart"/>
      <w:r w:rsidRPr="000C6977">
        <w:t>for</w:t>
      </w:r>
      <w:proofErr w:type="spellEnd"/>
      <w:r w:rsidRPr="000C6977">
        <w:t xml:space="preserve"> </w:t>
      </w:r>
      <w:proofErr w:type="spellStart"/>
      <w:r w:rsidRPr="000C6977">
        <w:t>Multinational</w:t>
      </w:r>
      <w:proofErr w:type="spellEnd"/>
      <w:r w:rsidRPr="000C6977">
        <w:t xml:space="preserve"> </w:t>
      </w:r>
      <w:proofErr w:type="spellStart"/>
      <w:r w:rsidRPr="000C6977">
        <w:lastRenderedPageBreak/>
        <w:t>Enterprises</w:t>
      </w:r>
      <w:proofErr w:type="spellEnd"/>
      <w:r w:rsidRPr="000C6977">
        <w:t xml:space="preserve">]. Žiūrėta liepos 14 d. 2021. URL: http://mneguidelines.oecd.org/annualreportsontheguidelines.htm </w:t>
      </w:r>
    </w:p>
    <w:p w:rsidR="007B6E0A" w:rsidRPr="000C6977" w:rsidRDefault="000C6977">
      <w:pPr>
        <w:pStyle w:val="normal0"/>
      </w:pPr>
      <w:proofErr w:type="spellStart"/>
      <w:r w:rsidRPr="000C6977">
        <w:t>Swedbank</w:t>
      </w:r>
      <w:proofErr w:type="spellEnd"/>
      <w:r w:rsidRPr="000C6977">
        <w:t>. 2021. Elgesio kodeksas [</w:t>
      </w:r>
      <w:proofErr w:type="spellStart"/>
      <w:r w:rsidRPr="000C6977">
        <w:t>Code</w:t>
      </w:r>
      <w:proofErr w:type="spellEnd"/>
      <w:r w:rsidRPr="000C6977">
        <w:t xml:space="preserve"> </w:t>
      </w:r>
      <w:proofErr w:type="spellStart"/>
      <w:r w:rsidRPr="000C6977">
        <w:t>of</w:t>
      </w:r>
      <w:proofErr w:type="spellEnd"/>
      <w:r w:rsidRPr="000C6977">
        <w:t xml:space="preserve"> </w:t>
      </w:r>
      <w:proofErr w:type="spellStart"/>
      <w:r w:rsidRPr="000C6977">
        <w:t>Conduct</w:t>
      </w:r>
      <w:proofErr w:type="spellEnd"/>
      <w:r w:rsidRPr="000C6977">
        <w:t xml:space="preserve">]. Žiūrėta liepos 14 d. 2021. URL: https://internetbank.swedbank.se/ConditionsEarchive/download?bankid=1111&amp;id=WEBDOC-PPE1340215 </w:t>
      </w:r>
      <w:proofErr w:type="spellStart"/>
      <w:r w:rsidRPr="000C6977">
        <w:t>Women‘s</w:t>
      </w:r>
      <w:proofErr w:type="spellEnd"/>
      <w:r w:rsidRPr="000C6977">
        <w:t xml:space="preserve"> </w:t>
      </w:r>
      <w:proofErr w:type="spellStart"/>
      <w:r w:rsidRPr="000C6977">
        <w:t>Empowerment</w:t>
      </w:r>
      <w:proofErr w:type="spellEnd"/>
      <w:r w:rsidRPr="000C6977">
        <w:t xml:space="preserve"> </w:t>
      </w:r>
      <w:proofErr w:type="spellStart"/>
      <w:r w:rsidRPr="000C6977">
        <w:t>Principles</w:t>
      </w:r>
      <w:proofErr w:type="spellEnd"/>
      <w:r w:rsidRPr="000C6977">
        <w:t xml:space="preserve">. 2019. </w:t>
      </w:r>
      <w:proofErr w:type="spellStart"/>
      <w:r w:rsidRPr="000C6977">
        <w:t>Swedbank</w:t>
      </w:r>
      <w:proofErr w:type="spellEnd"/>
      <w:r w:rsidRPr="000C6977">
        <w:t>. Žiūrėta liepos 14 d. 2021. URL</w:t>
      </w:r>
      <w:r w:rsidRPr="000C6977">
        <w:t xml:space="preserve">: https://www.weps.org/company/swedbank </w:t>
      </w:r>
    </w:p>
    <w:p w:rsidR="007B6E0A" w:rsidRPr="000C6977" w:rsidRDefault="000C6977">
      <w:pPr>
        <w:pStyle w:val="normal0"/>
      </w:pPr>
      <w:proofErr w:type="spellStart"/>
      <w:r w:rsidRPr="000C6977">
        <w:t>Swedbank</w:t>
      </w:r>
      <w:proofErr w:type="spellEnd"/>
      <w:r w:rsidRPr="000C6977">
        <w:t xml:space="preserve"> </w:t>
      </w:r>
      <w:proofErr w:type="spellStart"/>
      <w:r w:rsidRPr="000C6977">
        <w:t>Robur</w:t>
      </w:r>
      <w:proofErr w:type="spellEnd"/>
      <w:r w:rsidRPr="000C6977">
        <w:t>. 2020. Tvarios investicijos [</w:t>
      </w:r>
      <w:proofErr w:type="spellStart"/>
      <w:r w:rsidRPr="000C6977">
        <w:t>Sustainable</w:t>
      </w:r>
      <w:proofErr w:type="spellEnd"/>
      <w:r w:rsidRPr="000C6977">
        <w:t xml:space="preserve"> </w:t>
      </w:r>
      <w:proofErr w:type="spellStart"/>
      <w:r w:rsidRPr="000C6977">
        <w:t>Investments</w:t>
      </w:r>
      <w:proofErr w:type="spellEnd"/>
      <w:r w:rsidRPr="000C6977">
        <w:t xml:space="preserve">]. Žiūrėta liepos 14 d. 2021. URL: https://internetbank.swedbank.se/ConditionsEarchive/download?bankid=1111&amp;id=WEBDOC-PRODE82640068 </w:t>
      </w:r>
    </w:p>
    <w:p w:rsidR="007B6E0A" w:rsidRPr="000C6977" w:rsidRDefault="000C6977">
      <w:pPr>
        <w:pStyle w:val="normal0"/>
      </w:pPr>
      <w:proofErr w:type="spellStart"/>
      <w:r w:rsidRPr="000C6977">
        <w:t>United</w:t>
      </w:r>
      <w:proofErr w:type="spellEnd"/>
      <w:r w:rsidRPr="000C6977">
        <w:t xml:space="preserve"> </w:t>
      </w:r>
      <w:proofErr w:type="spellStart"/>
      <w:r w:rsidRPr="000C6977">
        <w:t>Nations</w:t>
      </w:r>
      <w:proofErr w:type="spellEnd"/>
      <w:r w:rsidRPr="000C6977">
        <w:t xml:space="preserve"> </w:t>
      </w:r>
      <w:proofErr w:type="spellStart"/>
      <w:r w:rsidRPr="000C6977">
        <w:t>Global</w:t>
      </w:r>
      <w:proofErr w:type="spellEnd"/>
      <w:r w:rsidRPr="000C6977">
        <w:t xml:space="preserve"> </w:t>
      </w:r>
      <w:proofErr w:type="spellStart"/>
      <w:r w:rsidRPr="000C6977">
        <w:t>Compact</w:t>
      </w:r>
      <w:proofErr w:type="spellEnd"/>
      <w:r w:rsidRPr="000C6977">
        <w:t xml:space="preserve"> (UN </w:t>
      </w:r>
      <w:proofErr w:type="spellStart"/>
      <w:r w:rsidRPr="000C6977">
        <w:t>Global</w:t>
      </w:r>
      <w:proofErr w:type="spellEnd"/>
      <w:r w:rsidRPr="000C6977">
        <w:t xml:space="preserve"> </w:t>
      </w:r>
      <w:proofErr w:type="spellStart"/>
      <w:r w:rsidRPr="000C6977">
        <w:t>Compact</w:t>
      </w:r>
      <w:proofErr w:type="spellEnd"/>
      <w:r w:rsidRPr="000C6977">
        <w:t xml:space="preserve">). 2021. </w:t>
      </w:r>
      <w:proofErr w:type="spellStart"/>
      <w:r w:rsidRPr="000C6977">
        <w:t>Communication</w:t>
      </w:r>
      <w:proofErr w:type="spellEnd"/>
      <w:r w:rsidRPr="000C6977">
        <w:t xml:space="preserve"> </w:t>
      </w:r>
      <w:proofErr w:type="spellStart"/>
      <w:r w:rsidRPr="000C6977">
        <w:t>on</w:t>
      </w:r>
      <w:proofErr w:type="spellEnd"/>
      <w:r w:rsidRPr="000C6977">
        <w:t xml:space="preserve"> </w:t>
      </w:r>
      <w:proofErr w:type="spellStart"/>
      <w:r w:rsidRPr="000C6977">
        <w:t>Progress</w:t>
      </w:r>
      <w:proofErr w:type="spellEnd"/>
      <w:r w:rsidRPr="000C6977">
        <w:t xml:space="preserve">. Žiūrėta liepos 14 d. 2021. URL: https://www.unglobalcompact.org/participation/report/cop/create-and-submit/active/446487 </w:t>
      </w:r>
    </w:p>
    <w:p w:rsidR="007B6E0A" w:rsidRPr="000C6977" w:rsidRDefault="007B6E0A">
      <w:pPr>
        <w:pStyle w:val="normal0"/>
      </w:pPr>
    </w:p>
    <w:p w:rsidR="007B6E0A" w:rsidRPr="000C6977" w:rsidRDefault="000C6977">
      <w:pPr>
        <w:pStyle w:val="normal0"/>
      </w:pPr>
      <w:proofErr w:type="spellStart"/>
      <w:r w:rsidRPr="000C6977">
        <w:t>International</w:t>
      </w:r>
      <w:proofErr w:type="spellEnd"/>
      <w:r w:rsidRPr="000C6977">
        <w:t xml:space="preserve"> </w:t>
      </w:r>
      <w:proofErr w:type="spellStart"/>
      <w:r w:rsidRPr="000C6977">
        <w:t>Finance</w:t>
      </w:r>
      <w:proofErr w:type="spellEnd"/>
      <w:r w:rsidRPr="000C6977">
        <w:t xml:space="preserve"> </w:t>
      </w:r>
      <w:proofErr w:type="spellStart"/>
      <w:r w:rsidRPr="000C6977">
        <w:t>Corporation</w:t>
      </w:r>
      <w:proofErr w:type="spellEnd"/>
      <w:r w:rsidRPr="000C6977">
        <w:t xml:space="preserve"> (IFC). </w:t>
      </w:r>
      <w:proofErr w:type="spellStart"/>
      <w:r w:rsidRPr="000C6977">
        <w:t>n.d</w:t>
      </w:r>
      <w:proofErr w:type="spellEnd"/>
      <w:r w:rsidRPr="000C6977">
        <w:t xml:space="preserve">. Našumo standartai </w:t>
      </w:r>
      <w:r w:rsidRPr="000C6977">
        <w:t>[</w:t>
      </w:r>
      <w:proofErr w:type="spellStart"/>
      <w:r w:rsidRPr="000C6977">
        <w:t>Performance</w:t>
      </w:r>
      <w:proofErr w:type="spellEnd"/>
      <w:r w:rsidRPr="000C6977">
        <w:t xml:space="preserve"> </w:t>
      </w:r>
      <w:proofErr w:type="spellStart"/>
      <w:r w:rsidRPr="000C6977">
        <w:t>Standarts</w:t>
      </w:r>
      <w:proofErr w:type="spellEnd"/>
      <w:r w:rsidRPr="000C6977">
        <w:t xml:space="preserve">]. Žiūrėta liepos 14 d. 2021. URL: https://www.ifc.org/wps/wcm/connect/Topics_Ext_Content/IFC_External_Corporate_Site/Sustainability-At-IFC/PoliciesStandards/Performance-Standards </w:t>
      </w:r>
      <w:proofErr w:type="spellStart"/>
      <w:r w:rsidRPr="000C6977">
        <w:t>Swedbank</w:t>
      </w:r>
      <w:proofErr w:type="spellEnd"/>
      <w:r w:rsidRPr="000C6977">
        <w:t>. 2020.</w:t>
      </w:r>
    </w:p>
    <w:p w:rsidR="007B6E0A" w:rsidRPr="000C6977" w:rsidRDefault="000C6977">
      <w:pPr>
        <w:pStyle w:val="normal0"/>
      </w:pPr>
      <w:r w:rsidRPr="000C6977">
        <w:t>Tiekėjo elgesio kodas [</w:t>
      </w:r>
      <w:proofErr w:type="spellStart"/>
      <w:r w:rsidRPr="000C6977">
        <w:t>Supplier</w:t>
      </w:r>
      <w:proofErr w:type="spellEnd"/>
      <w:r w:rsidRPr="000C6977">
        <w:t xml:space="preserve"> </w:t>
      </w:r>
      <w:proofErr w:type="spellStart"/>
      <w:r w:rsidRPr="000C6977">
        <w:t>code</w:t>
      </w:r>
      <w:proofErr w:type="spellEnd"/>
      <w:r w:rsidRPr="000C6977">
        <w:t xml:space="preserve"> </w:t>
      </w:r>
      <w:proofErr w:type="spellStart"/>
      <w:r w:rsidRPr="000C6977">
        <w:t>o</w:t>
      </w:r>
      <w:r w:rsidRPr="000C6977">
        <w:t>f</w:t>
      </w:r>
      <w:proofErr w:type="spellEnd"/>
      <w:r w:rsidRPr="000C6977">
        <w:t xml:space="preserve"> </w:t>
      </w:r>
      <w:proofErr w:type="spellStart"/>
      <w:r w:rsidRPr="000C6977">
        <w:t>conduct</w:t>
      </w:r>
      <w:proofErr w:type="spellEnd"/>
      <w:r w:rsidRPr="000C6977">
        <w:t xml:space="preserve">]. Žiūrėta liepos 14 d. 2021. URL: https://online.swedbank.se/ConditionsEarchive/download?bankid=1111&amp;id=WEBDOC-PRODE25647249 </w:t>
      </w:r>
    </w:p>
    <w:p w:rsidR="007B6E0A" w:rsidRPr="000C6977" w:rsidRDefault="000C6977">
      <w:pPr>
        <w:pStyle w:val="normal0"/>
      </w:pPr>
      <w:proofErr w:type="spellStart"/>
      <w:r w:rsidRPr="000C6977">
        <w:t>Swedbank</w:t>
      </w:r>
      <w:proofErr w:type="spellEnd"/>
      <w:r w:rsidRPr="000C6977">
        <w:t xml:space="preserve"> </w:t>
      </w:r>
      <w:proofErr w:type="spellStart"/>
      <w:r w:rsidRPr="000C6977">
        <w:t>Robur</w:t>
      </w:r>
      <w:proofErr w:type="spellEnd"/>
      <w:r w:rsidRPr="000C6977">
        <w:t>. 2020. Pozicijos santrauka: Žmogaus teisės [</w:t>
      </w:r>
      <w:proofErr w:type="spellStart"/>
      <w:r w:rsidRPr="000C6977">
        <w:t>Position</w:t>
      </w:r>
      <w:proofErr w:type="spellEnd"/>
      <w:r w:rsidRPr="000C6977">
        <w:t xml:space="preserve"> </w:t>
      </w:r>
      <w:proofErr w:type="spellStart"/>
      <w:r w:rsidRPr="000C6977">
        <w:t>Paper</w:t>
      </w:r>
      <w:proofErr w:type="spellEnd"/>
      <w:r w:rsidRPr="000C6977">
        <w:t xml:space="preserve">: </w:t>
      </w:r>
      <w:proofErr w:type="spellStart"/>
      <w:r w:rsidRPr="000C6977">
        <w:t>Human</w:t>
      </w:r>
      <w:proofErr w:type="spellEnd"/>
      <w:r w:rsidRPr="000C6977">
        <w:t xml:space="preserve"> </w:t>
      </w:r>
      <w:proofErr w:type="spellStart"/>
      <w:r w:rsidRPr="000C6977">
        <w:t>Rights</w:t>
      </w:r>
      <w:proofErr w:type="spellEnd"/>
      <w:r w:rsidRPr="000C6977">
        <w:t>]. Žiūrėta liepos 14 d. 2021. URL</w:t>
      </w:r>
      <w:r w:rsidRPr="000C6977">
        <w:t xml:space="preserve">: https://internetbank.swedbank.se/ConditionsEarchive/download?bankid=1111&amp;id=WEBDOC-PRODE58282996 </w:t>
      </w:r>
    </w:p>
    <w:p w:rsidR="007B6E0A" w:rsidRPr="000C6977" w:rsidRDefault="000C6977">
      <w:pPr>
        <w:pStyle w:val="normal0"/>
      </w:pPr>
      <w:r w:rsidRPr="000C6977">
        <w:t>AB SEB bankas. 2019. Metinė ataskaita ir finansinės ataskaitos. [</w:t>
      </w:r>
      <w:proofErr w:type="spellStart"/>
      <w:r w:rsidRPr="000C6977">
        <w:t>Annual</w:t>
      </w:r>
      <w:proofErr w:type="spellEnd"/>
      <w:r w:rsidRPr="000C6977">
        <w:t xml:space="preserve"> </w:t>
      </w:r>
      <w:proofErr w:type="spellStart"/>
      <w:r w:rsidRPr="000C6977">
        <w:t>Report</w:t>
      </w:r>
      <w:proofErr w:type="spellEnd"/>
      <w:r w:rsidRPr="000C6977">
        <w:t xml:space="preserve"> </w:t>
      </w:r>
      <w:proofErr w:type="spellStart"/>
      <w:r w:rsidRPr="000C6977">
        <w:t>and</w:t>
      </w:r>
      <w:proofErr w:type="spellEnd"/>
      <w:r w:rsidRPr="000C6977">
        <w:t xml:space="preserve"> </w:t>
      </w:r>
      <w:proofErr w:type="spellStart"/>
      <w:r w:rsidRPr="000C6977">
        <w:t>Financial</w:t>
      </w:r>
      <w:proofErr w:type="spellEnd"/>
      <w:r w:rsidRPr="000C6977">
        <w:t xml:space="preserve"> </w:t>
      </w:r>
      <w:proofErr w:type="spellStart"/>
      <w:r w:rsidRPr="000C6977">
        <w:t>Statements</w:t>
      </w:r>
      <w:proofErr w:type="spellEnd"/>
      <w:r w:rsidRPr="000C6977">
        <w:t>]. Žiūrėta liepos 14 d. 2021. URL: https://www.seb.lt</w:t>
      </w:r>
      <w:r w:rsidRPr="000C6977">
        <w:t xml:space="preserve">/sites/default/files/web/pdf/AB%20SEB%20bankas%20Annual%20Report%20and%20Audited%20FS%202019.pdf </w:t>
      </w:r>
    </w:p>
    <w:p w:rsidR="007B6E0A" w:rsidRPr="000C6977" w:rsidRDefault="000C6977">
      <w:pPr>
        <w:pStyle w:val="normal0"/>
      </w:pPr>
      <w:r w:rsidRPr="000C6977">
        <w:t>SEB. 2019. Tvarumo ataskaita [</w:t>
      </w:r>
      <w:proofErr w:type="spellStart"/>
      <w:r w:rsidRPr="000C6977">
        <w:t>Sustainability</w:t>
      </w:r>
      <w:proofErr w:type="spellEnd"/>
      <w:r w:rsidRPr="000C6977">
        <w:t xml:space="preserve"> </w:t>
      </w:r>
      <w:proofErr w:type="spellStart"/>
      <w:r w:rsidRPr="000C6977">
        <w:t>report</w:t>
      </w:r>
      <w:proofErr w:type="spellEnd"/>
      <w:r w:rsidRPr="000C6977">
        <w:t>]. Žiūrėta liepos 14 d. 2021. URL: https://webapp.sebgroup.com/mb/mblib.nsf/alldocsbyunid/482846F5506649C7C</w:t>
      </w:r>
      <w:r w:rsidRPr="000C6977">
        <w:t xml:space="preserve">12586A700511105/$FILE/seb_sustainability_report_201 9.pdf 8 </w:t>
      </w:r>
    </w:p>
    <w:p w:rsidR="007B6E0A" w:rsidRPr="000C6977" w:rsidRDefault="000C6977">
      <w:pPr>
        <w:pStyle w:val="normal0"/>
      </w:pPr>
      <w:r w:rsidRPr="000C6977">
        <w:t xml:space="preserve">SEB </w:t>
      </w:r>
      <w:proofErr w:type="spellStart"/>
      <w:r w:rsidRPr="000C6977">
        <w:t>Group</w:t>
      </w:r>
      <w:proofErr w:type="spellEnd"/>
      <w:r w:rsidRPr="000C6977">
        <w:t xml:space="preserve"> 2019 Metinė ataskaita [</w:t>
      </w:r>
      <w:proofErr w:type="spellStart"/>
      <w:r w:rsidRPr="000C6977">
        <w:t>Annual</w:t>
      </w:r>
      <w:proofErr w:type="spellEnd"/>
      <w:r w:rsidRPr="000C6977">
        <w:t xml:space="preserve"> </w:t>
      </w:r>
      <w:proofErr w:type="spellStart"/>
      <w:r w:rsidRPr="000C6977">
        <w:t>Report</w:t>
      </w:r>
      <w:proofErr w:type="spellEnd"/>
      <w:r w:rsidRPr="000C6977">
        <w:t xml:space="preserve">]. Žiūrėta liepos 14 d. 2021. URL: https://sebgroup.com/press/press-releases/2020/sebsannual-reporting-2019-published </w:t>
      </w:r>
    </w:p>
    <w:p w:rsidR="007B6E0A" w:rsidRPr="000C6977" w:rsidRDefault="000C6977">
      <w:pPr>
        <w:pStyle w:val="normal0"/>
      </w:pPr>
      <w:r w:rsidRPr="000C6977">
        <w:t xml:space="preserve">SEB </w:t>
      </w:r>
      <w:proofErr w:type="spellStart"/>
      <w:r w:rsidRPr="000C6977">
        <w:t>Group</w:t>
      </w:r>
      <w:proofErr w:type="spellEnd"/>
      <w:r w:rsidRPr="000C6977">
        <w:t xml:space="preserve"> 2020. Metinis praneš</w:t>
      </w:r>
      <w:r w:rsidRPr="000C6977">
        <w:t xml:space="preserve">imas ir finansinės ataskaitos 2020. Žiūrėta lapkričio 5 d. URL: https://www.seb.lt/sites/default/files/financial_reports/SEB_bankas_AB_FS_LT_2020_20210310_esigned.pdf </w:t>
      </w:r>
    </w:p>
    <w:p w:rsidR="007B6E0A" w:rsidRPr="000C6977" w:rsidRDefault="000C6977">
      <w:pPr>
        <w:pStyle w:val="normal0"/>
      </w:pPr>
      <w:r w:rsidRPr="000C6977">
        <w:t>SEB. 2019. Aplinkos politika [</w:t>
      </w:r>
      <w:proofErr w:type="spellStart"/>
      <w:r w:rsidRPr="000C6977">
        <w:t>Environmental</w:t>
      </w:r>
      <w:proofErr w:type="spellEnd"/>
      <w:r w:rsidRPr="000C6977">
        <w:t xml:space="preserve"> </w:t>
      </w:r>
      <w:proofErr w:type="spellStart"/>
      <w:r w:rsidRPr="000C6977">
        <w:t>Policy</w:t>
      </w:r>
      <w:proofErr w:type="spellEnd"/>
      <w:r w:rsidRPr="000C6977">
        <w:t>]. Žiūrėta liepos 14 d. 2021. URL: htt</w:t>
      </w:r>
      <w:r w:rsidRPr="000C6977">
        <w:t xml:space="preserve">ps://webapp.sebgroup.com/mb/mblib.nsf/alldocsbyunid/CBAA255D7EC51026C1257C28002FB11A/$FILE/Environmenal_Policy.pdf  </w:t>
      </w:r>
    </w:p>
    <w:p w:rsidR="007B6E0A" w:rsidRPr="000C6977" w:rsidRDefault="000C6977">
      <w:pPr>
        <w:pStyle w:val="normal0"/>
      </w:pPr>
      <w:r w:rsidRPr="000C6977">
        <w:t>SEB. 2018. Žmogaus teisių politika [</w:t>
      </w:r>
      <w:proofErr w:type="spellStart"/>
      <w:r w:rsidRPr="000C6977">
        <w:t>Human</w:t>
      </w:r>
      <w:proofErr w:type="spellEnd"/>
      <w:r w:rsidRPr="000C6977">
        <w:t xml:space="preserve"> </w:t>
      </w:r>
      <w:proofErr w:type="spellStart"/>
      <w:r w:rsidRPr="000C6977">
        <w:t>Rights</w:t>
      </w:r>
      <w:proofErr w:type="spellEnd"/>
      <w:r w:rsidRPr="000C6977">
        <w:t xml:space="preserve"> </w:t>
      </w:r>
      <w:proofErr w:type="spellStart"/>
      <w:r w:rsidRPr="000C6977">
        <w:t>Policy</w:t>
      </w:r>
      <w:proofErr w:type="spellEnd"/>
      <w:r w:rsidRPr="000C6977">
        <w:t>]. Žiūrėta liepos 14 d. 2021. URL: https://webapp.sebgroup.com/mb/mblib.nsf/alldocsb</w:t>
      </w:r>
      <w:r w:rsidRPr="000C6977">
        <w:t>yunid/08FA32CDB08199F3C1257C29002C29E8/$FILE/Human_Rights_Policy.pdf</w:t>
      </w:r>
    </w:p>
    <w:p w:rsidR="007B6E0A" w:rsidRPr="000C6977" w:rsidRDefault="000C6977">
      <w:pPr>
        <w:pStyle w:val="normal0"/>
      </w:pPr>
      <w:r w:rsidRPr="000C6977">
        <w:t>SEB. 2021. Iškastinio kuro politika [</w:t>
      </w:r>
      <w:proofErr w:type="spellStart"/>
      <w:r w:rsidRPr="000C6977">
        <w:t>Fossil</w:t>
      </w:r>
      <w:proofErr w:type="spellEnd"/>
      <w:r w:rsidRPr="000C6977">
        <w:t xml:space="preserve"> </w:t>
      </w:r>
      <w:proofErr w:type="spellStart"/>
      <w:r w:rsidRPr="000C6977">
        <w:t>Fuel</w:t>
      </w:r>
      <w:proofErr w:type="spellEnd"/>
      <w:r w:rsidRPr="000C6977">
        <w:t xml:space="preserve"> </w:t>
      </w:r>
      <w:proofErr w:type="spellStart"/>
      <w:r w:rsidRPr="000C6977">
        <w:t>Policy</w:t>
      </w:r>
      <w:proofErr w:type="spellEnd"/>
      <w:r w:rsidRPr="000C6977">
        <w:t>]. Žiūrėta liepos 14 d. 2021. URL: https://webapp.sebgroup.com/mb/mblib.nsf/alldocsbyunid/80AF6A2E5F88CDC2C12586B1002E33C2/$FILE/sec</w:t>
      </w:r>
      <w:r w:rsidRPr="000C6977">
        <w:t xml:space="preserve">tor_policy_fossil_fuel.pdf </w:t>
      </w:r>
    </w:p>
    <w:p w:rsidR="007B6E0A" w:rsidRPr="000C6977" w:rsidRDefault="000C6977">
      <w:pPr>
        <w:pStyle w:val="normal0"/>
      </w:pPr>
      <w:r w:rsidRPr="000C6977">
        <w:lastRenderedPageBreak/>
        <w:t xml:space="preserve">SEB. 2021. </w:t>
      </w:r>
      <w:proofErr w:type="spellStart"/>
      <w:r w:rsidRPr="000C6977">
        <w:t>Įtraukties</w:t>
      </w:r>
      <w:proofErr w:type="spellEnd"/>
      <w:r w:rsidRPr="000C6977">
        <w:t xml:space="preserve"> ir įvairovės politika [</w:t>
      </w:r>
      <w:proofErr w:type="spellStart"/>
      <w:r w:rsidRPr="000C6977">
        <w:t>Inclusion</w:t>
      </w:r>
      <w:proofErr w:type="spellEnd"/>
      <w:r w:rsidRPr="000C6977">
        <w:t xml:space="preserve"> </w:t>
      </w:r>
      <w:proofErr w:type="spellStart"/>
      <w:r w:rsidRPr="000C6977">
        <w:t>and</w:t>
      </w:r>
      <w:proofErr w:type="spellEnd"/>
      <w:r w:rsidRPr="000C6977">
        <w:t xml:space="preserve"> </w:t>
      </w:r>
      <w:proofErr w:type="spellStart"/>
      <w:r w:rsidRPr="000C6977">
        <w:t>Diversity</w:t>
      </w:r>
      <w:proofErr w:type="spellEnd"/>
      <w:r w:rsidRPr="000C6977">
        <w:t xml:space="preserve"> </w:t>
      </w:r>
      <w:proofErr w:type="spellStart"/>
      <w:r w:rsidRPr="000C6977">
        <w:t>Policy</w:t>
      </w:r>
      <w:proofErr w:type="spellEnd"/>
      <w:r w:rsidRPr="000C6977">
        <w:t>]. Žiūrėta liepos 14 d. 2021. URL: https://webapp.sebgroup.com/mb/mblib.nsf/alldocsbyunid/738FF077B39B4B0BC12583C40046B68E/$FILE/inclusion_diversity_poli</w:t>
      </w:r>
      <w:r w:rsidRPr="000C6977">
        <w:t xml:space="preserve">cy.pdf </w:t>
      </w:r>
    </w:p>
    <w:p w:rsidR="007B6E0A" w:rsidRPr="000C6977" w:rsidRDefault="000C6977">
      <w:pPr>
        <w:pStyle w:val="normal0"/>
      </w:pPr>
      <w:r w:rsidRPr="000C6977">
        <w:t>SEB. 2020. Elgesio kodeksas [</w:t>
      </w:r>
      <w:proofErr w:type="spellStart"/>
      <w:r w:rsidRPr="000C6977">
        <w:t>Code</w:t>
      </w:r>
      <w:proofErr w:type="spellEnd"/>
      <w:r w:rsidRPr="000C6977">
        <w:t xml:space="preserve"> </w:t>
      </w:r>
      <w:proofErr w:type="spellStart"/>
      <w:r w:rsidRPr="000C6977">
        <w:t>of</w:t>
      </w:r>
      <w:proofErr w:type="spellEnd"/>
      <w:r w:rsidRPr="000C6977">
        <w:t xml:space="preserve"> </w:t>
      </w:r>
      <w:proofErr w:type="spellStart"/>
      <w:r w:rsidRPr="000C6977">
        <w:t>Conduct</w:t>
      </w:r>
      <w:proofErr w:type="spellEnd"/>
      <w:r w:rsidRPr="000C6977">
        <w:t xml:space="preserve">]. Žiūrėta liepos 14 d. 2021. URL: https://webapp.sebgroup.com/mb/mblib.nsf/alldocsbyunid/88456DDF71E15C13C12583C500333D63/$FILE/code_of_conduct.pdf </w:t>
      </w:r>
    </w:p>
    <w:p w:rsidR="007B6E0A" w:rsidRPr="000C6977" w:rsidRDefault="000C6977">
      <w:pPr>
        <w:pStyle w:val="normal0"/>
      </w:pPr>
      <w:r w:rsidRPr="000C6977">
        <w:t>SEB. 2021. Įmonių tvarumo politika [</w:t>
      </w:r>
      <w:proofErr w:type="spellStart"/>
      <w:r w:rsidRPr="000C6977">
        <w:t>Corporate</w:t>
      </w:r>
      <w:proofErr w:type="spellEnd"/>
      <w:r w:rsidRPr="000C6977">
        <w:t xml:space="preserve"> </w:t>
      </w:r>
      <w:proofErr w:type="spellStart"/>
      <w:r w:rsidRPr="000C6977">
        <w:t>Sustainability</w:t>
      </w:r>
      <w:proofErr w:type="spellEnd"/>
      <w:r w:rsidRPr="000C6977">
        <w:t xml:space="preserve"> </w:t>
      </w:r>
      <w:proofErr w:type="spellStart"/>
      <w:r w:rsidRPr="000C6977">
        <w:t>Policy</w:t>
      </w:r>
      <w:proofErr w:type="spellEnd"/>
      <w:r w:rsidRPr="000C6977">
        <w:t xml:space="preserve">]. Žiūrėta liepos 14 d. 2021. URL: https://webapp.sebgroup.com/mb/mblib.nsf/alldocsbyunid/E2357DE3DB64EC1CC1257D7B0046506C/$FILE/Corp_sustain.pdf </w:t>
      </w:r>
    </w:p>
    <w:p w:rsidR="007B6E0A" w:rsidRPr="000C6977" w:rsidRDefault="000C6977">
      <w:pPr>
        <w:pStyle w:val="normal0"/>
      </w:pPr>
      <w:r w:rsidRPr="000C6977">
        <w:t>SEB. 2018. Tvarumo faktų knyga ir GRI inde</w:t>
      </w:r>
      <w:r w:rsidRPr="000C6977">
        <w:t>ksas[</w:t>
      </w:r>
      <w:proofErr w:type="spellStart"/>
      <w:r w:rsidRPr="000C6977">
        <w:t>Sustainability</w:t>
      </w:r>
      <w:proofErr w:type="spellEnd"/>
      <w:r w:rsidRPr="000C6977">
        <w:t xml:space="preserve"> </w:t>
      </w:r>
      <w:proofErr w:type="spellStart"/>
      <w:r w:rsidRPr="000C6977">
        <w:t>Fact</w:t>
      </w:r>
      <w:proofErr w:type="spellEnd"/>
      <w:r w:rsidRPr="000C6977">
        <w:t xml:space="preserve"> </w:t>
      </w:r>
      <w:proofErr w:type="spellStart"/>
      <w:r w:rsidRPr="000C6977">
        <w:t>Book</w:t>
      </w:r>
      <w:proofErr w:type="spellEnd"/>
      <w:r w:rsidRPr="000C6977">
        <w:t xml:space="preserve"> </w:t>
      </w:r>
      <w:proofErr w:type="spellStart"/>
      <w:r w:rsidRPr="000C6977">
        <w:t>and</w:t>
      </w:r>
      <w:proofErr w:type="spellEnd"/>
      <w:r w:rsidRPr="000C6977">
        <w:t xml:space="preserve"> GRI </w:t>
      </w:r>
      <w:proofErr w:type="spellStart"/>
      <w:r w:rsidRPr="000C6977">
        <w:t>Index</w:t>
      </w:r>
      <w:proofErr w:type="spellEnd"/>
      <w:r w:rsidRPr="000C6977">
        <w:t xml:space="preserve">]. Žiūrėta liepos 14 d. 2021. URL: https://www.banktrack.org/download/sustainability_fact_book_and_gri_index/seb_cs_factbook_2018.pdf </w:t>
      </w:r>
    </w:p>
    <w:p w:rsidR="007B6E0A" w:rsidRPr="000C6977" w:rsidRDefault="000C6977">
      <w:pPr>
        <w:pStyle w:val="normal0"/>
      </w:pPr>
      <w:r w:rsidRPr="000C6977">
        <w:t>SEB. 2020. Metinė ir tvarumo ataskaita [</w:t>
      </w:r>
      <w:proofErr w:type="spellStart"/>
      <w:r w:rsidRPr="000C6977">
        <w:t>Annual</w:t>
      </w:r>
      <w:proofErr w:type="spellEnd"/>
      <w:r w:rsidRPr="000C6977">
        <w:t xml:space="preserve"> &amp; </w:t>
      </w:r>
      <w:proofErr w:type="spellStart"/>
      <w:r w:rsidRPr="000C6977">
        <w:t>Sustainability</w:t>
      </w:r>
      <w:proofErr w:type="spellEnd"/>
      <w:r w:rsidRPr="000C6977">
        <w:t xml:space="preserve"> </w:t>
      </w:r>
      <w:proofErr w:type="spellStart"/>
      <w:r w:rsidRPr="000C6977">
        <w:t>Report</w:t>
      </w:r>
      <w:proofErr w:type="spellEnd"/>
      <w:r w:rsidRPr="000C6977">
        <w:t>]. Žiūrė</w:t>
      </w:r>
      <w:r w:rsidRPr="000C6977">
        <w:t xml:space="preserve">ta liepos 14 d. 2021. URL: https://webapp.sebgroup.com/mb/mblib.nsf/alldocsbyunid/BA2E5E1963C4203DC125869C0054821A/$FILE/annual_report_2020.pdf </w:t>
      </w:r>
    </w:p>
    <w:p w:rsidR="007B6E0A" w:rsidRPr="000C6977" w:rsidRDefault="000C6977">
      <w:pPr>
        <w:pStyle w:val="normal0"/>
      </w:pPr>
      <w:r w:rsidRPr="000C6977">
        <w:t>SEB. 2021. Iškastinio kuro sektorių politika [</w:t>
      </w:r>
      <w:proofErr w:type="spellStart"/>
      <w:r w:rsidRPr="000C6977">
        <w:t>Sector</w:t>
      </w:r>
      <w:proofErr w:type="spellEnd"/>
      <w:r w:rsidRPr="000C6977">
        <w:t xml:space="preserve"> </w:t>
      </w:r>
      <w:proofErr w:type="spellStart"/>
      <w:r w:rsidRPr="000C6977">
        <w:t>Policy</w:t>
      </w:r>
      <w:proofErr w:type="spellEnd"/>
      <w:r w:rsidRPr="000C6977">
        <w:t xml:space="preserve"> </w:t>
      </w:r>
      <w:proofErr w:type="spellStart"/>
      <w:r w:rsidRPr="000C6977">
        <w:t>on</w:t>
      </w:r>
      <w:proofErr w:type="spellEnd"/>
      <w:r w:rsidRPr="000C6977">
        <w:t xml:space="preserve"> </w:t>
      </w:r>
      <w:proofErr w:type="spellStart"/>
      <w:r w:rsidRPr="000C6977">
        <w:t>Fossil</w:t>
      </w:r>
      <w:proofErr w:type="spellEnd"/>
      <w:r w:rsidRPr="000C6977">
        <w:t xml:space="preserve"> </w:t>
      </w:r>
      <w:proofErr w:type="spellStart"/>
      <w:r w:rsidRPr="000C6977">
        <w:t>Fuels</w:t>
      </w:r>
      <w:proofErr w:type="spellEnd"/>
      <w:r w:rsidRPr="000C6977">
        <w:t>]. Žiūrėta liepos 14 d. 2021. URL: h</w:t>
      </w:r>
      <w:r w:rsidRPr="000C6977">
        <w:t xml:space="preserve">ttps://sebgroup.com/siteassets/cision/documents/2021/20210224-seb-strengthens-its-sector-policy-on-fossil-fuels-en-0-2868373.pdf </w:t>
      </w:r>
    </w:p>
    <w:p w:rsidR="007B6E0A" w:rsidRPr="000C6977" w:rsidRDefault="000C6977">
      <w:pPr>
        <w:pStyle w:val="normal0"/>
      </w:pPr>
      <w:r w:rsidRPr="000C6977">
        <w:t xml:space="preserve">SEB. </w:t>
      </w:r>
      <w:proofErr w:type="spellStart"/>
      <w:r w:rsidRPr="000C6977">
        <w:t>n.d</w:t>
      </w:r>
      <w:proofErr w:type="spellEnd"/>
      <w:r w:rsidRPr="000C6977">
        <w:t>. Pozicija dėl lobizmo ir neetiškos įtakos [</w:t>
      </w:r>
      <w:proofErr w:type="spellStart"/>
      <w:r w:rsidRPr="000C6977">
        <w:t>Position</w:t>
      </w:r>
      <w:proofErr w:type="spellEnd"/>
      <w:r w:rsidRPr="000C6977">
        <w:t xml:space="preserve"> </w:t>
      </w:r>
      <w:proofErr w:type="spellStart"/>
      <w:r w:rsidRPr="000C6977">
        <w:t>on</w:t>
      </w:r>
      <w:proofErr w:type="spellEnd"/>
      <w:r w:rsidRPr="000C6977">
        <w:t xml:space="preserve"> </w:t>
      </w:r>
      <w:proofErr w:type="spellStart"/>
      <w:r w:rsidRPr="000C6977">
        <w:t>lobbying</w:t>
      </w:r>
      <w:proofErr w:type="spellEnd"/>
      <w:r w:rsidRPr="000C6977">
        <w:t xml:space="preserve"> </w:t>
      </w:r>
      <w:proofErr w:type="spellStart"/>
      <w:r w:rsidRPr="000C6977">
        <w:t>and</w:t>
      </w:r>
      <w:proofErr w:type="spellEnd"/>
      <w:r w:rsidRPr="000C6977">
        <w:t xml:space="preserve"> </w:t>
      </w:r>
      <w:proofErr w:type="spellStart"/>
      <w:r w:rsidRPr="000C6977">
        <w:t>unethical</w:t>
      </w:r>
      <w:proofErr w:type="spellEnd"/>
      <w:r w:rsidRPr="000C6977">
        <w:t xml:space="preserve"> </w:t>
      </w:r>
      <w:proofErr w:type="spellStart"/>
      <w:r w:rsidRPr="000C6977">
        <w:t>influence</w:t>
      </w:r>
      <w:proofErr w:type="spellEnd"/>
      <w:r w:rsidRPr="000C6977">
        <w:t xml:space="preserve">]. Žiūrėta liepos 14 d. 2021. </w:t>
      </w:r>
      <w:r w:rsidRPr="000C6977">
        <w:t xml:space="preserve">URL: https://sebgroup.com/about-us/our-role-in-society/position-on-lobbying-and-unethical-influence </w:t>
      </w:r>
    </w:p>
    <w:p w:rsidR="007B6E0A" w:rsidRPr="000C6977" w:rsidRDefault="007B6E0A">
      <w:pPr>
        <w:pStyle w:val="normal0"/>
        <w:rPr>
          <w:highlight w:val="white"/>
        </w:rPr>
      </w:pPr>
      <w:hyperlink r:id="rId9">
        <w:r w:rsidR="000C6977" w:rsidRPr="000C6977">
          <w:rPr>
            <w:color w:val="1155CC"/>
            <w:highlight w:val="white"/>
            <w:u w:val="single"/>
          </w:rPr>
          <w:t>https://sebgroup.com/sustainability/</w:t>
        </w:r>
        <w:r w:rsidR="000C6977" w:rsidRPr="000C6977">
          <w:rPr>
            <w:color w:val="1155CC"/>
            <w:highlight w:val="white"/>
            <w:u w:val="single"/>
          </w:rPr>
          <w:t>our-impact/our-material-impact-areas/our-approach-to-human-rights</w:t>
        </w:r>
      </w:hyperlink>
    </w:p>
    <w:p w:rsidR="007B6E0A" w:rsidRPr="000C6977" w:rsidRDefault="000C6977">
      <w:pPr>
        <w:pStyle w:val="normal0"/>
        <w:rPr>
          <w:highlight w:val="white"/>
        </w:rPr>
      </w:pPr>
      <w:r w:rsidRPr="000C6977">
        <w:rPr>
          <w:highlight w:val="white"/>
        </w:rPr>
        <w:t xml:space="preserve">SEB 2021 </w:t>
      </w:r>
      <w:proofErr w:type="spellStart"/>
      <w:r w:rsidRPr="000C6977">
        <w:rPr>
          <w:highlight w:val="white"/>
        </w:rPr>
        <w:t>Anti-korupcijos</w:t>
      </w:r>
      <w:proofErr w:type="spellEnd"/>
      <w:r w:rsidRPr="000C6977">
        <w:rPr>
          <w:highlight w:val="white"/>
        </w:rPr>
        <w:t xml:space="preserve"> politika [</w:t>
      </w:r>
      <w:proofErr w:type="spellStart"/>
      <w:r w:rsidRPr="000C6977">
        <w:rPr>
          <w:highlight w:val="white"/>
        </w:rPr>
        <w:t>Anti-corruption</w:t>
      </w:r>
      <w:proofErr w:type="spellEnd"/>
      <w:r w:rsidRPr="000C6977">
        <w:rPr>
          <w:highlight w:val="white"/>
        </w:rPr>
        <w:t xml:space="preserve"> </w:t>
      </w:r>
      <w:proofErr w:type="spellStart"/>
      <w:r w:rsidRPr="000C6977">
        <w:rPr>
          <w:highlight w:val="white"/>
        </w:rPr>
        <w:t>policy</w:t>
      </w:r>
      <w:proofErr w:type="spellEnd"/>
      <w:r w:rsidRPr="000C6977">
        <w:rPr>
          <w:highlight w:val="white"/>
        </w:rPr>
        <w:t>], Žiūrėta 2021 gruodžio 1 d., URL: https://webapp.sebgroup.com/mb/mblib.nsf/alldocsbyunid/B7B315DF3EDD490EC1258782004EE132/$FILE/ant</w:t>
      </w:r>
      <w:r w:rsidRPr="000C6977">
        <w:rPr>
          <w:highlight w:val="white"/>
        </w:rPr>
        <w:t>i_corruption.pdf.pdf</w:t>
      </w:r>
    </w:p>
    <w:p w:rsidR="007B6E0A" w:rsidRPr="000C6977" w:rsidRDefault="000C6977">
      <w:pPr>
        <w:pStyle w:val="normal0"/>
      </w:pPr>
      <w:r w:rsidRPr="000C6977">
        <w:t xml:space="preserve">SEB </w:t>
      </w:r>
      <w:proofErr w:type="spellStart"/>
      <w:r w:rsidRPr="000C6977">
        <w:t>Angliakasybos</w:t>
      </w:r>
      <w:proofErr w:type="spellEnd"/>
      <w:r w:rsidRPr="000C6977">
        <w:t xml:space="preserve"> ir metalų politika [</w:t>
      </w:r>
      <w:proofErr w:type="spellStart"/>
      <w:r w:rsidRPr="000C6977">
        <w:t>Mining</w:t>
      </w:r>
      <w:proofErr w:type="spellEnd"/>
      <w:r w:rsidRPr="000C6977">
        <w:t xml:space="preserve"> </w:t>
      </w:r>
      <w:proofErr w:type="spellStart"/>
      <w:r w:rsidRPr="000C6977">
        <w:t>and</w:t>
      </w:r>
      <w:proofErr w:type="spellEnd"/>
      <w:r w:rsidRPr="000C6977">
        <w:t xml:space="preserve"> </w:t>
      </w:r>
      <w:proofErr w:type="spellStart"/>
      <w:r w:rsidRPr="000C6977">
        <w:t>Metals</w:t>
      </w:r>
      <w:proofErr w:type="spellEnd"/>
      <w:r w:rsidRPr="000C6977">
        <w:t xml:space="preserve"> </w:t>
      </w:r>
      <w:proofErr w:type="spellStart"/>
      <w:r w:rsidRPr="000C6977">
        <w:t>Sector</w:t>
      </w:r>
      <w:proofErr w:type="spellEnd"/>
      <w:r w:rsidRPr="000C6977">
        <w:t xml:space="preserve"> </w:t>
      </w:r>
      <w:proofErr w:type="spellStart"/>
      <w:r w:rsidRPr="000C6977">
        <w:t>Policy</w:t>
      </w:r>
      <w:proofErr w:type="spellEnd"/>
      <w:r w:rsidRPr="000C6977">
        <w:t xml:space="preserve">], Žiūrėta gruodžio 1 d., URL: </w:t>
      </w:r>
      <w:hyperlink r:id="rId10">
        <w:r w:rsidRPr="000C6977">
          <w:rPr>
            <w:color w:val="1155CC"/>
            <w:u w:val="single"/>
          </w:rPr>
          <w:t>https://webapp.sebgroup.com/mb/mblib.nsf/alldocsbyunid/AA58A90D2F57C7F7C12586B1002E47CA/$FILE/sector_policy_mining_and_metals.pdf</w:t>
        </w:r>
      </w:hyperlink>
    </w:p>
    <w:p w:rsidR="007B6E0A" w:rsidRPr="000C6977" w:rsidRDefault="000C6977">
      <w:pPr>
        <w:pStyle w:val="normal0"/>
      </w:pPr>
      <w:r w:rsidRPr="000C6977">
        <w:t>SEB Tiekėjo elgesio kodas [</w:t>
      </w:r>
      <w:proofErr w:type="spellStart"/>
      <w:r w:rsidRPr="000C6977">
        <w:t>Code</w:t>
      </w:r>
      <w:proofErr w:type="spellEnd"/>
      <w:r w:rsidRPr="000C6977">
        <w:t xml:space="preserve"> </w:t>
      </w:r>
      <w:proofErr w:type="spellStart"/>
      <w:r w:rsidRPr="000C6977">
        <w:t>of</w:t>
      </w:r>
      <w:proofErr w:type="spellEnd"/>
      <w:r w:rsidRPr="000C6977">
        <w:t xml:space="preserve"> </w:t>
      </w:r>
      <w:proofErr w:type="spellStart"/>
      <w:r w:rsidRPr="000C6977">
        <w:t>conduct</w:t>
      </w:r>
      <w:proofErr w:type="spellEnd"/>
      <w:r w:rsidRPr="000C6977">
        <w:t xml:space="preserve"> </w:t>
      </w:r>
      <w:proofErr w:type="spellStart"/>
      <w:r w:rsidRPr="000C6977">
        <w:t>for</w:t>
      </w:r>
      <w:proofErr w:type="spellEnd"/>
      <w:r w:rsidRPr="000C6977">
        <w:t xml:space="preserve"> </w:t>
      </w:r>
      <w:proofErr w:type="spellStart"/>
      <w:r w:rsidRPr="000C6977">
        <w:t>suppliers</w:t>
      </w:r>
      <w:proofErr w:type="spellEnd"/>
      <w:r w:rsidRPr="000C6977">
        <w:t xml:space="preserve">], Žiūrėta gruodžio 1 d., URL: </w:t>
      </w:r>
      <w:hyperlink r:id="rId11">
        <w:r w:rsidRPr="000C6977">
          <w:rPr>
            <w:color w:val="1155CC"/>
            <w:u w:val="single"/>
          </w:rPr>
          <w:t>https://webapp.sebgroup.com/mb/mblib.nsf/alldocsbyunid/4B354120B27F6AD5C12586B100358F87/$FILE/code_of_conduct_for_suppli</w:t>
        </w:r>
        <w:r w:rsidRPr="000C6977">
          <w:rPr>
            <w:color w:val="1155CC"/>
            <w:u w:val="single"/>
          </w:rPr>
          <w:t>ers_to_seb_group_2021.pdf</w:t>
        </w:r>
      </w:hyperlink>
      <w:r w:rsidRPr="000C6977">
        <w:t xml:space="preserve"> </w:t>
      </w:r>
    </w:p>
    <w:p w:rsidR="007B6E0A" w:rsidRPr="000C6977" w:rsidRDefault="000C6977">
      <w:pPr>
        <w:pStyle w:val="normal0"/>
      </w:pPr>
      <w:proofErr w:type="spellStart"/>
      <w:r w:rsidRPr="000C6977">
        <w:t>Luminor</w:t>
      </w:r>
      <w:proofErr w:type="spellEnd"/>
      <w:r w:rsidRPr="000C6977">
        <w:t xml:space="preserve"> </w:t>
      </w:r>
      <w:proofErr w:type="spellStart"/>
      <w:r w:rsidRPr="000C6977">
        <w:t>Bank</w:t>
      </w:r>
      <w:proofErr w:type="spellEnd"/>
      <w:r w:rsidRPr="000C6977">
        <w:t xml:space="preserve"> AS. 2019. Metinė ataskaita[</w:t>
      </w:r>
      <w:proofErr w:type="spellStart"/>
      <w:r w:rsidRPr="000C6977">
        <w:t>Annual</w:t>
      </w:r>
      <w:proofErr w:type="spellEnd"/>
      <w:r w:rsidRPr="000C6977">
        <w:t xml:space="preserve"> </w:t>
      </w:r>
      <w:proofErr w:type="spellStart"/>
      <w:r w:rsidRPr="000C6977">
        <w:t>Report</w:t>
      </w:r>
      <w:proofErr w:type="spellEnd"/>
      <w:r w:rsidRPr="000C6977">
        <w:t xml:space="preserve">]. Žiūrėta liepos 14 d. 2021. URL: https://luminor.ee/s3fspublic/documents/luminor-bank-as-annual-report-2019.pdf </w:t>
      </w:r>
    </w:p>
    <w:p w:rsidR="007B6E0A" w:rsidRPr="000C6977" w:rsidRDefault="000C6977">
      <w:pPr>
        <w:pStyle w:val="normal0"/>
      </w:pPr>
      <w:proofErr w:type="spellStart"/>
      <w:r w:rsidRPr="000C6977">
        <w:t>Luminor</w:t>
      </w:r>
      <w:proofErr w:type="spellEnd"/>
      <w:r w:rsidRPr="000C6977">
        <w:t xml:space="preserve">. </w:t>
      </w:r>
      <w:proofErr w:type="spellStart"/>
      <w:r w:rsidRPr="000C6977">
        <w:t>n.d</w:t>
      </w:r>
      <w:proofErr w:type="spellEnd"/>
      <w:r w:rsidRPr="000C6977">
        <w:t>. Draudimas [</w:t>
      </w:r>
      <w:proofErr w:type="spellStart"/>
      <w:r w:rsidRPr="000C6977">
        <w:t>Insurance</w:t>
      </w:r>
      <w:proofErr w:type="spellEnd"/>
      <w:r w:rsidRPr="000C6977">
        <w:t>]. Žiūrėta liepos 14 d. 202</w:t>
      </w:r>
      <w:r w:rsidRPr="000C6977">
        <w:t xml:space="preserve">1. URL: https://www.luminor.lt/en/private/insurance </w:t>
      </w:r>
    </w:p>
    <w:p w:rsidR="007B6E0A" w:rsidRPr="000C6977" w:rsidRDefault="000C6977">
      <w:pPr>
        <w:pStyle w:val="normal0"/>
      </w:pPr>
      <w:proofErr w:type="spellStart"/>
      <w:r w:rsidRPr="000C6977">
        <w:t>Luminor</w:t>
      </w:r>
      <w:proofErr w:type="spellEnd"/>
      <w:r w:rsidRPr="000C6977">
        <w:t xml:space="preserve">. </w:t>
      </w:r>
      <w:proofErr w:type="spellStart"/>
      <w:r w:rsidRPr="000C6977">
        <w:t>n.d</w:t>
      </w:r>
      <w:proofErr w:type="spellEnd"/>
      <w:r w:rsidRPr="000C6977">
        <w:t>. Įmonių socialinė atsakomybė [</w:t>
      </w:r>
      <w:proofErr w:type="spellStart"/>
      <w:r w:rsidRPr="000C6977">
        <w:t>Corporate</w:t>
      </w:r>
      <w:proofErr w:type="spellEnd"/>
      <w:r w:rsidRPr="000C6977">
        <w:t xml:space="preserve"> </w:t>
      </w:r>
      <w:proofErr w:type="spellStart"/>
      <w:r w:rsidRPr="000C6977">
        <w:t>Social</w:t>
      </w:r>
      <w:proofErr w:type="spellEnd"/>
      <w:r w:rsidRPr="000C6977">
        <w:t xml:space="preserve"> </w:t>
      </w:r>
      <w:proofErr w:type="spellStart"/>
      <w:r w:rsidRPr="000C6977">
        <w:t>Responsibility</w:t>
      </w:r>
      <w:proofErr w:type="spellEnd"/>
      <w:r w:rsidRPr="000C6977">
        <w:t xml:space="preserve"> </w:t>
      </w:r>
      <w:proofErr w:type="spellStart"/>
      <w:r w:rsidRPr="000C6977">
        <w:t>in</w:t>
      </w:r>
      <w:proofErr w:type="spellEnd"/>
      <w:r w:rsidRPr="000C6977">
        <w:t xml:space="preserve"> </w:t>
      </w:r>
      <w:proofErr w:type="spellStart"/>
      <w:r w:rsidRPr="000C6977">
        <w:t>Luminor</w:t>
      </w:r>
      <w:proofErr w:type="spellEnd"/>
      <w:r w:rsidRPr="000C6977">
        <w:t xml:space="preserve">]. Žiūrėta liepos 14 d. 2021. URL: https://www.luminor.lt/en/corporate-social-responsibility-luminor </w:t>
      </w:r>
    </w:p>
    <w:p w:rsidR="007B6E0A" w:rsidRPr="000C6977" w:rsidRDefault="000C6977">
      <w:pPr>
        <w:pStyle w:val="normal0"/>
      </w:pPr>
      <w:proofErr w:type="spellStart"/>
      <w:r w:rsidRPr="000C6977">
        <w:t>Luminor</w:t>
      </w:r>
      <w:proofErr w:type="spellEnd"/>
      <w:r w:rsidRPr="000C6977">
        <w:t xml:space="preserve"> </w:t>
      </w:r>
      <w:proofErr w:type="spellStart"/>
      <w:r w:rsidRPr="000C6977">
        <w:t>Holding</w:t>
      </w:r>
      <w:proofErr w:type="spellEnd"/>
      <w:r w:rsidRPr="000C6977">
        <w:t xml:space="preserve"> </w:t>
      </w:r>
      <w:r w:rsidRPr="000C6977">
        <w:t xml:space="preserve">AS. 2019. Rizikos valdymo ir kapitalo pakankamumo atskleidimo ataskaita [Risk </w:t>
      </w:r>
      <w:proofErr w:type="spellStart"/>
      <w:r w:rsidRPr="000C6977">
        <w:t>Management</w:t>
      </w:r>
      <w:proofErr w:type="spellEnd"/>
      <w:r w:rsidRPr="000C6977">
        <w:t xml:space="preserve"> </w:t>
      </w:r>
      <w:proofErr w:type="spellStart"/>
      <w:r w:rsidRPr="000C6977">
        <w:t>and</w:t>
      </w:r>
      <w:proofErr w:type="spellEnd"/>
      <w:r w:rsidRPr="000C6977">
        <w:t xml:space="preserve"> </w:t>
      </w:r>
      <w:proofErr w:type="spellStart"/>
      <w:r w:rsidRPr="000C6977">
        <w:t>Capital</w:t>
      </w:r>
      <w:proofErr w:type="spellEnd"/>
      <w:r w:rsidRPr="000C6977">
        <w:t xml:space="preserve"> </w:t>
      </w:r>
      <w:proofErr w:type="spellStart"/>
      <w:r w:rsidRPr="000C6977">
        <w:t>Adequacy</w:t>
      </w:r>
      <w:proofErr w:type="spellEnd"/>
      <w:r w:rsidRPr="000C6977">
        <w:t xml:space="preserve"> </w:t>
      </w:r>
      <w:proofErr w:type="spellStart"/>
      <w:r w:rsidRPr="000C6977">
        <w:t>Disclosure</w:t>
      </w:r>
      <w:proofErr w:type="spellEnd"/>
      <w:r w:rsidRPr="000C6977">
        <w:t xml:space="preserve"> (</w:t>
      </w:r>
      <w:proofErr w:type="spellStart"/>
      <w:r w:rsidRPr="000C6977">
        <w:t>Pillar</w:t>
      </w:r>
      <w:proofErr w:type="spellEnd"/>
      <w:r w:rsidRPr="000C6977">
        <w:t xml:space="preserve"> 3) </w:t>
      </w:r>
      <w:proofErr w:type="spellStart"/>
      <w:r w:rsidRPr="000C6977">
        <w:t>Report</w:t>
      </w:r>
      <w:proofErr w:type="spellEnd"/>
      <w:r w:rsidRPr="000C6977">
        <w:t xml:space="preserve">]. Žiūrėta liepos 14 d. 2021. URL: </w:t>
      </w:r>
      <w:r w:rsidRPr="000C6977">
        <w:lastRenderedPageBreak/>
        <w:t>https://luminor.ee/s3fspublic/documents/risk_management_and_capital_adequacy_disclo</w:t>
      </w:r>
      <w:r w:rsidRPr="000C6977">
        <w:t xml:space="preserve">sure_pillar_3_report_q4_2019.pdf </w:t>
      </w:r>
    </w:p>
    <w:p w:rsidR="007B6E0A" w:rsidRPr="000C6977" w:rsidRDefault="000C6977">
      <w:pPr>
        <w:pStyle w:val="normal0"/>
      </w:pPr>
      <w:proofErr w:type="spellStart"/>
      <w:r w:rsidRPr="000C6977">
        <w:t>Luminor</w:t>
      </w:r>
      <w:proofErr w:type="spellEnd"/>
      <w:r w:rsidRPr="000C6977">
        <w:t xml:space="preserve">. </w:t>
      </w:r>
      <w:proofErr w:type="spellStart"/>
      <w:r w:rsidRPr="000C6977">
        <w:t>n.d</w:t>
      </w:r>
      <w:proofErr w:type="spellEnd"/>
      <w:r w:rsidRPr="000C6977">
        <w:t>. Fondo kaina ir rezultatai [</w:t>
      </w:r>
      <w:proofErr w:type="spellStart"/>
      <w:r w:rsidRPr="000C6977">
        <w:t>Fund</w:t>
      </w:r>
      <w:proofErr w:type="spellEnd"/>
      <w:r w:rsidRPr="000C6977">
        <w:t xml:space="preserve"> </w:t>
      </w:r>
      <w:proofErr w:type="spellStart"/>
      <w:r w:rsidRPr="000C6977">
        <w:t>Prices</w:t>
      </w:r>
      <w:proofErr w:type="spellEnd"/>
      <w:r w:rsidRPr="000C6977">
        <w:t xml:space="preserve"> </w:t>
      </w:r>
      <w:proofErr w:type="spellStart"/>
      <w:r w:rsidRPr="000C6977">
        <w:t>and</w:t>
      </w:r>
      <w:proofErr w:type="spellEnd"/>
      <w:r w:rsidRPr="000C6977">
        <w:t xml:space="preserve"> </w:t>
      </w:r>
      <w:proofErr w:type="spellStart"/>
      <w:r w:rsidRPr="000C6977">
        <w:t>Performance</w:t>
      </w:r>
      <w:proofErr w:type="spellEnd"/>
      <w:r w:rsidRPr="000C6977">
        <w:t xml:space="preserve">]. Žiūrėta liepos 14 d. 2021. URL: https://www.luminor.lt/en/private/fund-prices-and-performance </w:t>
      </w:r>
    </w:p>
    <w:p w:rsidR="007B6E0A" w:rsidRPr="000C6977" w:rsidRDefault="000C6977">
      <w:pPr>
        <w:pStyle w:val="normal0"/>
      </w:pPr>
      <w:proofErr w:type="spellStart"/>
      <w:r w:rsidRPr="000C6977">
        <w:t>Luminor</w:t>
      </w:r>
      <w:proofErr w:type="spellEnd"/>
      <w:r w:rsidRPr="000C6977">
        <w:t>. 2019. Informacija investuotojams [</w:t>
      </w:r>
      <w:proofErr w:type="spellStart"/>
      <w:r w:rsidRPr="000C6977">
        <w:t>Information</w:t>
      </w:r>
      <w:proofErr w:type="spellEnd"/>
      <w:r w:rsidRPr="000C6977">
        <w:t xml:space="preserve"> to </w:t>
      </w:r>
      <w:proofErr w:type="spellStart"/>
      <w:r w:rsidRPr="000C6977">
        <w:t>Investors</w:t>
      </w:r>
      <w:proofErr w:type="spellEnd"/>
      <w:r w:rsidRPr="000C6977">
        <w:t xml:space="preserve">]. Žiūrėta liepos 14 d. 2021. URL: https://www.luminor.lt/sites/default/files/dokumentai/bendri/mifid-information-for-investors-before-a-meeting-20190102.pdf </w:t>
      </w:r>
    </w:p>
    <w:p w:rsidR="007B6E0A" w:rsidRPr="000C6977" w:rsidRDefault="000C6977">
      <w:pPr>
        <w:pStyle w:val="normal0"/>
      </w:pPr>
      <w:proofErr w:type="spellStart"/>
      <w:r w:rsidRPr="000C6977">
        <w:t>Luminor</w:t>
      </w:r>
      <w:proofErr w:type="spellEnd"/>
      <w:r w:rsidRPr="000C6977">
        <w:t>. 2019. Įprastos verslo</w:t>
      </w:r>
      <w:r w:rsidRPr="000C6977">
        <w:t xml:space="preserve"> sąlygos [</w:t>
      </w:r>
      <w:proofErr w:type="spellStart"/>
      <w:r w:rsidRPr="000C6977">
        <w:t>General</w:t>
      </w:r>
      <w:proofErr w:type="spellEnd"/>
      <w:r w:rsidRPr="000C6977">
        <w:t xml:space="preserve"> </w:t>
      </w:r>
      <w:proofErr w:type="spellStart"/>
      <w:r w:rsidRPr="000C6977">
        <w:t>Business</w:t>
      </w:r>
      <w:proofErr w:type="spellEnd"/>
      <w:r w:rsidRPr="000C6977">
        <w:t xml:space="preserve"> </w:t>
      </w:r>
      <w:proofErr w:type="spellStart"/>
      <w:r w:rsidRPr="000C6977">
        <w:t>Terms</w:t>
      </w:r>
      <w:proofErr w:type="spellEnd"/>
      <w:r w:rsidRPr="000C6977">
        <w:t xml:space="preserve">]. Žiūrėta liepos 14 d. 2021. URL: https://www.luminor.lt/sites/default/files/dokumentai/salygos/luminor-general-business-terms-20190102.pdf </w:t>
      </w:r>
      <w:proofErr w:type="spellStart"/>
      <w:r w:rsidRPr="000C6977">
        <w:t>Luminor</w:t>
      </w:r>
      <w:proofErr w:type="spellEnd"/>
      <w:r w:rsidRPr="000C6977">
        <w:t xml:space="preserve">. </w:t>
      </w:r>
      <w:proofErr w:type="spellStart"/>
      <w:r w:rsidRPr="000C6977">
        <w:t>n.d</w:t>
      </w:r>
      <w:proofErr w:type="spellEnd"/>
      <w:r w:rsidRPr="000C6977">
        <w:t xml:space="preserve">. Įmonių socialinė atsakomybė </w:t>
      </w:r>
    </w:p>
    <w:p w:rsidR="007B6E0A" w:rsidRPr="000C6977" w:rsidRDefault="000C6977">
      <w:pPr>
        <w:pStyle w:val="normal0"/>
      </w:pPr>
      <w:proofErr w:type="spellStart"/>
      <w:r w:rsidRPr="000C6977">
        <w:t>Luminor</w:t>
      </w:r>
      <w:proofErr w:type="spellEnd"/>
      <w:r w:rsidRPr="000C6977">
        <w:t xml:space="preserve"> [</w:t>
      </w:r>
      <w:proofErr w:type="spellStart"/>
      <w:r w:rsidRPr="000C6977">
        <w:t>Corporate</w:t>
      </w:r>
      <w:proofErr w:type="spellEnd"/>
      <w:r w:rsidRPr="000C6977">
        <w:t xml:space="preserve"> </w:t>
      </w:r>
      <w:proofErr w:type="spellStart"/>
      <w:r w:rsidRPr="000C6977">
        <w:t>Social</w:t>
      </w:r>
      <w:proofErr w:type="spellEnd"/>
      <w:r w:rsidRPr="000C6977">
        <w:t xml:space="preserve"> </w:t>
      </w:r>
      <w:proofErr w:type="spellStart"/>
      <w:r w:rsidRPr="000C6977">
        <w:t>Responsibility</w:t>
      </w:r>
      <w:proofErr w:type="spellEnd"/>
      <w:r w:rsidRPr="000C6977">
        <w:t xml:space="preserve"> </w:t>
      </w:r>
      <w:proofErr w:type="spellStart"/>
      <w:r w:rsidRPr="000C6977">
        <w:t>in</w:t>
      </w:r>
      <w:proofErr w:type="spellEnd"/>
      <w:r w:rsidRPr="000C6977">
        <w:t xml:space="preserve"> </w:t>
      </w:r>
      <w:proofErr w:type="spellStart"/>
      <w:r w:rsidRPr="000C6977">
        <w:t>Luminor</w:t>
      </w:r>
      <w:proofErr w:type="spellEnd"/>
      <w:r w:rsidRPr="000C6977">
        <w:t xml:space="preserve">]. Žiūrėta liepos 14 d. 2021. URL: https://luminor.ee/corporate-social-responsibility-luminor </w:t>
      </w:r>
    </w:p>
    <w:p w:rsidR="007B6E0A" w:rsidRPr="000C6977" w:rsidRDefault="000C6977">
      <w:pPr>
        <w:pStyle w:val="normal0"/>
      </w:pPr>
      <w:proofErr w:type="spellStart"/>
      <w:r w:rsidRPr="000C6977">
        <w:t>Luminor</w:t>
      </w:r>
      <w:proofErr w:type="spellEnd"/>
      <w:r w:rsidRPr="000C6977">
        <w:t xml:space="preserve">. </w:t>
      </w:r>
      <w:proofErr w:type="spellStart"/>
      <w:r w:rsidRPr="000C6977">
        <w:t>n.d</w:t>
      </w:r>
      <w:proofErr w:type="spellEnd"/>
      <w:r w:rsidRPr="000C6977">
        <w:t>. Valdymas ir vadyba [</w:t>
      </w:r>
      <w:proofErr w:type="spellStart"/>
      <w:r w:rsidRPr="000C6977">
        <w:t>Governance</w:t>
      </w:r>
      <w:proofErr w:type="spellEnd"/>
      <w:r w:rsidRPr="000C6977">
        <w:t xml:space="preserve"> </w:t>
      </w:r>
      <w:proofErr w:type="spellStart"/>
      <w:r w:rsidRPr="000C6977">
        <w:t>and</w:t>
      </w:r>
      <w:proofErr w:type="spellEnd"/>
      <w:r w:rsidRPr="000C6977">
        <w:t xml:space="preserve"> </w:t>
      </w:r>
      <w:proofErr w:type="spellStart"/>
      <w:r w:rsidRPr="000C6977">
        <w:t>Management</w:t>
      </w:r>
      <w:proofErr w:type="spellEnd"/>
      <w:r w:rsidRPr="000C6977">
        <w:t xml:space="preserve">]. Žiūrėta liepos 14 d. 2021. URL: https://luminor.ee/governance </w:t>
      </w:r>
    </w:p>
    <w:p w:rsidR="007B6E0A" w:rsidRPr="000C6977" w:rsidRDefault="000C6977">
      <w:pPr>
        <w:pStyle w:val="normal0"/>
      </w:pPr>
      <w:r w:rsidRPr="000C6977">
        <w:t>Medicinos bankas. 2019. F</w:t>
      </w:r>
      <w:r w:rsidRPr="000C6977">
        <w:t>inansinė 2019 metų ataskaita [</w:t>
      </w:r>
      <w:proofErr w:type="spellStart"/>
      <w:r w:rsidRPr="000C6977">
        <w:t>Financial</w:t>
      </w:r>
      <w:proofErr w:type="spellEnd"/>
      <w:r w:rsidRPr="000C6977">
        <w:t xml:space="preserve"> </w:t>
      </w:r>
      <w:proofErr w:type="spellStart"/>
      <w:r w:rsidRPr="000C6977">
        <w:t>Statement</w:t>
      </w:r>
      <w:proofErr w:type="spellEnd"/>
      <w:r w:rsidRPr="000C6977">
        <w:t xml:space="preserve"> </w:t>
      </w:r>
      <w:proofErr w:type="spellStart"/>
      <w:r w:rsidRPr="000C6977">
        <w:t>of</w:t>
      </w:r>
      <w:proofErr w:type="spellEnd"/>
      <w:r w:rsidRPr="000C6977">
        <w:t xml:space="preserve"> 2019]. Žiūrėta liepos 14 d. 2021. URL: https://www.medbank.lt/en/about-the-bank/financial-statements </w:t>
      </w:r>
    </w:p>
    <w:p w:rsidR="007B6E0A" w:rsidRPr="000C6977" w:rsidRDefault="000C6977">
      <w:pPr>
        <w:pStyle w:val="normal0"/>
      </w:pPr>
      <w:r w:rsidRPr="000C6977">
        <w:t>Medicinos bankas. 2020. Finansinė 2020 metų ataskaita [</w:t>
      </w:r>
      <w:proofErr w:type="spellStart"/>
      <w:r w:rsidRPr="000C6977">
        <w:t>Financial</w:t>
      </w:r>
      <w:proofErr w:type="spellEnd"/>
      <w:r w:rsidRPr="000C6977">
        <w:t xml:space="preserve"> </w:t>
      </w:r>
      <w:proofErr w:type="spellStart"/>
      <w:r w:rsidRPr="000C6977">
        <w:t>Statement</w:t>
      </w:r>
      <w:proofErr w:type="spellEnd"/>
      <w:r w:rsidRPr="000C6977">
        <w:t xml:space="preserve"> </w:t>
      </w:r>
      <w:proofErr w:type="spellStart"/>
      <w:r w:rsidRPr="000C6977">
        <w:t>of</w:t>
      </w:r>
      <w:proofErr w:type="spellEnd"/>
      <w:r w:rsidRPr="000C6977">
        <w:t xml:space="preserve"> 2020]. Žiūrėta liepos 1</w:t>
      </w:r>
      <w:r w:rsidRPr="000C6977">
        <w:t xml:space="preserve">4 d. 2021. URL: https://www.medbank.lt/en/about-the-bank/financial-statements  </w:t>
      </w:r>
    </w:p>
    <w:p w:rsidR="007B6E0A" w:rsidRPr="000C6977" w:rsidRDefault="000C6977">
      <w:pPr>
        <w:pStyle w:val="normal0"/>
      </w:pPr>
      <w:r w:rsidRPr="000C6977">
        <w:t>AB Šiaulių Bankas. 2019. Metinė AB Šiaulių Bankas ir banko grupės ataskaita. Žiūrėta liepos 14 d. 2021. URL: https://sb.lt/lt/investuotojams/finansine-info/ab-siauliu-banko-ir-</w:t>
      </w:r>
      <w:r w:rsidRPr="000C6977">
        <w:t xml:space="preserve">banko-grupes-finansines-ataskaitos </w:t>
      </w:r>
    </w:p>
    <w:p w:rsidR="007B6E0A" w:rsidRPr="000C6977" w:rsidRDefault="000C6977">
      <w:pPr>
        <w:pStyle w:val="normal0"/>
      </w:pPr>
      <w:r w:rsidRPr="000C6977">
        <w:t xml:space="preserve">AB Šiaulių Bankas. 2020. Metinė AB Šiaulių Bankas ir banko grupės ataskaita. Žiūrėta liepos 14 d. 2021. URL: https://sb.lt/lt/investuotojams/finansine-info/ab-siauliu-banko-ir-banko-grupes-finansines-ataskaitos </w:t>
      </w:r>
    </w:p>
    <w:p w:rsidR="007B6E0A" w:rsidRPr="000C6977" w:rsidRDefault="000C6977">
      <w:pPr>
        <w:pStyle w:val="normal0"/>
      </w:pPr>
      <w:r w:rsidRPr="000C6977">
        <w:t>AB Šiaul</w:t>
      </w:r>
      <w:r w:rsidRPr="000C6977">
        <w:t xml:space="preserve">ių Bankas. </w:t>
      </w:r>
      <w:proofErr w:type="spellStart"/>
      <w:r w:rsidRPr="000C6977">
        <w:t>n.d</w:t>
      </w:r>
      <w:proofErr w:type="spellEnd"/>
      <w:r w:rsidRPr="000C6977">
        <w:t xml:space="preserve">. Investiciniai fondai. Žiūrėta liepos 14 d. 2021. URL: https://sb.lt/lt/privatiems/investavimas/vertybiniu-popieriuprekyba/investiciniai-fondai </w:t>
      </w:r>
    </w:p>
    <w:p w:rsidR="007B6E0A" w:rsidRPr="000C6977" w:rsidRDefault="000C6977">
      <w:pPr>
        <w:pStyle w:val="normal0"/>
      </w:pPr>
      <w:r w:rsidRPr="000C6977">
        <w:t xml:space="preserve">AB Šiaulių Bankas. </w:t>
      </w:r>
      <w:proofErr w:type="spellStart"/>
      <w:r w:rsidRPr="000C6977">
        <w:t>n.d</w:t>
      </w:r>
      <w:proofErr w:type="spellEnd"/>
      <w:r w:rsidRPr="000C6977">
        <w:t>. Banko valdyba. Žiūrėta liepos 14 d. 2021. URL: https://sb.lt/lt/apie/str</w:t>
      </w:r>
      <w:r w:rsidRPr="000C6977">
        <w:t xml:space="preserve">uktura-ir-valdymas/banko-valdyba </w:t>
      </w:r>
    </w:p>
    <w:p w:rsidR="007B6E0A" w:rsidRPr="000C6977" w:rsidRDefault="000C6977">
      <w:pPr>
        <w:pStyle w:val="normal0"/>
      </w:pPr>
      <w:r w:rsidRPr="000C6977">
        <w:t xml:space="preserve">AB Šiaulių Bankas. </w:t>
      </w:r>
      <w:proofErr w:type="spellStart"/>
      <w:r w:rsidRPr="000C6977">
        <w:t>n.d</w:t>
      </w:r>
      <w:proofErr w:type="spellEnd"/>
      <w:r w:rsidRPr="000C6977">
        <w:t xml:space="preserve">. Banko stebėtojų taryba. Žiūrėta liepos 14 d. 2021. URL: </w:t>
      </w:r>
      <w:hyperlink r:id="rId12">
        <w:r w:rsidRPr="000C6977">
          <w:rPr>
            <w:color w:val="1155CC"/>
            <w:u w:val="single"/>
          </w:rPr>
          <w:t>https://sb.lt/lt/apie/struktura-ir-valdymas/banko-stebetoju</w:t>
        </w:r>
        <w:r w:rsidRPr="000C6977">
          <w:rPr>
            <w:color w:val="1155CC"/>
            <w:u w:val="single"/>
          </w:rPr>
          <w:t>taryba</w:t>
        </w:r>
      </w:hyperlink>
    </w:p>
    <w:p w:rsidR="007B6E0A" w:rsidRPr="000C6977" w:rsidRDefault="000C6977">
      <w:pPr>
        <w:pStyle w:val="normal0"/>
      </w:pPr>
      <w:r w:rsidRPr="000C6977">
        <w:t xml:space="preserve">Citadele (Lietuva). 2018. Metinė ataskaita. Žiūrėta liepos 14 d. 2021. URL: https://www.cblgroup.com/en/investors/financialreports/?utf8=%E2%9C%93&amp;company_id=7&amp;year=2019#results </w:t>
      </w:r>
    </w:p>
    <w:p w:rsidR="007B6E0A" w:rsidRPr="000C6977" w:rsidRDefault="000C6977">
      <w:pPr>
        <w:pStyle w:val="normal0"/>
      </w:pPr>
      <w:r w:rsidRPr="000C6977">
        <w:t xml:space="preserve">Citadele. </w:t>
      </w:r>
      <w:proofErr w:type="spellStart"/>
      <w:r w:rsidRPr="000C6977">
        <w:t>n.d</w:t>
      </w:r>
      <w:proofErr w:type="spellEnd"/>
      <w:r w:rsidRPr="000C6977">
        <w:t xml:space="preserve">. </w:t>
      </w:r>
      <w:proofErr w:type="spellStart"/>
      <w:r w:rsidRPr="000C6977">
        <w:t>About</w:t>
      </w:r>
      <w:proofErr w:type="spellEnd"/>
      <w:r w:rsidRPr="000C6977">
        <w:t xml:space="preserve"> </w:t>
      </w:r>
      <w:proofErr w:type="spellStart"/>
      <w:r w:rsidRPr="000C6977">
        <w:t>us</w:t>
      </w:r>
      <w:proofErr w:type="spellEnd"/>
      <w:r w:rsidRPr="000C6977">
        <w:t>. Žiūrėta liepos 14 d. 2021. URL: https://www.c</w:t>
      </w:r>
      <w:r w:rsidRPr="000C6977">
        <w:t xml:space="preserve">blgroup.com/en/ </w:t>
      </w:r>
    </w:p>
    <w:p w:rsidR="007B6E0A" w:rsidRPr="000C6977" w:rsidRDefault="000C6977">
      <w:pPr>
        <w:pStyle w:val="normal0"/>
      </w:pPr>
      <w:r w:rsidRPr="000C6977">
        <w:t>AS Citadele. 2019. Tvarumo ataskaita [</w:t>
      </w:r>
      <w:proofErr w:type="spellStart"/>
      <w:r w:rsidRPr="000C6977">
        <w:t>Sustainability</w:t>
      </w:r>
      <w:proofErr w:type="spellEnd"/>
      <w:r w:rsidRPr="000C6977">
        <w:t xml:space="preserve"> </w:t>
      </w:r>
      <w:proofErr w:type="spellStart"/>
      <w:r w:rsidRPr="000C6977">
        <w:t>Report</w:t>
      </w:r>
      <w:proofErr w:type="spellEnd"/>
      <w:r w:rsidRPr="000C6977">
        <w:t xml:space="preserve">]. Žiūrėta liepos 14 d. 2021. URL: https://www.cblgroup.com/files/pdf/sustainability_report_2019.pdf </w:t>
      </w:r>
    </w:p>
    <w:p w:rsidR="007B6E0A" w:rsidRPr="000C6977" w:rsidRDefault="000C6977">
      <w:pPr>
        <w:pStyle w:val="normal0"/>
      </w:pPr>
      <w:r w:rsidRPr="000C6977">
        <w:t>AS Citadele. 2019. Rizikos valdymo ir kapitalo pakankamumo atskleidimo ataskai</w:t>
      </w:r>
      <w:r w:rsidRPr="000C6977">
        <w:t xml:space="preserve">ta [Risk </w:t>
      </w:r>
      <w:proofErr w:type="spellStart"/>
      <w:r w:rsidRPr="000C6977">
        <w:t>Management</w:t>
      </w:r>
      <w:proofErr w:type="spellEnd"/>
      <w:r w:rsidRPr="000C6977">
        <w:t xml:space="preserve"> </w:t>
      </w:r>
      <w:proofErr w:type="spellStart"/>
      <w:r w:rsidRPr="000C6977">
        <w:t>and</w:t>
      </w:r>
      <w:proofErr w:type="spellEnd"/>
      <w:r w:rsidRPr="000C6977">
        <w:t xml:space="preserve"> </w:t>
      </w:r>
      <w:proofErr w:type="spellStart"/>
      <w:r w:rsidRPr="000C6977">
        <w:t>Capital</w:t>
      </w:r>
      <w:proofErr w:type="spellEnd"/>
      <w:r w:rsidRPr="000C6977">
        <w:t xml:space="preserve"> </w:t>
      </w:r>
      <w:proofErr w:type="spellStart"/>
      <w:r w:rsidRPr="000C6977">
        <w:t>Adequacy</w:t>
      </w:r>
      <w:proofErr w:type="spellEnd"/>
      <w:r w:rsidRPr="000C6977">
        <w:t xml:space="preserve"> </w:t>
      </w:r>
      <w:proofErr w:type="spellStart"/>
      <w:r w:rsidRPr="000C6977">
        <w:t>Report</w:t>
      </w:r>
      <w:proofErr w:type="spellEnd"/>
      <w:r w:rsidRPr="000C6977">
        <w:t xml:space="preserve"> (</w:t>
      </w:r>
      <w:proofErr w:type="spellStart"/>
      <w:r w:rsidRPr="000C6977">
        <w:t>Pillar</w:t>
      </w:r>
      <w:proofErr w:type="spellEnd"/>
      <w:r w:rsidRPr="000C6977">
        <w:t xml:space="preserve"> 3)]. Žiūrėta liepos 14 d. 2021. URL: https://www.cblgroup.com/files/pdf/risk-report-2019-en.pdf </w:t>
      </w:r>
    </w:p>
    <w:p w:rsidR="007B6E0A" w:rsidRPr="000C6977" w:rsidRDefault="000C6977">
      <w:pPr>
        <w:pStyle w:val="normal0"/>
        <w:rPr>
          <w:rFonts w:eastAsia="Roboto"/>
          <w:highlight w:val="white"/>
        </w:rPr>
      </w:pPr>
      <w:r w:rsidRPr="000C6977">
        <w:t>AS Citadele. 2020. Metinė ataskaita [</w:t>
      </w:r>
      <w:proofErr w:type="spellStart"/>
      <w:r w:rsidRPr="000C6977">
        <w:t>Annual</w:t>
      </w:r>
      <w:proofErr w:type="spellEnd"/>
      <w:r w:rsidRPr="000C6977">
        <w:t xml:space="preserve"> </w:t>
      </w:r>
      <w:proofErr w:type="spellStart"/>
      <w:r w:rsidRPr="000C6977">
        <w:t>Report</w:t>
      </w:r>
      <w:proofErr w:type="spellEnd"/>
      <w:r w:rsidRPr="000C6977">
        <w:t xml:space="preserve">]. Žiūrėta gruodžio 28 d. 2021. URL: </w:t>
      </w:r>
      <w:r w:rsidRPr="000C6977">
        <w:rPr>
          <w:rFonts w:eastAsia="Roboto"/>
          <w:highlight w:val="white"/>
        </w:rPr>
        <w:t>https://www.cblg</w:t>
      </w:r>
      <w:r w:rsidRPr="000C6977">
        <w:rPr>
          <w:rFonts w:eastAsia="Roboto"/>
          <w:highlight w:val="white"/>
        </w:rPr>
        <w:t xml:space="preserve">roup.com/media/W1siZiIsIjIwMjEvMDMvMTEvOXVla215NmZkb19Bbm51YWxfcmVwb3J0XzIwMjAucGRmIl1d?sha=6bb4463ced6107a2 </w:t>
      </w:r>
    </w:p>
    <w:p w:rsidR="007B6E0A" w:rsidRPr="000C6977" w:rsidRDefault="000C6977">
      <w:pPr>
        <w:pStyle w:val="normal0"/>
        <w:rPr>
          <w:rFonts w:eastAsia="Roboto"/>
          <w:highlight w:val="white"/>
        </w:rPr>
      </w:pPr>
      <w:r w:rsidRPr="000C6977">
        <w:rPr>
          <w:rFonts w:eastAsia="Roboto"/>
          <w:highlight w:val="white"/>
        </w:rPr>
        <w:t>AS Citadele. 2021. Tvarumo ir 5sitraukimo politika [</w:t>
      </w:r>
      <w:proofErr w:type="spellStart"/>
      <w:r w:rsidRPr="000C6977">
        <w:rPr>
          <w:rFonts w:eastAsia="Roboto"/>
          <w:highlight w:val="white"/>
        </w:rPr>
        <w:t>Sustainability</w:t>
      </w:r>
      <w:proofErr w:type="spellEnd"/>
      <w:r w:rsidRPr="000C6977">
        <w:rPr>
          <w:rFonts w:eastAsia="Roboto"/>
          <w:highlight w:val="white"/>
        </w:rPr>
        <w:t xml:space="preserve"> </w:t>
      </w:r>
      <w:proofErr w:type="spellStart"/>
      <w:r w:rsidRPr="000C6977">
        <w:rPr>
          <w:rFonts w:eastAsia="Roboto"/>
          <w:highlight w:val="white"/>
        </w:rPr>
        <w:t>and</w:t>
      </w:r>
      <w:proofErr w:type="spellEnd"/>
      <w:r w:rsidRPr="000C6977">
        <w:rPr>
          <w:rFonts w:eastAsia="Roboto"/>
          <w:highlight w:val="white"/>
        </w:rPr>
        <w:t xml:space="preserve"> </w:t>
      </w:r>
      <w:proofErr w:type="spellStart"/>
      <w:r w:rsidRPr="000C6977">
        <w:rPr>
          <w:rFonts w:eastAsia="Roboto"/>
          <w:highlight w:val="white"/>
        </w:rPr>
        <w:t>engagement</w:t>
      </w:r>
      <w:proofErr w:type="spellEnd"/>
      <w:r w:rsidRPr="000C6977">
        <w:rPr>
          <w:rFonts w:eastAsia="Roboto"/>
          <w:highlight w:val="white"/>
        </w:rPr>
        <w:t xml:space="preserve"> </w:t>
      </w:r>
      <w:proofErr w:type="spellStart"/>
      <w:r w:rsidRPr="000C6977">
        <w:rPr>
          <w:rFonts w:eastAsia="Roboto"/>
          <w:highlight w:val="white"/>
        </w:rPr>
        <w:t>policy</w:t>
      </w:r>
      <w:proofErr w:type="spellEnd"/>
      <w:r w:rsidRPr="000C6977">
        <w:rPr>
          <w:rFonts w:eastAsia="Roboto"/>
          <w:highlight w:val="white"/>
        </w:rPr>
        <w:t xml:space="preserve">]. Žiūrėta gruodžio 28 d. 2021. URL: </w:t>
      </w:r>
      <w:hyperlink r:id="rId13">
        <w:r w:rsidRPr="000C6977">
          <w:rPr>
            <w:rFonts w:eastAsia="Roboto"/>
            <w:color w:val="1155CC"/>
            <w:highlight w:val="white"/>
            <w:u w:val="single"/>
          </w:rPr>
          <w:t>https://www.cblgroup.com/files/policy/ilgtspejas_un_iesaistisanas_politika_en.pdf</w:t>
        </w:r>
      </w:hyperlink>
    </w:p>
    <w:p w:rsidR="007B6E0A" w:rsidRPr="000C6977" w:rsidRDefault="000C6977">
      <w:pPr>
        <w:pStyle w:val="normal0"/>
        <w:rPr>
          <w:rFonts w:eastAsia="Roboto"/>
          <w:highlight w:val="white"/>
        </w:rPr>
      </w:pPr>
      <w:r w:rsidRPr="000C6977">
        <w:rPr>
          <w:rFonts w:eastAsia="Roboto"/>
          <w:highlight w:val="white"/>
        </w:rPr>
        <w:lastRenderedPageBreak/>
        <w:t xml:space="preserve">AS Citadele. 2020. Rizikos valdymo ir tinkamumo ataskaita [Risk </w:t>
      </w:r>
      <w:proofErr w:type="spellStart"/>
      <w:r w:rsidRPr="000C6977">
        <w:rPr>
          <w:rFonts w:eastAsia="Roboto"/>
          <w:highlight w:val="white"/>
        </w:rPr>
        <w:t>Management</w:t>
      </w:r>
      <w:proofErr w:type="spellEnd"/>
      <w:r w:rsidRPr="000C6977">
        <w:rPr>
          <w:rFonts w:eastAsia="Roboto"/>
          <w:highlight w:val="white"/>
        </w:rPr>
        <w:t xml:space="preserve"> </w:t>
      </w:r>
      <w:proofErr w:type="spellStart"/>
      <w:r w:rsidRPr="000C6977">
        <w:rPr>
          <w:rFonts w:eastAsia="Roboto"/>
          <w:highlight w:val="white"/>
        </w:rPr>
        <w:t>an</w:t>
      </w:r>
      <w:r w:rsidRPr="000C6977">
        <w:rPr>
          <w:rFonts w:eastAsia="Roboto"/>
          <w:highlight w:val="white"/>
        </w:rPr>
        <w:t>d</w:t>
      </w:r>
      <w:proofErr w:type="spellEnd"/>
      <w:r w:rsidRPr="000C6977">
        <w:rPr>
          <w:rFonts w:eastAsia="Roboto"/>
          <w:highlight w:val="white"/>
        </w:rPr>
        <w:t xml:space="preserve"> </w:t>
      </w:r>
      <w:proofErr w:type="spellStart"/>
      <w:r w:rsidRPr="000C6977">
        <w:rPr>
          <w:rFonts w:eastAsia="Roboto"/>
          <w:highlight w:val="white"/>
        </w:rPr>
        <w:t>Adequacy</w:t>
      </w:r>
      <w:proofErr w:type="spellEnd"/>
      <w:r w:rsidRPr="000C6977">
        <w:rPr>
          <w:rFonts w:eastAsia="Roboto"/>
          <w:highlight w:val="white"/>
        </w:rPr>
        <w:t xml:space="preserve"> </w:t>
      </w:r>
      <w:proofErr w:type="spellStart"/>
      <w:r w:rsidRPr="000C6977">
        <w:rPr>
          <w:rFonts w:eastAsia="Roboto"/>
          <w:highlight w:val="white"/>
        </w:rPr>
        <w:t>Report</w:t>
      </w:r>
      <w:proofErr w:type="spellEnd"/>
      <w:r w:rsidRPr="000C6977">
        <w:rPr>
          <w:rFonts w:eastAsia="Roboto"/>
          <w:highlight w:val="white"/>
        </w:rPr>
        <w:t xml:space="preserve"> (3 </w:t>
      </w:r>
      <w:proofErr w:type="spellStart"/>
      <w:r w:rsidRPr="000C6977">
        <w:rPr>
          <w:rFonts w:eastAsia="Roboto"/>
          <w:highlight w:val="white"/>
        </w:rPr>
        <w:t>Pillar</w:t>
      </w:r>
      <w:proofErr w:type="spellEnd"/>
      <w:r w:rsidRPr="000C6977">
        <w:rPr>
          <w:rFonts w:eastAsia="Roboto"/>
          <w:highlight w:val="white"/>
        </w:rPr>
        <w:t xml:space="preserve"> </w:t>
      </w:r>
      <w:proofErr w:type="spellStart"/>
      <w:r w:rsidRPr="000C6977">
        <w:rPr>
          <w:rFonts w:eastAsia="Roboto"/>
          <w:highlight w:val="white"/>
        </w:rPr>
        <w:t>Disclosures</w:t>
      </w:r>
      <w:proofErr w:type="spellEnd"/>
      <w:r w:rsidRPr="000C6977">
        <w:rPr>
          <w:rFonts w:eastAsia="Roboto"/>
          <w:highlight w:val="white"/>
        </w:rPr>
        <w:t xml:space="preserve">)]. Žiūrėta gruodžio 29 d. 2021. URL: </w:t>
      </w:r>
      <w:hyperlink r:id="rId14">
        <w:r w:rsidRPr="000C6977">
          <w:rPr>
            <w:rFonts w:eastAsia="Roboto"/>
            <w:color w:val="1155CC"/>
            <w:highlight w:val="white"/>
            <w:u w:val="single"/>
          </w:rPr>
          <w:t>https://www.cblgroup.com/files/pdf/risk-report-2020-q4-en.pdf</w:t>
        </w:r>
      </w:hyperlink>
      <w:r w:rsidRPr="000C6977">
        <w:rPr>
          <w:rFonts w:eastAsia="Roboto"/>
          <w:highlight w:val="white"/>
        </w:rPr>
        <w:t xml:space="preserve"> </w:t>
      </w:r>
    </w:p>
    <w:p w:rsidR="007B6E0A" w:rsidRPr="000C6977" w:rsidRDefault="000C6977">
      <w:pPr>
        <w:pStyle w:val="normal0"/>
        <w:rPr>
          <w:rFonts w:eastAsia="Roboto"/>
          <w:highlight w:val="white"/>
        </w:rPr>
      </w:pPr>
      <w:r w:rsidRPr="000C6977">
        <w:rPr>
          <w:rFonts w:eastAsia="Roboto"/>
          <w:highlight w:val="white"/>
        </w:rPr>
        <w:t>AS Citadele.2021. Tvarumas [</w:t>
      </w:r>
      <w:proofErr w:type="spellStart"/>
      <w:r w:rsidRPr="000C6977">
        <w:rPr>
          <w:rFonts w:eastAsia="Roboto"/>
          <w:highlight w:val="white"/>
        </w:rPr>
        <w:t>Sustainab</w:t>
      </w:r>
      <w:r w:rsidRPr="000C6977">
        <w:rPr>
          <w:rFonts w:eastAsia="Roboto"/>
          <w:highlight w:val="white"/>
        </w:rPr>
        <w:t>ility</w:t>
      </w:r>
      <w:proofErr w:type="spellEnd"/>
      <w:r w:rsidRPr="000C6977">
        <w:rPr>
          <w:rFonts w:eastAsia="Roboto"/>
          <w:highlight w:val="white"/>
        </w:rPr>
        <w:t xml:space="preserve">]. Žiūrėta gruodžio 29 d. 2021.URL: </w:t>
      </w:r>
      <w:hyperlink r:id="rId15">
        <w:r w:rsidRPr="000C6977">
          <w:rPr>
            <w:rFonts w:eastAsia="Roboto"/>
            <w:color w:val="1155CC"/>
            <w:highlight w:val="white"/>
            <w:u w:val="single"/>
          </w:rPr>
          <w:t>https://www.cblam.lv/en/sustainability/</w:t>
        </w:r>
      </w:hyperlink>
      <w:r w:rsidRPr="000C6977">
        <w:rPr>
          <w:rFonts w:eastAsia="Roboto"/>
          <w:highlight w:val="white"/>
        </w:rPr>
        <w:t xml:space="preserve"> </w:t>
      </w:r>
    </w:p>
    <w:p w:rsidR="007B6E0A" w:rsidRPr="000C6977" w:rsidRDefault="000C6977">
      <w:pPr>
        <w:pStyle w:val="normal0"/>
        <w:rPr>
          <w:rFonts w:eastAsia="Roboto"/>
          <w:highlight w:val="white"/>
        </w:rPr>
      </w:pPr>
      <w:proofErr w:type="spellStart"/>
      <w:r w:rsidRPr="000C6977">
        <w:rPr>
          <w:rFonts w:eastAsia="Roboto"/>
          <w:highlight w:val="white"/>
        </w:rPr>
        <w:t>Luminor</w:t>
      </w:r>
      <w:proofErr w:type="spellEnd"/>
      <w:r w:rsidRPr="000C6977">
        <w:rPr>
          <w:rFonts w:eastAsia="Roboto"/>
          <w:highlight w:val="white"/>
        </w:rPr>
        <w:t xml:space="preserve">. 2021. </w:t>
      </w:r>
      <w:proofErr w:type="spellStart"/>
      <w:r w:rsidRPr="000C6977">
        <w:rPr>
          <w:rFonts w:eastAsia="Roboto"/>
          <w:highlight w:val="white"/>
        </w:rPr>
        <w:t>Luminoro</w:t>
      </w:r>
      <w:proofErr w:type="spellEnd"/>
      <w:r w:rsidRPr="000C6977">
        <w:rPr>
          <w:rFonts w:eastAsia="Roboto"/>
          <w:highlight w:val="white"/>
        </w:rPr>
        <w:t xml:space="preserve"> tvarumo politika [</w:t>
      </w:r>
      <w:proofErr w:type="spellStart"/>
      <w:r w:rsidRPr="000C6977">
        <w:rPr>
          <w:rFonts w:eastAsia="Roboto"/>
          <w:highlight w:val="white"/>
        </w:rPr>
        <w:t>Luminor’s</w:t>
      </w:r>
      <w:proofErr w:type="spellEnd"/>
      <w:r w:rsidRPr="000C6977">
        <w:rPr>
          <w:rFonts w:eastAsia="Roboto"/>
          <w:highlight w:val="white"/>
        </w:rPr>
        <w:t xml:space="preserve"> </w:t>
      </w:r>
      <w:proofErr w:type="spellStart"/>
      <w:r w:rsidRPr="000C6977">
        <w:rPr>
          <w:rFonts w:eastAsia="Roboto"/>
          <w:highlight w:val="white"/>
        </w:rPr>
        <w:t>sustainability</w:t>
      </w:r>
      <w:proofErr w:type="spellEnd"/>
      <w:r w:rsidRPr="000C6977">
        <w:rPr>
          <w:rFonts w:eastAsia="Roboto"/>
          <w:highlight w:val="white"/>
        </w:rPr>
        <w:t xml:space="preserve"> </w:t>
      </w:r>
      <w:proofErr w:type="spellStart"/>
      <w:r w:rsidRPr="000C6977">
        <w:rPr>
          <w:rFonts w:eastAsia="Roboto"/>
          <w:highlight w:val="white"/>
        </w:rPr>
        <w:t>policy</w:t>
      </w:r>
      <w:proofErr w:type="spellEnd"/>
      <w:r w:rsidRPr="000C6977">
        <w:rPr>
          <w:rFonts w:eastAsia="Roboto"/>
          <w:highlight w:val="white"/>
        </w:rPr>
        <w:t xml:space="preserve">]. Žiūrėta gruodžio 29 d.2021. URL: </w:t>
      </w:r>
      <w:hyperlink r:id="rId16">
        <w:r w:rsidRPr="000C6977">
          <w:rPr>
            <w:rFonts w:eastAsia="Roboto"/>
            <w:color w:val="1155CC"/>
            <w:highlight w:val="white"/>
            <w:u w:val="single"/>
          </w:rPr>
          <w:t>https://www.luminor.lt/en/corporate-social-responsibility-luminor</w:t>
        </w:r>
      </w:hyperlink>
      <w:r w:rsidRPr="000C6977">
        <w:rPr>
          <w:rFonts w:eastAsia="Roboto"/>
          <w:highlight w:val="white"/>
        </w:rPr>
        <w:t xml:space="preserve"> </w:t>
      </w:r>
    </w:p>
    <w:p w:rsidR="007B6E0A" w:rsidRPr="000C6977" w:rsidRDefault="000C6977">
      <w:pPr>
        <w:pStyle w:val="normal0"/>
        <w:rPr>
          <w:rFonts w:eastAsia="Roboto"/>
          <w:highlight w:val="white"/>
        </w:rPr>
      </w:pPr>
      <w:proofErr w:type="spellStart"/>
      <w:r w:rsidRPr="000C6977">
        <w:rPr>
          <w:rFonts w:eastAsia="Roboto"/>
          <w:highlight w:val="white"/>
        </w:rPr>
        <w:t>Carbon</w:t>
      </w:r>
      <w:proofErr w:type="spellEnd"/>
      <w:r w:rsidRPr="000C6977">
        <w:rPr>
          <w:rFonts w:eastAsia="Roboto"/>
          <w:highlight w:val="white"/>
        </w:rPr>
        <w:t xml:space="preserve"> </w:t>
      </w:r>
      <w:proofErr w:type="spellStart"/>
      <w:r w:rsidRPr="000C6977">
        <w:rPr>
          <w:rFonts w:eastAsia="Roboto"/>
          <w:highlight w:val="white"/>
        </w:rPr>
        <w:t>Disclosure</w:t>
      </w:r>
      <w:proofErr w:type="spellEnd"/>
      <w:r w:rsidRPr="000C6977">
        <w:rPr>
          <w:rFonts w:eastAsia="Roboto"/>
          <w:highlight w:val="white"/>
        </w:rPr>
        <w:t xml:space="preserve"> Project (CDP). 2021. Atsakymai [</w:t>
      </w:r>
      <w:proofErr w:type="spellStart"/>
      <w:r w:rsidRPr="000C6977">
        <w:rPr>
          <w:rFonts w:eastAsia="Roboto"/>
          <w:highlight w:val="white"/>
        </w:rPr>
        <w:t>Responses</w:t>
      </w:r>
      <w:proofErr w:type="spellEnd"/>
      <w:r w:rsidRPr="000C6977">
        <w:rPr>
          <w:rFonts w:eastAsia="Roboto"/>
          <w:highlight w:val="white"/>
        </w:rPr>
        <w:t xml:space="preserve">]. Žiūrėta gruodžio 29 d. 2021. URL: </w:t>
      </w:r>
      <w:hyperlink r:id="rId17">
        <w:r w:rsidRPr="000C6977">
          <w:rPr>
            <w:rFonts w:eastAsia="Roboto"/>
            <w:color w:val="1155CC"/>
            <w:highlight w:val="white"/>
            <w:u w:val="single"/>
          </w:rPr>
          <w:t>https://www.cdp.net/en/responses?utf8=%E2%9C%93&amp;queries%5Bname%5D=%C5%A0iauli%C5%B3+bankas</w:t>
        </w:r>
      </w:hyperlink>
    </w:p>
    <w:p w:rsidR="007B6E0A" w:rsidRPr="000C6977" w:rsidRDefault="000C6977">
      <w:pPr>
        <w:pStyle w:val="normal0"/>
        <w:rPr>
          <w:rFonts w:eastAsia="Roboto"/>
          <w:highlight w:val="white"/>
        </w:rPr>
      </w:pPr>
      <w:r w:rsidRPr="000C6977">
        <w:rPr>
          <w:rFonts w:eastAsia="Roboto"/>
          <w:highlight w:val="white"/>
        </w:rPr>
        <w:t xml:space="preserve">Šiaulių bankas. </w:t>
      </w:r>
      <w:proofErr w:type="spellStart"/>
      <w:r w:rsidRPr="000C6977">
        <w:rPr>
          <w:rFonts w:eastAsia="Roboto"/>
          <w:highlight w:val="white"/>
        </w:rPr>
        <w:t>n.d</w:t>
      </w:r>
      <w:proofErr w:type="spellEnd"/>
      <w:r w:rsidRPr="000C6977">
        <w:rPr>
          <w:rFonts w:eastAsia="Roboto"/>
          <w:highlight w:val="white"/>
        </w:rPr>
        <w:t>. Korupcijos prevencija [</w:t>
      </w:r>
      <w:proofErr w:type="spellStart"/>
      <w:r w:rsidRPr="000C6977">
        <w:rPr>
          <w:rFonts w:eastAsia="Roboto"/>
          <w:highlight w:val="white"/>
        </w:rPr>
        <w:t>Corruption</w:t>
      </w:r>
      <w:proofErr w:type="spellEnd"/>
      <w:r w:rsidRPr="000C6977">
        <w:rPr>
          <w:rFonts w:eastAsia="Roboto"/>
          <w:highlight w:val="white"/>
        </w:rPr>
        <w:t xml:space="preserve"> </w:t>
      </w:r>
      <w:proofErr w:type="spellStart"/>
      <w:r w:rsidRPr="000C6977">
        <w:rPr>
          <w:rFonts w:eastAsia="Roboto"/>
          <w:highlight w:val="white"/>
        </w:rPr>
        <w:t>prevention</w:t>
      </w:r>
      <w:proofErr w:type="spellEnd"/>
      <w:r w:rsidRPr="000C6977">
        <w:rPr>
          <w:rFonts w:eastAsia="Roboto"/>
          <w:highlight w:val="white"/>
        </w:rPr>
        <w:t>]. Žiūrėta</w:t>
      </w:r>
      <w:r w:rsidRPr="000C6977">
        <w:rPr>
          <w:rFonts w:eastAsia="Roboto"/>
          <w:highlight w:val="white"/>
        </w:rPr>
        <w:t xml:space="preserve"> gruodžio 29 d. 2021. URL: </w:t>
      </w:r>
      <w:hyperlink r:id="rId18">
        <w:r w:rsidRPr="000C6977">
          <w:rPr>
            <w:rFonts w:eastAsia="Roboto"/>
            <w:color w:val="1155CC"/>
            <w:highlight w:val="white"/>
            <w:u w:val="single"/>
          </w:rPr>
          <w:t>https://sb.lt/en/about/info/corruption-prevention</w:t>
        </w:r>
      </w:hyperlink>
    </w:p>
    <w:p w:rsidR="007B6E0A" w:rsidRPr="000C6977" w:rsidRDefault="000C6977">
      <w:pPr>
        <w:pStyle w:val="normal0"/>
        <w:rPr>
          <w:rFonts w:eastAsia="Roboto"/>
          <w:highlight w:val="white"/>
        </w:rPr>
      </w:pPr>
      <w:r w:rsidRPr="000C6977">
        <w:rPr>
          <w:rFonts w:eastAsia="Roboto"/>
          <w:highlight w:val="white"/>
        </w:rPr>
        <w:t xml:space="preserve">Šiaulių bankas. </w:t>
      </w:r>
      <w:proofErr w:type="spellStart"/>
      <w:r w:rsidRPr="000C6977">
        <w:rPr>
          <w:rFonts w:eastAsia="Roboto"/>
          <w:highlight w:val="white"/>
        </w:rPr>
        <w:t>N.d</w:t>
      </w:r>
      <w:proofErr w:type="spellEnd"/>
      <w:r w:rsidRPr="000C6977">
        <w:rPr>
          <w:rFonts w:eastAsia="Roboto"/>
          <w:highlight w:val="white"/>
        </w:rPr>
        <w:t xml:space="preserve">. Paramos pasiūlymai. Žiūrėta gruodžio 29 d. 2021. URL: </w:t>
      </w:r>
      <w:hyperlink r:id="rId19">
        <w:r w:rsidRPr="000C6977">
          <w:rPr>
            <w:rFonts w:eastAsia="Roboto"/>
            <w:color w:val="1155CC"/>
            <w:highlight w:val="white"/>
            <w:u w:val="single"/>
          </w:rPr>
          <w:t>https://sb.lt/lt/rasykite/paramos-pasiulymai</w:t>
        </w:r>
      </w:hyperlink>
    </w:p>
    <w:p w:rsidR="007B6E0A" w:rsidRPr="000C6977" w:rsidRDefault="000C6977">
      <w:pPr>
        <w:pStyle w:val="normal0"/>
        <w:rPr>
          <w:rFonts w:eastAsia="Roboto"/>
          <w:highlight w:val="white"/>
        </w:rPr>
      </w:pPr>
      <w:r w:rsidRPr="000C6977">
        <w:rPr>
          <w:rFonts w:eastAsia="Roboto"/>
          <w:highlight w:val="white"/>
        </w:rPr>
        <w:t>Šiaulių bankas. 2020. Metinė ataskaita [</w:t>
      </w:r>
      <w:proofErr w:type="spellStart"/>
      <w:r w:rsidRPr="000C6977">
        <w:rPr>
          <w:rFonts w:eastAsia="Roboto"/>
          <w:highlight w:val="white"/>
        </w:rPr>
        <w:t>Annual</w:t>
      </w:r>
      <w:proofErr w:type="spellEnd"/>
      <w:r w:rsidRPr="000C6977">
        <w:rPr>
          <w:rFonts w:eastAsia="Roboto"/>
          <w:highlight w:val="white"/>
        </w:rPr>
        <w:t xml:space="preserve"> </w:t>
      </w:r>
      <w:proofErr w:type="spellStart"/>
      <w:r w:rsidRPr="000C6977">
        <w:rPr>
          <w:rFonts w:eastAsia="Roboto"/>
          <w:highlight w:val="white"/>
        </w:rPr>
        <w:t>Report</w:t>
      </w:r>
      <w:proofErr w:type="spellEnd"/>
      <w:r w:rsidRPr="000C6977">
        <w:rPr>
          <w:rFonts w:eastAsia="Roboto"/>
          <w:highlight w:val="white"/>
        </w:rPr>
        <w:t xml:space="preserve">]. Žiūrėta gruodžio 29 d. 2021.URL: </w:t>
      </w:r>
      <w:hyperlink r:id="rId20">
        <w:r w:rsidRPr="000C6977">
          <w:rPr>
            <w:rFonts w:eastAsia="Roboto"/>
            <w:color w:val="1155CC"/>
            <w:highlight w:val="white"/>
            <w:u w:val="single"/>
          </w:rPr>
          <w:t>https://sb.lt/uploads/</w:t>
        </w:r>
        <w:r w:rsidRPr="000C6977">
          <w:rPr>
            <w:rFonts w:eastAsia="Roboto"/>
            <w:color w:val="1155CC"/>
            <w:highlight w:val="white"/>
            <w:u w:val="single"/>
          </w:rPr>
          <w:t>media/60656f6926b75/annual-2020.pdf</w:t>
        </w:r>
      </w:hyperlink>
    </w:p>
    <w:p w:rsidR="007B6E0A" w:rsidRPr="000C6977" w:rsidRDefault="000C6977">
      <w:pPr>
        <w:pStyle w:val="normal0"/>
        <w:rPr>
          <w:rFonts w:eastAsia="Roboto"/>
          <w:highlight w:val="white"/>
        </w:rPr>
      </w:pPr>
      <w:proofErr w:type="spellStart"/>
      <w:r w:rsidRPr="000C6977">
        <w:rPr>
          <w:rFonts w:eastAsia="Roboto"/>
          <w:highlight w:val="white"/>
        </w:rPr>
        <w:t>Swedbank</w:t>
      </w:r>
      <w:proofErr w:type="spellEnd"/>
      <w:r w:rsidRPr="000C6977">
        <w:rPr>
          <w:rFonts w:eastAsia="Roboto"/>
          <w:highlight w:val="white"/>
        </w:rPr>
        <w:t>. 2021.Papirkinėjimo prevencijos ir korupcijos politika [</w:t>
      </w:r>
      <w:proofErr w:type="spellStart"/>
      <w:r w:rsidRPr="000C6977">
        <w:rPr>
          <w:rFonts w:eastAsia="Roboto"/>
          <w:highlight w:val="white"/>
        </w:rPr>
        <w:t>Anti-Bribery</w:t>
      </w:r>
      <w:proofErr w:type="spellEnd"/>
      <w:r w:rsidRPr="000C6977">
        <w:rPr>
          <w:rFonts w:eastAsia="Roboto"/>
          <w:highlight w:val="white"/>
        </w:rPr>
        <w:t xml:space="preserve"> </w:t>
      </w:r>
      <w:proofErr w:type="spellStart"/>
      <w:r w:rsidRPr="000C6977">
        <w:rPr>
          <w:rFonts w:eastAsia="Roboto"/>
          <w:highlight w:val="white"/>
        </w:rPr>
        <w:t>and</w:t>
      </w:r>
      <w:proofErr w:type="spellEnd"/>
      <w:r w:rsidRPr="000C6977">
        <w:rPr>
          <w:rFonts w:eastAsia="Roboto"/>
          <w:highlight w:val="white"/>
        </w:rPr>
        <w:t xml:space="preserve"> </w:t>
      </w:r>
      <w:proofErr w:type="spellStart"/>
      <w:r w:rsidRPr="000C6977">
        <w:rPr>
          <w:rFonts w:eastAsia="Roboto"/>
          <w:highlight w:val="white"/>
        </w:rPr>
        <w:t>Corruption</w:t>
      </w:r>
      <w:proofErr w:type="spellEnd"/>
      <w:r w:rsidRPr="000C6977">
        <w:rPr>
          <w:rFonts w:eastAsia="Roboto"/>
          <w:highlight w:val="white"/>
        </w:rPr>
        <w:t xml:space="preserve"> </w:t>
      </w:r>
      <w:proofErr w:type="spellStart"/>
      <w:r w:rsidRPr="000C6977">
        <w:rPr>
          <w:rFonts w:eastAsia="Roboto"/>
          <w:highlight w:val="white"/>
        </w:rPr>
        <w:t>Policy</w:t>
      </w:r>
      <w:proofErr w:type="spellEnd"/>
      <w:r w:rsidRPr="000C6977">
        <w:rPr>
          <w:rFonts w:eastAsia="Roboto"/>
          <w:highlight w:val="white"/>
        </w:rPr>
        <w:t xml:space="preserve">]. Žiūrėta gruodžio 28 d. URL: </w:t>
      </w:r>
      <w:hyperlink r:id="rId21">
        <w:r w:rsidRPr="000C6977">
          <w:rPr>
            <w:rFonts w:eastAsia="Roboto"/>
            <w:color w:val="1155CC"/>
            <w:highlight w:val="white"/>
            <w:u w:val="single"/>
          </w:rPr>
          <w:t>https://www.swedbank.com/sustainability/strategy-and-framework/policies/anti-bribery-corruption-policy.html</w:t>
        </w:r>
      </w:hyperlink>
    </w:p>
    <w:p w:rsidR="007B6E0A" w:rsidRPr="000C6977" w:rsidRDefault="000C6977">
      <w:pPr>
        <w:pStyle w:val="normal0"/>
        <w:rPr>
          <w:rFonts w:eastAsia="Roboto"/>
          <w:highlight w:val="white"/>
        </w:rPr>
      </w:pPr>
      <w:proofErr w:type="spellStart"/>
      <w:r w:rsidRPr="000C6977">
        <w:rPr>
          <w:rFonts w:eastAsia="Roboto"/>
          <w:highlight w:val="white"/>
        </w:rPr>
        <w:t>Swedbank</w:t>
      </w:r>
      <w:proofErr w:type="spellEnd"/>
      <w:r w:rsidRPr="000C6977">
        <w:rPr>
          <w:rFonts w:eastAsia="Roboto"/>
          <w:highlight w:val="white"/>
        </w:rPr>
        <w:t xml:space="preserve">. 2021. </w:t>
      </w:r>
      <w:proofErr w:type="spellStart"/>
      <w:r w:rsidRPr="000C6977">
        <w:rPr>
          <w:rFonts w:eastAsia="Roboto"/>
          <w:highlight w:val="white"/>
        </w:rPr>
        <w:t>Swedbank</w:t>
      </w:r>
      <w:proofErr w:type="spellEnd"/>
      <w:r w:rsidRPr="000C6977">
        <w:rPr>
          <w:rFonts w:eastAsia="Roboto"/>
          <w:highlight w:val="white"/>
        </w:rPr>
        <w:t xml:space="preserve"> </w:t>
      </w:r>
      <w:proofErr w:type="spellStart"/>
      <w:r w:rsidRPr="000C6977">
        <w:rPr>
          <w:rFonts w:eastAsia="Roboto"/>
          <w:highlight w:val="white"/>
        </w:rPr>
        <w:t>Group</w:t>
      </w:r>
      <w:proofErr w:type="spellEnd"/>
      <w:r w:rsidRPr="000C6977">
        <w:rPr>
          <w:rFonts w:eastAsia="Roboto"/>
          <w:highlight w:val="white"/>
        </w:rPr>
        <w:t xml:space="preserve"> </w:t>
      </w:r>
      <w:proofErr w:type="spellStart"/>
      <w:r w:rsidRPr="000C6977">
        <w:rPr>
          <w:rFonts w:eastAsia="Roboto"/>
          <w:highlight w:val="white"/>
        </w:rPr>
        <w:t>Policy</w:t>
      </w:r>
      <w:proofErr w:type="spellEnd"/>
      <w:r w:rsidRPr="000C6977">
        <w:rPr>
          <w:rFonts w:eastAsia="Roboto"/>
          <w:highlight w:val="white"/>
        </w:rPr>
        <w:t xml:space="preserve"> </w:t>
      </w:r>
      <w:proofErr w:type="spellStart"/>
      <w:r w:rsidRPr="000C6977">
        <w:rPr>
          <w:rFonts w:eastAsia="Roboto"/>
          <w:highlight w:val="white"/>
        </w:rPr>
        <w:t>on</w:t>
      </w:r>
      <w:proofErr w:type="spellEnd"/>
      <w:r w:rsidRPr="000C6977">
        <w:rPr>
          <w:rFonts w:eastAsia="Roboto"/>
          <w:highlight w:val="white"/>
        </w:rPr>
        <w:t xml:space="preserve"> </w:t>
      </w:r>
      <w:proofErr w:type="spellStart"/>
      <w:r w:rsidRPr="000C6977">
        <w:rPr>
          <w:rFonts w:eastAsia="Roboto"/>
          <w:highlight w:val="white"/>
        </w:rPr>
        <w:t>Anti-Money</w:t>
      </w:r>
      <w:proofErr w:type="spellEnd"/>
      <w:r w:rsidRPr="000C6977">
        <w:rPr>
          <w:rFonts w:eastAsia="Roboto"/>
          <w:highlight w:val="white"/>
        </w:rPr>
        <w:t xml:space="preserve"> </w:t>
      </w:r>
      <w:proofErr w:type="spellStart"/>
      <w:r w:rsidRPr="000C6977">
        <w:rPr>
          <w:rFonts w:eastAsia="Roboto"/>
          <w:highlight w:val="white"/>
        </w:rPr>
        <w:t>Laundering</w:t>
      </w:r>
      <w:proofErr w:type="spellEnd"/>
      <w:r w:rsidRPr="000C6977">
        <w:rPr>
          <w:rFonts w:eastAsia="Roboto"/>
          <w:highlight w:val="white"/>
        </w:rPr>
        <w:t xml:space="preserve"> </w:t>
      </w:r>
      <w:proofErr w:type="spellStart"/>
      <w:r w:rsidRPr="000C6977">
        <w:rPr>
          <w:rFonts w:eastAsia="Roboto"/>
          <w:highlight w:val="white"/>
        </w:rPr>
        <w:t>and</w:t>
      </w:r>
      <w:proofErr w:type="spellEnd"/>
      <w:r w:rsidRPr="000C6977">
        <w:rPr>
          <w:rFonts w:eastAsia="Roboto"/>
          <w:highlight w:val="white"/>
        </w:rPr>
        <w:t xml:space="preserve"> </w:t>
      </w:r>
      <w:proofErr w:type="spellStart"/>
      <w:r w:rsidRPr="000C6977">
        <w:rPr>
          <w:rFonts w:eastAsia="Roboto"/>
          <w:highlight w:val="white"/>
        </w:rPr>
        <w:t>Countering</w:t>
      </w:r>
      <w:proofErr w:type="spellEnd"/>
      <w:r w:rsidRPr="000C6977">
        <w:rPr>
          <w:rFonts w:eastAsia="Roboto"/>
          <w:highlight w:val="white"/>
        </w:rPr>
        <w:t xml:space="preserve"> </w:t>
      </w:r>
      <w:proofErr w:type="spellStart"/>
      <w:r w:rsidRPr="000C6977">
        <w:rPr>
          <w:rFonts w:eastAsia="Roboto"/>
          <w:highlight w:val="white"/>
        </w:rPr>
        <w:t>Terrorist</w:t>
      </w:r>
      <w:proofErr w:type="spellEnd"/>
      <w:r w:rsidRPr="000C6977">
        <w:rPr>
          <w:rFonts w:eastAsia="Roboto"/>
          <w:highlight w:val="white"/>
        </w:rPr>
        <w:t xml:space="preserve"> </w:t>
      </w:r>
      <w:proofErr w:type="spellStart"/>
      <w:r w:rsidRPr="000C6977">
        <w:rPr>
          <w:rFonts w:eastAsia="Roboto"/>
          <w:highlight w:val="white"/>
        </w:rPr>
        <w:t>Financing</w:t>
      </w:r>
      <w:proofErr w:type="spellEnd"/>
      <w:r w:rsidRPr="000C6977">
        <w:rPr>
          <w:rFonts w:eastAsia="Roboto"/>
          <w:highlight w:val="white"/>
        </w:rPr>
        <w:t>. Žiūrėta gruodž</w:t>
      </w:r>
      <w:r w:rsidRPr="000C6977">
        <w:rPr>
          <w:rFonts w:eastAsia="Roboto"/>
          <w:highlight w:val="white"/>
        </w:rPr>
        <w:t xml:space="preserve">io 28 d. URL: </w:t>
      </w:r>
      <w:hyperlink r:id="rId22" w:anchor=":~:text=Swedbank%20has%20adopted%20a%20policy,to%20comply%20with%20applicable%20laws.&amp;text=All%20international%20payments%20are%20also%20screened%20in%20real%20time%20regarding%20financial%20sanctions">
        <w:r w:rsidRPr="000C6977">
          <w:rPr>
            <w:rFonts w:eastAsia="Roboto"/>
            <w:color w:val="1155CC"/>
            <w:highlight w:val="white"/>
            <w:u w:val="single"/>
          </w:rPr>
          <w:t>https://www.swedbank.com/sustainability/strategy-and-framework/policies/policy-aml-and-counter-terrorist-financing.html#:~:text=Swedbank%20has%20adopted%20</w:t>
        </w:r>
        <w:r w:rsidRPr="000C6977">
          <w:rPr>
            <w:rFonts w:eastAsia="Roboto"/>
            <w:color w:val="1155CC"/>
            <w:highlight w:val="white"/>
            <w:u w:val="single"/>
          </w:rPr>
          <w:t>a%20policy,to%20comply%20with%20applicable%20laws.&amp;text=All%20international%20payments%20are%20also%20screened%20in%20real%20time%20regarding%20financial%20sanctions</w:t>
        </w:r>
      </w:hyperlink>
      <w:r w:rsidRPr="000C6977">
        <w:rPr>
          <w:rFonts w:eastAsia="Roboto"/>
          <w:highlight w:val="white"/>
        </w:rPr>
        <w:t>.</w:t>
      </w:r>
    </w:p>
    <w:p w:rsidR="007B6E0A" w:rsidRPr="000C6977" w:rsidRDefault="000C6977">
      <w:pPr>
        <w:pStyle w:val="normal0"/>
        <w:rPr>
          <w:rFonts w:eastAsia="Roboto"/>
          <w:highlight w:val="white"/>
        </w:rPr>
      </w:pPr>
      <w:r w:rsidRPr="000C6977">
        <w:rPr>
          <w:rFonts w:eastAsia="Roboto"/>
          <w:highlight w:val="white"/>
        </w:rPr>
        <w:t xml:space="preserve">Swedbank.2021. </w:t>
      </w:r>
      <w:proofErr w:type="spellStart"/>
      <w:r w:rsidRPr="000C6977">
        <w:rPr>
          <w:rFonts w:eastAsia="Roboto"/>
          <w:highlight w:val="white"/>
        </w:rPr>
        <w:t>Swedbank</w:t>
      </w:r>
      <w:proofErr w:type="spellEnd"/>
      <w:r w:rsidRPr="000C6977">
        <w:rPr>
          <w:rFonts w:eastAsia="Roboto"/>
          <w:highlight w:val="white"/>
        </w:rPr>
        <w:t xml:space="preserve"> </w:t>
      </w:r>
      <w:proofErr w:type="spellStart"/>
      <w:r w:rsidRPr="000C6977">
        <w:rPr>
          <w:rFonts w:eastAsia="Roboto"/>
          <w:highlight w:val="white"/>
        </w:rPr>
        <w:t>Robur’s</w:t>
      </w:r>
      <w:proofErr w:type="spellEnd"/>
      <w:r w:rsidRPr="000C6977">
        <w:rPr>
          <w:rFonts w:eastAsia="Roboto"/>
          <w:highlight w:val="white"/>
        </w:rPr>
        <w:t xml:space="preserve"> </w:t>
      </w:r>
      <w:proofErr w:type="spellStart"/>
      <w:r w:rsidRPr="000C6977">
        <w:rPr>
          <w:rFonts w:eastAsia="Roboto"/>
          <w:highlight w:val="white"/>
        </w:rPr>
        <w:t>Exclusion</w:t>
      </w:r>
      <w:proofErr w:type="spellEnd"/>
      <w:r w:rsidRPr="000C6977">
        <w:rPr>
          <w:rFonts w:eastAsia="Roboto"/>
          <w:highlight w:val="white"/>
        </w:rPr>
        <w:t xml:space="preserve"> </w:t>
      </w:r>
      <w:proofErr w:type="spellStart"/>
      <w:r w:rsidRPr="000C6977">
        <w:rPr>
          <w:rFonts w:eastAsia="Roboto"/>
          <w:highlight w:val="white"/>
        </w:rPr>
        <w:t>Strategy</w:t>
      </w:r>
      <w:proofErr w:type="spellEnd"/>
      <w:r w:rsidRPr="000C6977">
        <w:rPr>
          <w:rFonts w:eastAsia="Roboto"/>
          <w:highlight w:val="white"/>
        </w:rPr>
        <w:t xml:space="preserve">. Žiūrėta gruodžio 28 d. URL: </w:t>
      </w:r>
      <w:hyperlink r:id="rId23">
        <w:r w:rsidRPr="000C6977">
          <w:rPr>
            <w:rFonts w:eastAsia="Roboto"/>
            <w:color w:val="1155CC"/>
            <w:highlight w:val="white"/>
            <w:u w:val="single"/>
          </w:rPr>
          <w:t>https://internetbank.swedbank.se/ConditionsEarchive/download?bankid=1111&amp;id=WEBDOC-PRODE71506187</w:t>
        </w:r>
      </w:hyperlink>
      <w:r w:rsidRPr="000C6977">
        <w:rPr>
          <w:rFonts w:eastAsia="Roboto"/>
          <w:highlight w:val="white"/>
        </w:rPr>
        <w:t xml:space="preserve"> </w:t>
      </w:r>
    </w:p>
    <w:p w:rsidR="007B6E0A" w:rsidRPr="000C6977" w:rsidRDefault="000C6977">
      <w:pPr>
        <w:pStyle w:val="normal0"/>
        <w:rPr>
          <w:rFonts w:eastAsia="Roboto"/>
          <w:highlight w:val="white"/>
        </w:rPr>
      </w:pPr>
      <w:proofErr w:type="spellStart"/>
      <w:r w:rsidRPr="000C6977">
        <w:rPr>
          <w:rFonts w:eastAsia="Roboto"/>
          <w:highlight w:val="white"/>
        </w:rPr>
        <w:t>Swedbank</w:t>
      </w:r>
      <w:proofErr w:type="spellEnd"/>
      <w:r w:rsidRPr="000C6977">
        <w:rPr>
          <w:rFonts w:eastAsia="Roboto"/>
          <w:highlight w:val="white"/>
        </w:rPr>
        <w:t xml:space="preserve">. 2021. </w:t>
      </w:r>
      <w:proofErr w:type="spellStart"/>
      <w:r w:rsidRPr="000C6977">
        <w:t>Sector</w:t>
      </w:r>
      <w:proofErr w:type="spellEnd"/>
      <w:r w:rsidRPr="000C6977">
        <w:t xml:space="preserve"> </w:t>
      </w:r>
      <w:proofErr w:type="spellStart"/>
      <w:r w:rsidRPr="000C6977">
        <w:t>Guidelines</w:t>
      </w:r>
      <w:proofErr w:type="spellEnd"/>
      <w:r w:rsidRPr="000C6977">
        <w:t xml:space="preserve">: </w:t>
      </w:r>
      <w:proofErr w:type="spellStart"/>
      <w:r w:rsidRPr="000C6977">
        <w:t>Tobacco</w:t>
      </w:r>
      <w:proofErr w:type="spellEnd"/>
      <w:r w:rsidRPr="000C6977">
        <w:t xml:space="preserve">. </w:t>
      </w:r>
      <w:r w:rsidRPr="000C6977">
        <w:rPr>
          <w:rFonts w:eastAsia="Roboto"/>
          <w:highlight w:val="white"/>
        </w:rPr>
        <w:t>Žiūrėta gruodžio 28 d. URL: https://online.swedbank.se/ConditionsEarchive/download?bankid=1111&amp;id=WEBDOC-PPE1341788</w:t>
      </w:r>
    </w:p>
    <w:p w:rsidR="007B6E0A" w:rsidRPr="000C6977" w:rsidRDefault="000C6977">
      <w:pPr>
        <w:pStyle w:val="normal0"/>
        <w:rPr>
          <w:rFonts w:eastAsia="Roboto"/>
          <w:highlight w:val="white"/>
        </w:rPr>
      </w:pPr>
      <w:proofErr w:type="spellStart"/>
      <w:r w:rsidRPr="000C6977">
        <w:rPr>
          <w:rFonts w:eastAsia="Roboto"/>
          <w:highlight w:val="white"/>
        </w:rPr>
        <w:t>Swedbank</w:t>
      </w:r>
      <w:proofErr w:type="spellEnd"/>
      <w:r w:rsidRPr="000C6977">
        <w:rPr>
          <w:rFonts w:eastAsia="Roboto"/>
          <w:highlight w:val="white"/>
        </w:rPr>
        <w:t xml:space="preserve">. 2021. </w:t>
      </w:r>
      <w:proofErr w:type="spellStart"/>
      <w:r w:rsidRPr="000C6977">
        <w:rPr>
          <w:rFonts w:eastAsia="Roboto"/>
          <w:highlight w:val="white"/>
        </w:rPr>
        <w:t>Human</w:t>
      </w:r>
      <w:proofErr w:type="spellEnd"/>
      <w:r w:rsidRPr="000C6977">
        <w:rPr>
          <w:rFonts w:eastAsia="Roboto"/>
          <w:highlight w:val="white"/>
        </w:rPr>
        <w:t xml:space="preserve"> </w:t>
      </w:r>
      <w:proofErr w:type="spellStart"/>
      <w:r w:rsidRPr="000C6977">
        <w:rPr>
          <w:rFonts w:eastAsia="Roboto"/>
          <w:highlight w:val="white"/>
        </w:rPr>
        <w:t>Rights</w:t>
      </w:r>
      <w:proofErr w:type="spellEnd"/>
      <w:r w:rsidRPr="000C6977">
        <w:rPr>
          <w:rFonts w:eastAsia="Roboto"/>
          <w:highlight w:val="white"/>
        </w:rPr>
        <w:t xml:space="preserve"> </w:t>
      </w:r>
      <w:proofErr w:type="spellStart"/>
      <w:r w:rsidRPr="000C6977">
        <w:rPr>
          <w:rFonts w:eastAsia="Roboto"/>
          <w:highlight w:val="white"/>
        </w:rPr>
        <w:t>Policy</w:t>
      </w:r>
      <w:proofErr w:type="spellEnd"/>
      <w:r w:rsidRPr="000C6977">
        <w:rPr>
          <w:rFonts w:eastAsia="Roboto"/>
          <w:highlight w:val="white"/>
        </w:rPr>
        <w:t xml:space="preserve">. Žiūrėta gruodžio 28 d. URL: </w:t>
      </w:r>
      <w:hyperlink r:id="rId24">
        <w:r w:rsidRPr="000C6977">
          <w:rPr>
            <w:color w:val="1155CC"/>
            <w:highlight w:val="white"/>
            <w:u w:val="single"/>
          </w:rPr>
          <w:t>https://online.swedbank.se/ConditionsEarchive/download?bankid=1111&amp;id=WEBDOC-PPE1341666</w:t>
        </w:r>
      </w:hyperlink>
    </w:p>
    <w:p w:rsidR="007B6E0A" w:rsidRPr="000C6977" w:rsidRDefault="000C6977">
      <w:pPr>
        <w:pStyle w:val="normal0"/>
        <w:rPr>
          <w:rFonts w:eastAsia="Roboto"/>
          <w:b/>
          <w:highlight w:val="white"/>
        </w:rPr>
      </w:pPr>
      <w:proofErr w:type="spellStart"/>
      <w:r w:rsidRPr="000C6977">
        <w:rPr>
          <w:rFonts w:eastAsia="Roboto"/>
          <w:highlight w:val="white"/>
        </w:rPr>
        <w:t>Swedbank</w:t>
      </w:r>
      <w:proofErr w:type="spellEnd"/>
      <w:r w:rsidRPr="000C6977">
        <w:rPr>
          <w:rFonts w:eastAsia="Roboto"/>
          <w:highlight w:val="white"/>
        </w:rPr>
        <w:t xml:space="preserve">. 2021. </w:t>
      </w:r>
      <w:proofErr w:type="spellStart"/>
      <w:r w:rsidRPr="000C6977">
        <w:t>Swedbank</w:t>
      </w:r>
      <w:proofErr w:type="spellEnd"/>
      <w:r w:rsidRPr="000C6977">
        <w:t xml:space="preserve"> </w:t>
      </w:r>
      <w:proofErr w:type="spellStart"/>
      <w:r w:rsidRPr="000C6977">
        <w:t>Policy</w:t>
      </w:r>
      <w:proofErr w:type="spellEnd"/>
      <w:r w:rsidRPr="000C6977">
        <w:t xml:space="preserve"> </w:t>
      </w:r>
      <w:proofErr w:type="spellStart"/>
      <w:r w:rsidRPr="000C6977">
        <w:t>on</w:t>
      </w:r>
      <w:proofErr w:type="spellEnd"/>
      <w:r w:rsidRPr="000C6977">
        <w:t xml:space="preserve"> </w:t>
      </w:r>
      <w:proofErr w:type="spellStart"/>
      <w:r w:rsidRPr="000C6977">
        <w:t>Diversity</w:t>
      </w:r>
      <w:proofErr w:type="spellEnd"/>
      <w:r w:rsidRPr="000C6977">
        <w:t xml:space="preserve"> </w:t>
      </w:r>
      <w:proofErr w:type="spellStart"/>
      <w:r w:rsidRPr="000C6977">
        <w:t>and</w:t>
      </w:r>
      <w:proofErr w:type="spellEnd"/>
      <w:r w:rsidRPr="000C6977">
        <w:t xml:space="preserve"> </w:t>
      </w:r>
      <w:proofErr w:type="spellStart"/>
      <w:r w:rsidRPr="000C6977">
        <w:t>Inclusion</w:t>
      </w:r>
      <w:proofErr w:type="spellEnd"/>
      <w:r w:rsidRPr="000C6977">
        <w:t xml:space="preserve">. </w:t>
      </w:r>
      <w:r w:rsidRPr="000C6977">
        <w:rPr>
          <w:rFonts w:eastAsia="Roboto"/>
          <w:highlight w:val="white"/>
        </w:rPr>
        <w:t>Žiūrė</w:t>
      </w:r>
      <w:r w:rsidRPr="000C6977">
        <w:rPr>
          <w:rFonts w:eastAsia="Roboto"/>
          <w:highlight w:val="white"/>
        </w:rPr>
        <w:t xml:space="preserve">ta gruodžio 28 d. URL: </w:t>
      </w:r>
      <w:hyperlink r:id="rId25">
        <w:r w:rsidRPr="000C6977">
          <w:rPr>
            <w:color w:val="1155CC"/>
            <w:highlight w:val="white"/>
            <w:u w:val="single"/>
          </w:rPr>
          <w:t>https://online.swedbank.se/ConditionsEarchive/download?bankid=1111&amp;id=WEBDOC-PPE1341739</w:t>
        </w:r>
      </w:hyperlink>
    </w:p>
    <w:p w:rsidR="007B6E0A" w:rsidRPr="000C6977" w:rsidRDefault="000C6977">
      <w:pPr>
        <w:pStyle w:val="normal0"/>
        <w:rPr>
          <w:rFonts w:eastAsia="Roboto"/>
          <w:highlight w:val="white"/>
        </w:rPr>
      </w:pPr>
      <w:proofErr w:type="spellStart"/>
      <w:r w:rsidRPr="000C6977">
        <w:rPr>
          <w:rFonts w:eastAsia="Roboto"/>
          <w:highlight w:val="white"/>
        </w:rPr>
        <w:t>Swedbank</w:t>
      </w:r>
      <w:proofErr w:type="spellEnd"/>
      <w:r w:rsidRPr="000C6977">
        <w:rPr>
          <w:rFonts w:eastAsia="Roboto"/>
          <w:highlight w:val="white"/>
        </w:rPr>
        <w:t xml:space="preserve">. 2021. </w:t>
      </w:r>
      <w:proofErr w:type="spellStart"/>
      <w:r w:rsidRPr="000C6977">
        <w:t>Geographical</w:t>
      </w:r>
      <w:proofErr w:type="spellEnd"/>
      <w:r w:rsidRPr="000C6977">
        <w:t xml:space="preserve"> </w:t>
      </w:r>
      <w:proofErr w:type="spellStart"/>
      <w:r w:rsidRPr="000C6977">
        <w:t>distributio</w:t>
      </w:r>
      <w:r w:rsidRPr="000C6977">
        <w:t>n</w:t>
      </w:r>
      <w:proofErr w:type="spellEnd"/>
      <w:r w:rsidRPr="000C6977">
        <w:t xml:space="preserve"> </w:t>
      </w:r>
      <w:proofErr w:type="spellStart"/>
      <w:r w:rsidRPr="000C6977">
        <w:t>Swedbank</w:t>
      </w:r>
      <w:proofErr w:type="spellEnd"/>
      <w:r w:rsidRPr="000C6977">
        <w:t xml:space="preserve"> </w:t>
      </w:r>
      <w:proofErr w:type="spellStart"/>
      <w:r w:rsidRPr="000C6977">
        <w:t>Group</w:t>
      </w:r>
      <w:proofErr w:type="spellEnd"/>
      <w:r w:rsidRPr="000C6977">
        <w:t xml:space="preserve">. </w:t>
      </w:r>
      <w:r w:rsidRPr="000C6977">
        <w:rPr>
          <w:rFonts w:eastAsia="Roboto"/>
          <w:highlight w:val="white"/>
        </w:rPr>
        <w:t xml:space="preserve">Žiūrėta gruodžio 28 d. URL: </w:t>
      </w:r>
      <w:hyperlink r:id="rId26">
        <w:r w:rsidRPr="000C6977">
          <w:rPr>
            <w:color w:val="1155CC"/>
            <w:highlight w:val="white"/>
            <w:u w:val="single"/>
          </w:rPr>
          <w:t>https://online.swedbank.se/ConditionsEarchive/download?bankid=1111&amp;id=WEBDOC-PRODE54276546</w:t>
        </w:r>
      </w:hyperlink>
    </w:p>
    <w:p w:rsidR="007B6E0A" w:rsidRPr="000C6977" w:rsidRDefault="000C6977">
      <w:pPr>
        <w:pStyle w:val="normal0"/>
        <w:rPr>
          <w:rFonts w:eastAsia="Roboto"/>
          <w:highlight w:val="white"/>
        </w:rPr>
      </w:pPr>
      <w:proofErr w:type="spellStart"/>
      <w:r w:rsidRPr="000C6977">
        <w:rPr>
          <w:rFonts w:eastAsia="Roboto"/>
          <w:highlight w:val="white"/>
        </w:rPr>
        <w:t>Swedbank</w:t>
      </w:r>
      <w:proofErr w:type="spellEnd"/>
      <w:r w:rsidRPr="000C6977">
        <w:rPr>
          <w:rFonts w:eastAsia="Roboto"/>
          <w:highlight w:val="white"/>
        </w:rPr>
        <w:t>. 2</w:t>
      </w:r>
      <w:r w:rsidRPr="000C6977">
        <w:rPr>
          <w:rFonts w:eastAsia="Roboto"/>
          <w:highlight w:val="white"/>
        </w:rPr>
        <w:t xml:space="preserve">021. </w:t>
      </w:r>
      <w:proofErr w:type="spellStart"/>
      <w:r w:rsidRPr="000C6977">
        <w:t>Swedbank</w:t>
      </w:r>
      <w:proofErr w:type="spellEnd"/>
      <w:r w:rsidRPr="000C6977">
        <w:t xml:space="preserve"> </w:t>
      </w:r>
      <w:proofErr w:type="spellStart"/>
      <w:r w:rsidRPr="000C6977">
        <w:t>Policy</w:t>
      </w:r>
      <w:proofErr w:type="spellEnd"/>
      <w:r w:rsidRPr="000C6977">
        <w:t xml:space="preserve"> </w:t>
      </w:r>
      <w:proofErr w:type="spellStart"/>
      <w:r w:rsidRPr="000C6977">
        <w:t>for</w:t>
      </w:r>
      <w:proofErr w:type="spellEnd"/>
      <w:r w:rsidRPr="000C6977">
        <w:t xml:space="preserve"> </w:t>
      </w:r>
      <w:proofErr w:type="spellStart"/>
      <w:r w:rsidRPr="000C6977">
        <w:t>Tax</w:t>
      </w:r>
      <w:proofErr w:type="spellEnd"/>
      <w:r w:rsidRPr="000C6977">
        <w:t xml:space="preserve"> </w:t>
      </w:r>
      <w:proofErr w:type="spellStart"/>
      <w:r w:rsidRPr="000C6977">
        <w:t>Management</w:t>
      </w:r>
      <w:proofErr w:type="spellEnd"/>
      <w:r w:rsidRPr="000C6977">
        <w:t xml:space="preserve">. </w:t>
      </w:r>
      <w:r w:rsidRPr="000C6977">
        <w:rPr>
          <w:rFonts w:eastAsia="Roboto"/>
          <w:highlight w:val="white"/>
        </w:rPr>
        <w:t xml:space="preserve">Žiūrėta gruodžio 28 d. URL: </w:t>
      </w:r>
      <w:hyperlink r:id="rId27">
        <w:r w:rsidRPr="000C6977">
          <w:rPr>
            <w:rFonts w:eastAsia="Calibri"/>
            <w:color w:val="1155CC"/>
            <w:highlight w:val="white"/>
            <w:u w:val="single"/>
          </w:rPr>
          <w:t>https://online.swedbank.se/ConditionsEarchive/download?bankid=1111&amp;id=WEBDOC-PPE13</w:t>
        </w:r>
        <w:r w:rsidRPr="000C6977">
          <w:rPr>
            <w:rFonts w:eastAsia="Calibri"/>
            <w:color w:val="1155CC"/>
            <w:highlight w:val="white"/>
            <w:u w:val="single"/>
          </w:rPr>
          <w:t>41704</w:t>
        </w:r>
      </w:hyperlink>
    </w:p>
    <w:p w:rsidR="007B6E0A" w:rsidRPr="000C6977" w:rsidRDefault="000C6977">
      <w:pPr>
        <w:pStyle w:val="normal0"/>
        <w:rPr>
          <w:rFonts w:eastAsia="Roboto"/>
          <w:highlight w:val="white"/>
        </w:rPr>
      </w:pPr>
      <w:proofErr w:type="spellStart"/>
      <w:r w:rsidRPr="000C6977">
        <w:rPr>
          <w:rFonts w:eastAsia="Roboto"/>
          <w:highlight w:val="white"/>
        </w:rPr>
        <w:t>Swedbank</w:t>
      </w:r>
      <w:proofErr w:type="spellEnd"/>
      <w:r w:rsidRPr="000C6977">
        <w:rPr>
          <w:rFonts w:eastAsia="Roboto"/>
          <w:highlight w:val="white"/>
        </w:rPr>
        <w:t xml:space="preserve">. 2021. </w:t>
      </w:r>
      <w:proofErr w:type="spellStart"/>
      <w:r w:rsidRPr="000C6977">
        <w:rPr>
          <w:rFonts w:eastAsia="Roboto"/>
          <w:highlight w:val="white"/>
        </w:rPr>
        <w:t>Swedbank</w:t>
      </w:r>
      <w:proofErr w:type="spellEnd"/>
      <w:r w:rsidRPr="000C6977">
        <w:rPr>
          <w:rFonts w:eastAsia="Roboto"/>
          <w:highlight w:val="white"/>
        </w:rPr>
        <w:t xml:space="preserve"> </w:t>
      </w:r>
      <w:proofErr w:type="spellStart"/>
      <w:r w:rsidRPr="000C6977">
        <w:rPr>
          <w:rFonts w:eastAsia="Roboto"/>
          <w:highlight w:val="white"/>
        </w:rPr>
        <w:t>Robur’s</w:t>
      </w:r>
      <w:proofErr w:type="spellEnd"/>
      <w:r w:rsidRPr="000C6977">
        <w:rPr>
          <w:rFonts w:eastAsia="Roboto"/>
          <w:highlight w:val="white"/>
        </w:rPr>
        <w:t xml:space="preserve"> </w:t>
      </w:r>
      <w:proofErr w:type="spellStart"/>
      <w:r w:rsidRPr="000C6977">
        <w:rPr>
          <w:rFonts w:eastAsia="Roboto"/>
          <w:highlight w:val="white"/>
        </w:rPr>
        <w:t>Position</w:t>
      </w:r>
      <w:proofErr w:type="spellEnd"/>
      <w:r w:rsidRPr="000C6977">
        <w:rPr>
          <w:rFonts w:eastAsia="Roboto"/>
          <w:highlight w:val="white"/>
        </w:rPr>
        <w:t xml:space="preserve"> </w:t>
      </w:r>
      <w:proofErr w:type="spellStart"/>
      <w:r w:rsidRPr="000C6977">
        <w:rPr>
          <w:rFonts w:eastAsia="Roboto"/>
          <w:highlight w:val="white"/>
        </w:rPr>
        <w:t>Paper</w:t>
      </w:r>
      <w:proofErr w:type="spellEnd"/>
      <w:r w:rsidRPr="000C6977">
        <w:rPr>
          <w:rFonts w:eastAsia="Roboto"/>
          <w:highlight w:val="white"/>
        </w:rPr>
        <w:t xml:space="preserve"> </w:t>
      </w:r>
      <w:proofErr w:type="spellStart"/>
      <w:r w:rsidRPr="000C6977">
        <w:rPr>
          <w:rFonts w:eastAsia="Roboto"/>
          <w:highlight w:val="white"/>
        </w:rPr>
        <w:t>Taxation</w:t>
      </w:r>
      <w:proofErr w:type="spellEnd"/>
      <w:r w:rsidRPr="000C6977">
        <w:rPr>
          <w:rFonts w:eastAsia="Roboto"/>
          <w:highlight w:val="white"/>
        </w:rPr>
        <w:t xml:space="preserve">. Žiūrėta gruodžio 28 d. URL: </w:t>
      </w:r>
      <w:hyperlink r:id="rId28">
        <w:r w:rsidRPr="000C6977">
          <w:rPr>
            <w:color w:val="1155CC"/>
            <w:highlight w:val="white"/>
            <w:u w:val="single"/>
          </w:rPr>
          <w:t>https://online.swedbank.se/ConditionsEarchive/download?bank</w:t>
        </w:r>
        <w:r w:rsidRPr="000C6977">
          <w:rPr>
            <w:color w:val="1155CC"/>
            <w:highlight w:val="white"/>
            <w:u w:val="single"/>
          </w:rPr>
          <w:t>id=1111&amp;id=WEBDOC-PPE1340653</w:t>
        </w:r>
      </w:hyperlink>
    </w:p>
    <w:p w:rsidR="007B6E0A" w:rsidRPr="000C6977" w:rsidRDefault="000C6977">
      <w:pPr>
        <w:pStyle w:val="normal0"/>
        <w:rPr>
          <w:rFonts w:eastAsia="Roboto"/>
          <w:highlight w:val="white"/>
        </w:rPr>
      </w:pPr>
      <w:proofErr w:type="spellStart"/>
      <w:r w:rsidRPr="000C6977">
        <w:rPr>
          <w:rFonts w:eastAsia="Roboto"/>
          <w:highlight w:val="white"/>
        </w:rPr>
        <w:lastRenderedPageBreak/>
        <w:t>Swedbank</w:t>
      </w:r>
      <w:proofErr w:type="spellEnd"/>
      <w:r w:rsidRPr="000C6977">
        <w:rPr>
          <w:rFonts w:eastAsia="Roboto"/>
          <w:highlight w:val="white"/>
        </w:rPr>
        <w:t xml:space="preserve">. 2021. </w:t>
      </w:r>
      <w:proofErr w:type="spellStart"/>
      <w:r w:rsidRPr="000C6977">
        <w:rPr>
          <w:rFonts w:eastAsia="Roboto"/>
          <w:highlight w:val="white"/>
        </w:rPr>
        <w:t>Annual</w:t>
      </w:r>
      <w:proofErr w:type="spellEnd"/>
      <w:r w:rsidRPr="000C6977">
        <w:rPr>
          <w:rFonts w:eastAsia="Roboto"/>
          <w:highlight w:val="white"/>
        </w:rPr>
        <w:t xml:space="preserve"> </w:t>
      </w:r>
      <w:proofErr w:type="spellStart"/>
      <w:r w:rsidRPr="000C6977">
        <w:rPr>
          <w:rFonts w:eastAsia="Roboto"/>
          <w:highlight w:val="white"/>
        </w:rPr>
        <w:t>and</w:t>
      </w:r>
      <w:proofErr w:type="spellEnd"/>
      <w:r w:rsidRPr="000C6977">
        <w:rPr>
          <w:rFonts w:eastAsia="Roboto"/>
          <w:highlight w:val="white"/>
        </w:rPr>
        <w:t xml:space="preserve"> </w:t>
      </w:r>
      <w:proofErr w:type="spellStart"/>
      <w:r w:rsidRPr="000C6977">
        <w:rPr>
          <w:rFonts w:eastAsia="Roboto"/>
          <w:highlight w:val="white"/>
        </w:rPr>
        <w:t>Sustainability</w:t>
      </w:r>
      <w:proofErr w:type="spellEnd"/>
      <w:r w:rsidRPr="000C6977">
        <w:rPr>
          <w:rFonts w:eastAsia="Roboto"/>
          <w:highlight w:val="white"/>
        </w:rPr>
        <w:t xml:space="preserve"> </w:t>
      </w:r>
      <w:proofErr w:type="spellStart"/>
      <w:r w:rsidRPr="000C6977">
        <w:rPr>
          <w:rFonts w:eastAsia="Roboto"/>
          <w:highlight w:val="white"/>
        </w:rPr>
        <w:t>Report</w:t>
      </w:r>
      <w:proofErr w:type="spellEnd"/>
      <w:r w:rsidRPr="000C6977">
        <w:rPr>
          <w:rFonts w:eastAsia="Roboto"/>
          <w:highlight w:val="white"/>
        </w:rPr>
        <w:t xml:space="preserve">. Žiūrėta gruodžio 28 d. URL: </w:t>
      </w:r>
      <w:hyperlink r:id="rId29">
        <w:r w:rsidRPr="000C6977">
          <w:rPr>
            <w:color w:val="1155CC"/>
            <w:highlight w:val="white"/>
            <w:u w:val="single"/>
          </w:rPr>
          <w:t>https://internetbank.swedbank.se/Co</w:t>
        </w:r>
        <w:r w:rsidRPr="000C6977">
          <w:rPr>
            <w:color w:val="1155CC"/>
            <w:highlight w:val="white"/>
            <w:u w:val="single"/>
          </w:rPr>
          <w:t>nditionsEarchive/download?bankid=1111&amp;id=WEBDOC-PRODE78501331</w:t>
        </w:r>
      </w:hyperlink>
    </w:p>
    <w:p w:rsidR="007B6E0A" w:rsidRPr="000C6977" w:rsidRDefault="007B6E0A">
      <w:pPr>
        <w:pStyle w:val="normal0"/>
        <w:rPr>
          <w:rFonts w:eastAsia="Roboto"/>
          <w:highlight w:val="white"/>
        </w:rPr>
      </w:pPr>
    </w:p>
    <w:sectPr w:rsidR="007B6E0A" w:rsidRPr="000C6977" w:rsidSect="007B6E0A">
      <w:pgSz w:w="11909" w:h="16834"/>
      <w:pgMar w:top="1440" w:right="1440" w:bottom="1440" w:left="1440" w:header="720" w:footer="720" w:gutter="0"/>
      <w:pgNumType w:start="1"/>
      <w:cols w:space="129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Roboto">
    <w:charset w:val="00"/>
    <w:family w:val="auto"/>
    <w:pitch w:val="default"/>
    <w:sig w:usb0="00000000" w:usb1="00000000" w:usb2="00000000" w:usb3="00000000" w:csb0="0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EE011D"/>
    <w:multiLevelType w:val="hybridMultilevel"/>
    <w:tmpl w:val="48A8B48E"/>
    <w:lvl w:ilvl="0" w:tplc="AB020FE6">
      <w:start w:val="2021"/>
      <w:numFmt w:val="bullet"/>
      <w:lvlText w:val=""/>
      <w:lvlJc w:val="left"/>
      <w:pPr>
        <w:ind w:left="720" w:hanging="360"/>
      </w:pPr>
      <w:rPr>
        <w:rFonts w:ascii="Symbol" w:eastAsia="Arial"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nsid w:val="64DD2C33"/>
    <w:multiLevelType w:val="multilevel"/>
    <w:tmpl w:val="2FCAC6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396"/>
  <w:characterSpacingControl w:val="doNotCompress"/>
  <w:compat/>
  <w:rsids>
    <w:rsidRoot w:val="007B6E0A"/>
    <w:rsid w:val="000C6977"/>
    <w:rsid w:val="007B6E0A"/>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lt-LT" w:eastAsia="lt-L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7B6E0A"/>
    <w:pPr>
      <w:keepNext/>
      <w:keepLines/>
      <w:spacing w:before="400" w:after="120"/>
      <w:outlineLvl w:val="0"/>
    </w:pPr>
    <w:rPr>
      <w:sz w:val="40"/>
      <w:szCs w:val="40"/>
    </w:rPr>
  </w:style>
  <w:style w:type="paragraph" w:styleId="Heading2">
    <w:name w:val="heading 2"/>
    <w:basedOn w:val="normal0"/>
    <w:next w:val="normal0"/>
    <w:rsid w:val="007B6E0A"/>
    <w:pPr>
      <w:keepNext/>
      <w:keepLines/>
      <w:spacing w:before="360" w:after="120"/>
      <w:outlineLvl w:val="1"/>
    </w:pPr>
    <w:rPr>
      <w:sz w:val="32"/>
      <w:szCs w:val="32"/>
    </w:rPr>
  </w:style>
  <w:style w:type="paragraph" w:styleId="Heading3">
    <w:name w:val="heading 3"/>
    <w:basedOn w:val="normal0"/>
    <w:next w:val="normal0"/>
    <w:rsid w:val="007B6E0A"/>
    <w:pPr>
      <w:keepNext/>
      <w:keepLines/>
      <w:spacing w:before="320" w:after="80"/>
      <w:outlineLvl w:val="2"/>
    </w:pPr>
    <w:rPr>
      <w:color w:val="434343"/>
      <w:sz w:val="28"/>
      <w:szCs w:val="28"/>
    </w:rPr>
  </w:style>
  <w:style w:type="paragraph" w:styleId="Heading4">
    <w:name w:val="heading 4"/>
    <w:basedOn w:val="normal0"/>
    <w:next w:val="normal0"/>
    <w:rsid w:val="007B6E0A"/>
    <w:pPr>
      <w:keepNext/>
      <w:keepLines/>
      <w:spacing w:before="280" w:after="80"/>
      <w:outlineLvl w:val="3"/>
    </w:pPr>
    <w:rPr>
      <w:color w:val="666666"/>
      <w:sz w:val="24"/>
      <w:szCs w:val="24"/>
    </w:rPr>
  </w:style>
  <w:style w:type="paragraph" w:styleId="Heading5">
    <w:name w:val="heading 5"/>
    <w:basedOn w:val="normal0"/>
    <w:next w:val="normal0"/>
    <w:rsid w:val="007B6E0A"/>
    <w:pPr>
      <w:keepNext/>
      <w:keepLines/>
      <w:spacing w:before="240" w:after="80"/>
      <w:outlineLvl w:val="4"/>
    </w:pPr>
    <w:rPr>
      <w:color w:val="666666"/>
    </w:rPr>
  </w:style>
  <w:style w:type="paragraph" w:styleId="Heading6">
    <w:name w:val="heading 6"/>
    <w:basedOn w:val="normal0"/>
    <w:next w:val="normal0"/>
    <w:rsid w:val="007B6E0A"/>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7B6E0A"/>
  </w:style>
  <w:style w:type="paragraph" w:styleId="Title">
    <w:name w:val="Title"/>
    <w:basedOn w:val="normal0"/>
    <w:next w:val="normal0"/>
    <w:rsid w:val="007B6E0A"/>
    <w:pPr>
      <w:keepNext/>
      <w:keepLines/>
      <w:spacing w:after="60"/>
    </w:pPr>
    <w:rPr>
      <w:sz w:val="52"/>
      <w:szCs w:val="52"/>
    </w:rPr>
  </w:style>
  <w:style w:type="paragraph" w:styleId="Subtitle">
    <w:name w:val="Subtitle"/>
    <w:basedOn w:val="normal0"/>
    <w:next w:val="normal0"/>
    <w:rsid w:val="007B6E0A"/>
    <w:pPr>
      <w:keepNext/>
      <w:keepLines/>
      <w:spacing w:after="320"/>
    </w:pPr>
    <w:rPr>
      <w:color w:val="666666"/>
      <w:sz w:val="30"/>
      <w:szCs w:val="30"/>
    </w:rPr>
  </w:style>
  <w:style w:type="table" w:customStyle="1" w:styleId="a">
    <w:basedOn w:val="TableNormal"/>
    <w:rsid w:val="007B6E0A"/>
    <w:tblPr>
      <w:tblStyleRowBandSize w:val="1"/>
      <w:tblStyleColBandSize w:val="1"/>
      <w:tblInd w:w="0" w:type="dxa"/>
      <w:tblCellMar>
        <w:top w:w="100" w:type="dxa"/>
        <w:left w:w="100" w:type="dxa"/>
        <w:bottom w:w="100" w:type="dxa"/>
        <w:right w:w="100" w:type="dxa"/>
      </w:tblCellMar>
    </w:tblPr>
  </w:style>
  <w:style w:type="table" w:customStyle="1" w:styleId="a0">
    <w:basedOn w:val="TableNormal"/>
    <w:rsid w:val="007B6E0A"/>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0C697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697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fairfinanceguide.org/media/495987/2019-075-ffgi-policy-assessment-2019-methodology-200213-edit-200709.pdf" TargetMode="External"/><Relationship Id="rId13" Type="http://schemas.openxmlformats.org/officeDocument/2006/relationships/hyperlink" Target="https://www.cblgroup.com/files/policy/ilgtspejas_un_iesaistisanas_politika_en.pdf" TargetMode="External"/><Relationship Id="rId18" Type="http://schemas.openxmlformats.org/officeDocument/2006/relationships/hyperlink" Target="https://sb.lt/en/about/info/corruption-prevention" TargetMode="External"/><Relationship Id="rId26" Type="http://schemas.openxmlformats.org/officeDocument/2006/relationships/hyperlink" Target="https://online.swedbank.se/ConditionsEarchive/download?bankid=1111&amp;id=WEBDOC-PRODE54276546" TargetMode="External"/><Relationship Id="rId3" Type="http://schemas.openxmlformats.org/officeDocument/2006/relationships/settings" Target="settings.xml"/><Relationship Id="rId21" Type="http://schemas.openxmlformats.org/officeDocument/2006/relationships/hyperlink" Target="https://www.swedbank.com/sustainability/strategy-and-framework/policies/anti-bribery-corruption-policy.html" TargetMode="External"/><Relationship Id="rId7" Type="http://schemas.openxmlformats.org/officeDocument/2006/relationships/hyperlink" Target="https://fairfinanceguide.org/media/495987/2019-075-ffgi-policy-assessment-2019-methodology-200213-edit-200709.pdf" TargetMode="External"/><Relationship Id="rId12" Type="http://schemas.openxmlformats.org/officeDocument/2006/relationships/hyperlink" Target="https://sb.lt/lt/apie/struktura-ir-valdymas/banko-stebetojutaryba" TargetMode="External"/><Relationship Id="rId17" Type="http://schemas.openxmlformats.org/officeDocument/2006/relationships/hyperlink" Target="https://www.cdp.net/en/responses?utf8=%E2%9C%93&amp;queries%5Bname%5D=%C5%A0iauli%C5%B3+bankas" TargetMode="External"/><Relationship Id="rId25" Type="http://schemas.openxmlformats.org/officeDocument/2006/relationships/hyperlink" Target="https://online.swedbank.se/ConditionsEarchive/download?bankid=1111&amp;id=WEBDOC-PPE1341739" TargetMode="External"/><Relationship Id="rId2" Type="http://schemas.openxmlformats.org/officeDocument/2006/relationships/styles" Target="styles.xml"/><Relationship Id="rId16" Type="http://schemas.openxmlformats.org/officeDocument/2006/relationships/hyperlink" Target="https://www.luminor.lt/en/corporate-social-responsibility-luminor" TargetMode="External"/><Relationship Id="rId20" Type="http://schemas.openxmlformats.org/officeDocument/2006/relationships/hyperlink" Target="https://sb.lt/uploads/media/60656f6926b75/annual-2020.pdf" TargetMode="External"/><Relationship Id="rId29" Type="http://schemas.openxmlformats.org/officeDocument/2006/relationships/hyperlink" Target="https://internetbank.swedbank.se/ConditionsEarchive/download?bankid=1111&amp;id=WEBDOC-PRODE78501331" TargetMode="External"/><Relationship Id="rId1" Type="http://schemas.openxmlformats.org/officeDocument/2006/relationships/numbering" Target="numbering.xml"/><Relationship Id="rId6" Type="http://schemas.openxmlformats.org/officeDocument/2006/relationships/hyperlink" Target="https://fairfinanceguide.org/ff-international/home/" TargetMode="External"/><Relationship Id="rId11" Type="http://schemas.openxmlformats.org/officeDocument/2006/relationships/hyperlink" Target="https://webapp.sebgroup.com/mb/mblib.nsf/alldocsbyunid/4B354120B27F6AD5C12586B100358F87/$FILE/code_of_conduct_for_suppliers_to_seb_group_2021.pdf" TargetMode="External"/><Relationship Id="rId24" Type="http://schemas.openxmlformats.org/officeDocument/2006/relationships/hyperlink" Target="https://online.swedbank.se/ConditionsEarchive/download?bankid=1111&amp;id=WEBDOC-PPE1341666" TargetMode="External"/><Relationship Id="rId5" Type="http://schemas.openxmlformats.org/officeDocument/2006/relationships/image" Target="media/image1.png"/><Relationship Id="rId15" Type="http://schemas.openxmlformats.org/officeDocument/2006/relationships/hyperlink" Target="https://www.cblam.lv/en/sustainability/" TargetMode="External"/><Relationship Id="rId23" Type="http://schemas.openxmlformats.org/officeDocument/2006/relationships/hyperlink" Target="https://internetbank.swedbank.se/ConditionsEarchive/download?bankid=1111&amp;id=WEBDOC-PRODE71506187" TargetMode="External"/><Relationship Id="rId28" Type="http://schemas.openxmlformats.org/officeDocument/2006/relationships/hyperlink" Target="https://online.swedbank.se/ConditionsEarchive/download?bankid=1111&amp;id=WEBDOC-PPE1340653" TargetMode="External"/><Relationship Id="rId10" Type="http://schemas.openxmlformats.org/officeDocument/2006/relationships/hyperlink" Target="https://webapp.sebgroup.com/mb/mblib.nsf/alldocsbyunid/AA58A90D2F57C7F7C12586B1002E47CA/$FILE/sector_policy_mining_and_metals.pdf" TargetMode="External"/><Relationship Id="rId19" Type="http://schemas.openxmlformats.org/officeDocument/2006/relationships/hyperlink" Target="https://sb.lt/lt/rasykite/paramos-pasiulymai"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sebgroup.com/sustainability/our-impact/our-material-impact-areas/our-approach-to-human-rights" TargetMode="External"/><Relationship Id="rId14" Type="http://schemas.openxmlformats.org/officeDocument/2006/relationships/hyperlink" Target="https://www.cblgroup.com/files/pdf/risk-report-2020-q4-en.pdf" TargetMode="External"/><Relationship Id="rId22" Type="http://schemas.openxmlformats.org/officeDocument/2006/relationships/hyperlink" Target="https://www.swedbank.com/sustainability/strategy-and-framework/policies/policy-aml-and-counter-terrorist-financing.html" TargetMode="External"/><Relationship Id="rId27" Type="http://schemas.openxmlformats.org/officeDocument/2006/relationships/hyperlink" Target="https://online.swedbank.se/ConditionsEarchive/download?bankid=1111&amp;id=WEBDOC-PPE1341704"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24252</Words>
  <Characters>13825</Characters>
  <Application>Microsoft Office Word</Application>
  <DocSecurity>0</DocSecurity>
  <Lines>115</Lines>
  <Paragraphs>76</Paragraphs>
  <ScaleCrop>false</ScaleCrop>
  <Company/>
  <LinksUpToDate>false</LinksUpToDate>
  <CharactersWithSpaces>38001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Kestutis</cp:lastModifiedBy>
  <cp:revision>2</cp:revision>
  <dcterms:created xsi:type="dcterms:W3CDTF">2021-12-29T07:49:00Z</dcterms:created>
  <dcterms:modified xsi:type="dcterms:W3CDTF">2021-12-29T07:56:00Z</dcterms:modified>
</cp:coreProperties>
</file>