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A2F88" w14:textId="77777777" w:rsidR="00086DA5" w:rsidRDefault="00E3328D">
      <w:pPr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Pranešimas žiniasklaidai</w:t>
      </w:r>
    </w:p>
    <w:p w14:paraId="467E3226" w14:textId="77777777" w:rsidR="00086DA5" w:rsidRDefault="00E3328D">
      <w:pPr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2022 kovo </w:t>
      </w:r>
      <w:r>
        <w:rPr>
          <w:i/>
          <w:sz w:val="22"/>
          <w:szCs w:val="22"/>
        </w:rPr>
        <w:t>10</w:t>
      </w:r>
      <w:r>
        <w:rPr>
          <w:b/>
          <w:i/>
          <w:color w:val="000000"/>
          <w:sz w:val="22"/>
          <w:szCs w:val="22"/>
        </w:rPr>
        <w:t xml:space="preserve"> </w:t>
      </w:r>
      <w:r>
        <w:rPr>
          <w:i/>
          <w:color w:val="000000"/>
          <w:sz w:val="22"/>
          <w:szCs w:val="22"/>
        </w:rPr>
        <w:t xml:space="preserve">d. </w:t>
      </w:r>
    </w:p>
    <w:p w14:paraId="7256A90E" w14:textId="77777777" w:rsidR="00086DA5" w:rsidRDefault="00086DA5">
      <w:pPr>
        <w:rPr>
          <w:b/>
          <w:color w:val="000000"/>
          <w:sz w:val="22"/>
          <w:szCs w:val="22"/>
        </w:rPr>
      </w:pPr>
    </w:p>
    <w:p w14:paraId="01A06258" w14:textId="77777777" w:rsidR="00086DA5" w:rsidRDefault="00086DA5">
      <w:pPr>
        <w:rPr>
          <w:b/>
          <w:color w:val="000000"/>
          <w:sz w:val="22"/>
          <w:szCs w:val="22"/>
        </w:rPr>
      </w:pPr>
    </w:p>
    <w:p w14:paraId="00E97EF2" w14:textId="77777777" w:rsidR="00086DA5" w:rsidRDefault="00E3328D">
      <w:pPr>
        <w:spacing w:after="16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Išaugus būtinųjų prekių ir paslaugų kainoms, ūkininkai ieško papildomų apyvartinių lėšų</w:t>
      </w:r>
    </w:p>
    <w:p w14:paraId="18B7CD81" w14:textId="77777777" w:rsidR="00086DA5" w:rsidRDefault="00E3328D">
      <w:pPr>
        <w:spacing w:after="160" w:line="259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Augant įvairių žaliavų, prekių ir paslaugų kainoms, viena </w:t>
      </w:r>
      <w:proofErr w:type="spellStart"/>
      <w:r>
        <w:rPr>
          <w:b/>
          <w:sz w:val="22"/>
          <w:szCs w:val="22"/>
        </w:rPr>
        <w:t>pažeidžiamiausių</w:t>
      </w:r>
      <w:proofErr w:type="spellEnd"/>
      <w:r>
        <w:rPr>
          <w:b/>
          <w:sz w:val="22"/>
          <w:szCs w:val="22"/>
        </w:rPr>
        <w:t xml:space="preserve"> verslų grupių – smulkieji ir vidutiniai ūkininkai bei žemdirbiai. Poros iš jiems aktualiausių prekių grupių – trąšų ir kuro – kainos per pastaruosius metus drastiškai išaugo. Verslo</w:t>
      </w:r>
      <w:r>
        <w:rPr>
          <w:b/>
          <w:sz w:val="22"/>
          <w:szCs w:val="22"/>
        </w:rPr>
        <w:t xml:space="preserve"> finansuotojai teigia, kad šiuo metu ūkininkai linkę persiorientuoti iš verslo plėtros į jo išlaikymą.</w:t>
      </w:r>
    </w:p>
    <w:p w14:paraId="5E5386B1" w14:textId="77777777" w:rsidR="00086DA5" w:rsidRDefault="00E3328D">
      <w:pPr>
        <w:spacing w:after="160"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Kainų lyginimo portalo </w:t>
      </w:r>
      <w:proofErr w:type="spellStart"/>
      <w:r>
        <w:rPr>
          <w:sz w:val="22"/>
          <w:szCs w:val="22"/>
        </w:rPr>
        <w:t>Pricer.lt</w:t>
      </w:r>
      <w:proofErr w:type="spellEnd"/>
      <w:r>
        <w:rPr>
          <w:sz w:val="22"/>
          <w:szCs w:val="22"/>
        </w:rPr>
        <w:t xml:space="preserve"> duomenimis, nuo 2021-ųjų iki šių metų vasario didmeninės benzino ir dyzelino kainos Lietuvoje išaugo maždaug trečdaliu. </w:t>
      </w:r>
      <w:r>
        <w:rPr>
          <w:sz w:val="22"/>
          <w:szCs w:val="22"/>
        </w:rPr>
        <w:t>Tuo tarpu per pastaruosius 18 mėnesių trąšų kainos padvigubėjo ir nuo karo Ukrainoje pradžios taip pat pastebimai šoktelėjo, rodo „</w:t>
      </w:r>
      <w:proofErr w:type="spellStart"/>
      <w:r>
        <w:rPr>
          <w:sz w:val="22"/>
          <w:szCs w:val="22"/>
        </w:rPr>
        <w:t>Gro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Intelligence</w:t>
      </w:r>
      <w:proofErr w:type="spellEnd"/>
      <w:r>
        <w:rPr>
          <w:sz w:val="22"/>
          <w:szCs w:val="22"/>
        </w:rPr>
        <w:t>“ duomenys.</w:t>
      </w:r>
    </w:p>
    <w:p w14:paraId="45632807" w14:textId="77777777" w:rsidR="00086DA5" w:rsidRDefault="00E3328D">
      <w:pPr>
        <w:spacing w:after="160"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>„Jau praėjusiais metais ir pirmuosius du šių metų mėnesius stebėjome kainų šuolius, ypač skaudžia</w:t>
      </w:r>
      <w:r>
        <w:rPr>
          <w:sz w:val="22"/>
          <w:szCs w:val="22"/>
        </w:rPr>
        <w:t xml:space="preserve">i paveikiančius smulkius ir vidutinius ūkininkus. Todėl šiuo metu dažno ūkio plėtra yra prislopusi. Tai pastebime ir dėl pakitusių ūkininkų veiklos finansavimo poreikių. Matome, kad užklausų dėl į verslo plėtrą orientuotų finansavimo priemonių, tokių kaip </w:t>
      </w:r>
      <w:r>
        <w:rPr>
          <w:sz w:val="22"/>
          <w:szCs w:val="22"/>
        </w:rPr>
        <w:t xml:space="preserve">lizingas naujai ūkinei technikai įsigyti, gauname kiek mažiau“, – komentuoja nebankinio finansavimo technologijų platformos „SME </w:t>
      </w:r>
      <w:proofErr w:type="spellStart"/>
      <w:r>
        <w:rPr>
          <w:sz w:val="22"/>
          <w:szCs w:val="22"/>
        </w:rPr>
        <w:t>Finance</w:t>
      </w:r>
      <w:proofErr w:type="spellEnd"/>
      <w:r>
        <w:rPr>
          <w:sz w:val="22"/>
          <w:szCs w:val="22"/>
        </w:rPr>
        <w:t>“ projektų vadovas Audrius Česnakas.</w:t>
      </w:r>
    </w:p>
    <w:p w14:paraId="0803701C" w14:textId="77777777" w:rsidR="00086DA5" w:rsidRDefault="00E3328D">
      <w:pPr>
        <w:spacing w:after="160" w:line="259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Apyvartines lėšas ūkininkai panaudoja įvairiai</w:t>
      </w:r>
    </w:p>
    <w:p w14:paraId="06F0944D" w14:textId="77777777" w:rsidR="00086DA5" w:rsidRDefault="00E3328D">
      <w:pPr>
        <w:spacing w:after="160"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>Finansavimo eksperto teigimu, šiuo m</w:t>
      </w:r>
      <w:r>
        <w:rPr>
          <w:sz w:val="22"/>
          <w:szCs w:val="22"/>
        </w:rPr>
        <w:t>etu smulkiems ir vidutiniams ūkininkams kur kas aktualiau išlaikyti verslą. Esminis būdas, kaip tai padaryti – palaikyti apyvartą. Verslo išlaikymas ilgainiui sąlygoja jo konkurencingumą rinkoje ir vėliau gali padėti vėl orientuotis į plėtrą.</w:t>
      </w:r>
    </w:p>
    <w:p w14:paraId="5676154E" w14:textId="77777777" w:rsidR="00086DA5" w:rsidRDefault="00E3328D">
      <w:pPr>
        <w:spacing w:after="160"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„Pavyzdžiui, </w:t>
      </w:r>
      <w:r>
        <w:rPr>
          <w:sz w:val="22"/>
          <w:szCs w:val="22"/>
        </w:rPr>
        <w:t>paprastai derlių nuėmę ir realizavę žemdirbiai dalį gautų lėšų atideda kito sezono trąšų įsigijimui. Savo ruožtu, šių trąšų kaina įeina į jau kitų metų derliaus kainą galutiniams vartotojams. Tačiau turint pakankamai apyvartinių lėšų, nespėjusias dar labia</w:t>
      </w:r>
      <w:r>
        <w:rPr>
          <w:sz w:val="22"/>
          <w:szCs w:val="22"/>
        </w:rPr>
        <w:t>u pabrangti trąšas galima įsigyti iš anksto. Tokiu atveju kitų metų derliaus kaina rinkai būtų palankesnė, o ūkis toje rinkoje galėtų pasiūlyti konkurencingesnę produkcijos kainą“, – pavyzdį pateikia A. Česnakas.</w:t>
      </w:r>
    </w:p>
    <w:p w14:paraId="0B1C282E" w14:textId="77777777" w:rsidR="00086DA5" w:rsidRDefault="00E3328D">
      <w:pPr>
        <w:spacing w:after="160"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>Tačiau ne visi ūkiai ir žemdirbiai turi pak</w:t>
      </w:r>
      <w:r>
        <w:rPr>
          <w:sz w:val="22"/>
          <w:szCs w:val="22"/>
        </w:rPr>
        <w:t>ankamai lėšų, kurias gali paskirti išsilaikymo planavimui į priekį ir jiems gali prireikti papildomo finansavimo, pavyzdžiui, paskolos apyvartinėms lėšoms. Vis dėlto, anot A. Česnako, pasinaudoti paskola apyvartinėms lėšomis neretai sutrukdo pernelyg abstr</w:t>
      </w:r>
      <w:r>
        <w:rPr>
          <w:sz w:val="22"/>
          <w:szCs w:val="22"/>
        </w:rPr>
        <w:t xml:space="preserve">aktūs tokios finansavimo priemonės aprašymai ir apibūdinimai. </w:t>
      </w:r>
    </w:p>
    <w:p w14:paraId="523E3431" w14:textId="77777777" w:rsidR="00086DA5" w:rsidRDefault="00E3328D">
      <w:pPr>
        <w:spacing w:after="160"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>„Netrukome pastebėti, kad „apyvartinės lėšos“ ūkininkams mažai ką sako – ir tai yra visiškai normalu, nes apyvartinės lėšos ūkininkams gali apimti labai daug sričių. Ūkininkai apyvartoje esanči</w:t>
      </w:r>
      <w:r>
        <w:rPr>
          <w:sz w:val="22"/>
          <w:szCs w:val="22"/>
        </w:rPr>
        <w:t>as lėšas dažniausiai panaudoja darbo užmokesčiui darbuotojams sumokėti, taip pat, kaip minėta, trąšoms, kurui, sėkloms, technikos detalėms, gyvuliams įsigyti. Žinoma, jos neprivalo tuo apsiriboti. Lėšas galima skirti sandėlio pildymui, papildomiems darbuot</w:t>
      </w:r>
      <w:r>
        <w:rPr>
          <w:sz w:val="22"/>
          <w:szCs w:val="22"/>
        </w:rPr>
        <w:t>ojams samdyti ir panašiai“, – vardija finansavimo ekspertas.</w:t>
      </w:r>
    </w:p>
    <w:p w14:paraId="37652095" w14:textId="77777777" w:rsidR="00086DA5" w:rsidRDefault="00E3328D">
      <w:pPr>
        <w:spacing w:after="160" w:line="259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Ūkininkams svarbus greitis</w:t>
      </w:r>
    </w:p>
    <w:p w14:paraId="3D9FB35E" w14:textId="77777777" w:rsidR="00086DA5" w:rsidRDefault="00E3328D">
      <w:pPr>
        <w:spacing w:after="160" w:line="259" w:lineRule="auto"/>
        <w:jc w:val="both"/>
        <w:rPr>
          <w:sz w:val="22"/>
          <w:szCs w:val="22"/>
          <w:highlight w:val="white"/>
        </w:rPr>
      </w:pPr>
      <w:r>
        <w:rPr>
          <w:sz w:val="22"/>
          <w:szCs w:val="22"/>
        </w:rPr>
        <w:t>Anot finansavimo eksperto, ūkininkams papildomų apyvartinių lėšų dažnai prireikia itin greitai. Tačiau tarp  finansavimo poreikį išreiškusių ūkininkų gajus mitas, kad a</w:t>
      </w:r>
      <w:r>
        <w:rPr>
          <w:sz w:val="22"/>
          <w:szCs w:val="22"/>
        </w:rPr>
        <w:t xml:space="preserve">pyvartinių lėšų finansavimą ūkininkams teikia tik </w:t>
      </w:r>
      <w:r>
        <w:rPr>
          <w:sz w:val="22"/>
          <w:szCs w:val="22"/>
        </w:rPr>
        <w:lastRenderedPageBreak/>
        <w:t>didieji bankai ir kredito unijos. A. Česnakas pabrėžia, kad tai nėra tiesa –</w:t>
      </w:r>
      <w:r>
        <w:rPr>
          <w:sz w:val="22"/>
          <w:szCs w:val="22"/>
          <w:highlight w:val="white"/>
        </w:rPr>
        <w:t xml:space="preserve"> priešingai, daugiausia lengvatinių paskolų nuo COVID-19 nukentėjusiems ūkiams suteikė dvi kredito unijos ir „SME </w:t>
      </w:r>
      <w:proofErr w:type="spellStart"/>
      <w:r>
        <w:rPr>
          <w:sz w:val="22"/>
          <w:szCs w:val="22"/>
          <w:highlight w:val="white"/>
        </w:rPr>
        <w:t>Finance</w:t>
      </w:r>
      <w:proofErr w:type="spellEnd"/>
      <w:r>
        <w:rPr>
          <w:sz w:val="22"/>
          <w:szCs w:val="22"/>
          <w:highlight w:val="white"/>
        </w:rPr>
        <w:t>“.</w:t>
      </w:r>
    </w:p>
    <w:p w14:paraId="32B102AD" w14:textId="77777777" w:rsidR="00086DA5" w:rsidRDefault="00E3328D">
      <w:pPr>
        <w:spacing w:after="160"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>„Dažni</w:t>
      </w:r>
      <w:r>
        <w:rPr>
          <w:sz w:val="22"/>
          <w:szCs w:val="22"/>
        </w:rPr>
        <w:t>ausiai ūkininkams apyvartinių lėšų finansavimo reikia kaip įmanoma greičiau. Todėl reikėtų prisiminti, kad lankstų ir prie sezoniško verslo poreikių prisitaikantį finansavimą siūlo alternatyvūs finansuotojai. Nuo praėjusių metų teikiame išmaniąją paskolą –</w:t>
      </w:r>
      <w:r>
        <w:rPr>
          <w:sz w:val="22"/>
          <w:szCs w:val="22"/>
        </w:rPr>
        <w:t xml:space="preserve"> finansavimui gauti pakanka įmonės apyvartos duomenų, o lėšas gauti galima per parą“, – pasakoja ekspertas.</w:t>
      </w:r>
    </w:p>
    <w:p w14:paraId="4BC08568" w14:textId="77777777" w:rsidR="00086DA5" w:rsidRDefault="00086DA5">
      <w:pPr>
        <w:spacing w:after="160"/>
        <w:jc w:val="both"/>
        <w:rPr>
          <w:b/>
          <w:color w:val="000000"/>
          <w:sz w:val="22"/>
          <w:szCs w:val="22"/>
        </w:rPr>
      </w:pPr>
    </w:p>
    <w:p w14:paraId="33CAC976" w14:textId="77777777" w:rsidR="00086DA5" w:rsidRDefault="00E3328D">
      <w:pPr>
        <w:spacing w:after="160"/>
        <w:jc w:val="both"/>
        <w:rPr>
          <w:rFonts w:ascii="Times New Roman" w:eastAsia="Times New Roman" w:hAnsi="Times New Roman" w:cs="Times New Roman"/>
        </w:rPr>
      </w:pPr>
      <w:r>
        <w:rPr>
          <w:b/>
          <w:color w:val="000000"/>
          <w:sz w:val="22"/>
          <w:szCs w:val="22"/>
        </w:rPr>
        <w:t xml:space="preserve">Apie „SME </w:t>
      </w:r>
      <w:proofErr w:type="spellStart"/>
      <w:r>
        <w:rPr>
          <w:b/>
          <w:color w:val="000000"/>
          <w:sz w:val="22"/>
          <w:szCs w:val="22"/>
        </w:rPr>
        <w:t>Finance</w:t>
      </w:r>
      <w:proofErr w:type="spellEnd"/>
      <w:r>
        <w:rPr>
          <w:b/>
          <w:color w:val="000000"/>
          <w:sz w:val="22"/>
          <w:szCs w:val="22"/>
        </w:rPr>
        <w:t>“ ir „SME bank“</w:t>
      </w:r>
    </w:p>
    <w:p w14:paraId="059F962D" w14:textId="77777777" w:rsidR="00086DA5" w:rsidRDefault="00E3328D">
      <w:pPr>
        <w:spacing w:after="1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2016 m. veiklą pradėjusi lietuviško kapitalo įmonė „SME </w:t>
      </w:r>
      <w:proofErr w:type="spellStart"/>
      <w:r>
        <w:rPr>
          <w:color w:val="000000"/>
          <w:sz w:val="22"/>
          <w:szCs w:val="22"/>
        </w:rPr>
        <w:t>Finance</w:t>
      </w:r>
      <w:proofErr w:type="spellEnd"/>
      <w:r>
        <w:rPr>
          <w:color w:val="000000"/>
          <w:sz w:val="22"/>
          <w:szCs w:val="22"/>
        </w:rPr>
        <w:t>“ šiuo metu yra didžiausia Baltijos šalyse nebankinio finansavimo technologijų platforma, suteikusi finansavim</w:t>
      </w:r>
      <w:r>
        <w:rPr>
          <w:color w:val="000000"/>
          <w:sz w:val="22"/>
          <w:szCs w:val="22"/>
          <w:highlight w:val="white"/>
        </w:rPr>
        <w:t xml:space="preserve">o už daugiau nei </w:t>
      </w:r>
      <w:r>
        <w:rPr>
          <w:sz w:val="22"/>
          <w:szCs w:val="22"/>
          <w:highlight w:val="white"/>
        </w:rPr>
        <w:t>950</w:t>
      </w:r>
      <w:r>
        <w:rPr>
          <w:color w:val="000000"/>
          <w:sz w:val="22"/>
          <w:szCs w:val="22"/>
          <w:highlight w:val="white"/>
        </w:rPr>
        <w:t xml:space="preserve"> mln. eurų. Įmonė kartu su </w:t>
      </w:r>
      <w:proofErr w:type="spellStart"/>
      <w:r>
        <w:rPr>
          <w:color w:val="000000"/>
          <w:sz w:val="22"/>
          <w:szCs w:val="22"/>
          <w:highlight w:val="white"/>
        </w:rPr>
        <w:t>neobanku</w:t>
      </w:r>
      <w:proofErr w:type="spellEnd"/>
      <w:r>
        <w:rPr>
          <w:color w:val="000000"/>
          <w:sz w:val="22"/>
          <w:szCs w:val="22"/>
          <w:highlight w:val="white"/>
        </w:rPr>
        <w:t xml:space="preserve"> „SME Bank“ vienoje ekosiste</w:t>
      </w:r>
      <w:r>
        <w:rPr>
          <w:color w:val="000000"/>
          <w:sz w:val="22"/>
          <w:szCs w:val="22"/>
          <w:highlight w:val="white"/>
        </w:rPr>
        <w:t xml:space="preserve">moje valdo daugiau nei </w:t>
      </w:r>
      <w:r>
        <w:rPr>
          <w:sz w:val="22"/>
          <w:szCs w:val="22"/>
          <w:highlight w:val="white"/>
        </w:rPr>
        <w:t>200</w:t>
      </w:r>
      <w:r>
        <w:rPr>
          <w:color w:val="000000"/>
          <w:sz w:val="22"/>
          <w:szCs w:val="22"/>
          <w:highlight w:val="white"/>
        </w:rPr>
        <w:t xml:space="preserve"> mln. e</w:t>
      </w:r>
      <w:r>
        <w:rPr>
          <w:color w:val="000000"/>
          <w:sz w:val="22"/>
          <w:szCs w:val="22"/>
        </w:rPr>
        <w:t xml:space="preserve">urų finansavimo portfelį. 2020 m. vasario mėn. „SME Bank“ buvo suteikta Europos Centrinio Banko licencija, o oficialiai bankas veiklą pradėjo šių metų birželį. „SME </w:t>
      </w:r>
      <w:proofErr w:type="spellStart"/>
      <w:r>
        <w:rPr>
          <w:color w:val="000000"/>
          <w:sz w:val="22"/>
          <w:szCs w:val="22"/>
        </w:rPr>
        <w:t>Finance</w:t>
      </w:r>
      <w:proofErr w:type="spellEnd"/>
      <w:r>
        <w:rPr>
          <w:color w:val="000000"/>
          <w:sz w:val="22"/>
          <w:szCs w:val="22"/>
        </w:rPr>
        <w:t>“ ekosistema teikia paskolų, lizingo, faktoringo, k</w:t>
      </w:r>
      <w:r>
        <w:rPr>
          <w:color w:val="000000"/>
          <w:sz w:val="22"/>
          <w:szCs w:val="22"/>
        </w:rPr>
        <w:t>redito linijos ir kasdienės bankininkystės paslaugas. </w:t>
      </w:r>
    </w:p>
    <w:p w14:paraId="5650FBD0" w14:textId="77777777" w:rsidR="00086DA5" w:rsidRDefault="00E3328D">
      <w:pPr>
        <w:jc w:val="both"/>
        <w:rPr>
          <w:rFonts w:ascii="Times New Roman" w:eastAsia="Times New Roman" w:hAnsi="Times New Roman" w:cs="Times New Roman"/>
        </w:rPr>
      </w:pPr>
      <w:r>
        <w:rPr>
          <w:b/>
          <w:color w:val="000000"/>
          <w:sz w:val="22"/>
          <w:szCs w:val="22"/>
        </w:rPr>
        <w:t>Kontaktai žiniasklaidai</w:t>
      </w:r>
    </w:p>
    <w:p w14:paraId="7BD92EA1" w14:textId="77777777" w:rsidR="00086DA5" w:rsidRDefault="00E3328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Guoda </w:t>
      </w:r>
      <w:proofErr w:type="spellStart"/>
      <w:r>
        <w:rPr>
          <w:sz w:val="22"/>
          <w:szCs w:val="22"/>
        </w:rPr>
        <w:t>Paužaitė</w:t>
      </w:r>
      <w:proofErr w:type="spellEnd"/>
    </w:p>
    <w:p w14:paraId="55DECF0C" w14:textId="77777777" w:rsidR="00086DA5" w:rsidRDefault="00E3328D">
      <w:pPr>
        <w:jc w:val="both"/>
        <w:rPr>
          <w:sz w:val="22"/>
          <w:szCs w:val="22"/>
        </w:rPr>
      </w:pPr>
      <w:hyperlink r:id="rId7">
        <w:r>
          <w:rPr>
            <w:color w:val="1155CC"/>
            <w:sz w:val="22"/>
            <w:szCs w:val="22"/>
            <w:u w:val="single"/>
          </w:rPr>
          <w:t>guoda.pauzaite@smefinance.lt</w:t>
        </w:r>
      </w:hyperlink>
    </w:p>
    <w:p w14:paraId="5FB9E33D" w14:textId="77777777" w:rsidR="00086DA5" w:rsidRDefault="00E3328D">
      <w:pPr>
        <w:jc w:val="both"/>
        <w:rPr>
          <w:sz w:val="22"/>
          <w:szCs w:val="22"/>
        </w:rPr>
      </w:pPr>
      <w:r>
        <w:rPr>
          <w:sz w:val="22"/>
          <w:szCs w:val="22"/>
        </w:rPr>
        <w:t>+370 651 29507</w:t>
      </w:r>
    </w:p>
    <w:sectPr w:rsidR="00086DA5">
      <w:headerReference w:type="default" r:id="rId8"/>
      <w:pgSz w:w="11906" w:h="16838"/>
      <w:pgMar w:top="1440" w:right="991" w:bottom="1440" w:left="1440" w:header="708" w:footer="708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349A6" w14:textId="77777777" w:rsidR="00E3328D" w:rsidRDefault="00E3328D">
      <w:r>
        <w:separator/>
      </w:r>
    </w:p>
  </w:endnote>
  <w:endnote w:type="continuationSeparator" w:id="0">
    <w:p w14:paraId="471B6876" w14:textId="77777777" w:rsidR="00E3328D" w:rsidRDefault="00E33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D1737" w14:textId="77777777" w:rsidR="00E3328D" w:rsidRDefault="00E3328D">
      <w:r>
        <w:separator/>
      </w:r>
    </w:p>
  </w:footnote>
  <w:footnote w:type="continuationSeparator" w:id="0">
    <w:p w14:paraId="2588729D" w14:textId="77777777" w:rsidR="00E3328D" w:rsidRDefault="00E33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CB558" w14:textId="77777777" w:rsidR="00086DA5" w:rsidRDefault="00E332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noProof/>
        <w:color w:val="000000"/>
      </w:rPr>
      <w:drawing>
        <wp:inline distT="0" distB="0" distL="0" distR="0" wp14:anchorId="20D05440" wp14:editId="733CD158">
          <wp:extent cx="3131105" cy="677145"/>
          <wp:effectExtent l="0" t="0" r="0" b="0"/>
          <wp:docPr id="8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31105" cy="6771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DA5"/>
    <w:rsid w:val="00086DA5"/>
    <w:rsid w:val="003E2176"/>
    <w:rsid w:val="00E3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8A92A"/>
  <w15:docId w15:val="{0A5C82F8-AFE9-423F-870F-6B2497923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4F31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664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4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4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4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48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3060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060B"/>
  </w:style>
  <w:style w:type="paragraph" w:styleId="Footer">
    <w:name w:val="footer"/>
    <w:basedOn w:val="Normal"/>
    <w:link w:val="FooterChar"/>
    <w:uiPriority w:val="99"/>
    <w:unhideWhenUsed/>
    <w:rsid w:val="00C3060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060B"/>
  </w:style>
  <w:style w:type="character" w:styleId="Hyperlink">
    <w:name w:val="Hyperlink"/>
    <w:basedOn w:val="DefaultParagraphFont"/>
    <w:uiPriority w:val="99"/>
    <w:unhideWhenUsed/>
    <w:rsid w:val="00AC29E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2A35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C07D5E"/>
    <w:rPr>
      <w:b/>
      <w:bCs/>
    </w:rPr>
  </w:style>
  <w:style w:type="paragraph" w:styleId="ListParagraph">
    <w:name w:val="List Paragraph"/>
    <w:basedOn w:val="Normal"/>
    <w:uiPriority w:val="34"/>
    <w:qFormat/>
    <w:rsid w:val="000552D3"/>
    <w:pPr>
      <w:ind w:left="720"/>
      <w:contextualSpacing/>
    </w:pPr>
  </w:style>
  <w:style w:type="paragraph" w:customStyle="1" w:styleId="gmail-m-5970264087303716836msolistparagraph">
    <w:name w:val="gmail-m_-5970264087303716836msolistparagraph"/>
    <w:basedOn w:val="Normal"/>
    <w:rsid w:val="000A0106"/>
    <w:pPr>
      <w:spacing w:before="100" w:beforeAutospacing="1" w:after="100" w:afterAutospacing="1"/>
    </w:pPr>
    <w:rPr>
      <w:rFonts w:eastAsiaTheme="minorHAnsi"/>
      <w:sz w:val="22"/>
      <w:szCs w:val="22"/>
      <w:lang w:val="en-US"/>
    </w:rPr>
  </w:style>
  <w:style w:type="paragraph" w:customStyle="1" w:styleId="m-1933323346553752404msolistparagraph">
    <w:name w:val="m_-1933323346553752404msolistparagraph"/>
    <w:basedOn w:val="Normal"/>
    <w:rsid w:val="00720D1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2A79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uoda.pauzaite@smefinance.l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lrtxZ+9lOMeQ9gwI0h0gmnypfQ==">AMUW2mW5cUotCOrd8ik+tf6Kjd2AbNGuG61Q8427Ygvd8UH6jJtYSFrhEXpcVVbv2SnadFFVGF/har1QFjEkmo8WMH9WSFp6iKQo7lk4iwenHTypK/SUQqU=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2906</Words>
  <Characters>1657</Characters>
  <Application>Microsoft Office Word</Application>
  <DocSecurity>0</DocSecurity>
  <Lines>13</Lines>
  <Paragraphs>9</Paragraphs>
  <ScaleCrop>false</ScaleCrop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Kornelija Kunigonytė</dc:creator>
  <cp:lastModifiedBy>greta.j@coagency.lt</cp:lastModifiedBy>
  <cp:revision>2</cp:revision>
  <dcterms:created xsi:type="dcterms:W3CDTF">2022-03-10T07:41:00Z</dcterms:created>
  <dcterms:modified xsi:type="dcterms:W3CDTF">2022-03-10T07:41:00Z</dcterms:modified>
</cp:coreProperties>
</file>