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91D97B" w14:textId="77777777" w:rsidR="002D7AE2" w:rsidRPr="003450A1" w:rsidRDefault="002D7AE2" w:rsidP="003450A1">
      <w:pPr>
        <w:spacing w:after="120"/>
        <w:jc w:val="right"/>
        <w:rPr>
          <w:rFonts w:ascii="Times New Roman" w:eastAsia="Times New Roman" w:hAnsi="Times New Roman" w:cs="Times New Roman"/>
          <w:b/>
          <w:bCs/>
          <w:i/>
          <w:iCs/>
          <w:sz w:val="24"/>
          <w:szCs w:val="24"/>
          <w:lang w:val="lt-LT"/>
        </w:rPr>
      </w:pPr>
      <w:r w:rsidRPr="003450A1">
        <w:rPr>
          <w:rFonts w:ascii="Times New Roman" w:hAnsi="Times New Roman" w:cs="Times New Roman"/>
          <w:b/>
          <w:bCs/>
          <w:i/>
          <w:iCs/>
          <w:sz w:val="24"/>
          <w:szCs w:val="24"/>
          <w:lang w:val="lt-LT"/>
        </w:rPr>
        <w:t>Pranešimas žiniasklaidai</w:t>
      </w:r>
    </w:p>
    <w:p w14:paraId="2D5108B2" w14:textId="18B57BED" w:rsidR="002D7AE2" w:rsidRPr="003450A1" w:rsidRDefault="002D7AE2" w:rsidP="003450A1">
      <w:pPr>
        <w:spacing w:after="120"/>
        <w:jc w:val="right"/>
        <w:rPr>
          <w:rFonts w:ascii="Times New Roman" w:eastAsia="Times New Roman" w:hAnsi="Times New Roman" w:cs="Times New Roman"/>
          <w:b/>
          <w:bCs/>
          <w:i/>
          <w:iCs/>
          <w:sz w:val="24"/>
          <w:szCs w:val="24"/>
        </w:rPr>
      </w:pPr>
      <w:r w:rsidRPr="003450A1">
        <w:rPr>
          <w:rFonts w:ascii="Times New Roman" w:hAnsi="Times New Roman" w:cs="Times New Roman"/>
          <w:b/>
          <w:bCs/>
          <w:i/>
          <w:iCs/>
          <w:sz w:val="24"/>
          <w:szCs w:val="24"/>
          <w:lang w:val="lt-LT"/>
        </w:rPr>
        <w:t>2022-</w:t>
      </w:r>
      <w:r w:rsidRPr="003450A1">
        <w:rPr>
          <w:rFonts w:ascii="Times New Roman" w:hAnsi="Times New Roman" w:cs="Times New Roman"/>
          <w:b/>
          <w:bCs/>
          <w:i/>
          <w:iCs/>
          <w:sz w:val="24"/>
          <w:szCs w:val="24"/>
        </w:rPr>
        <w:t>09-02</w:t>
      </w:r>
    </w:p>
    <w:p w14:paraId="44281283" w14:textId="105D6564" w:rsidR="00752945" w:rsidRPr="003450A1" w:rsidRDefault="00752945" w:rsidP="003450A1">
      <w:pPr>
        <w:spacing w:after="120"/>
        <w:rPr>
          <w:rFonts w:ascii="Times New Roman" w:hAnsi="Times New Roman" w:cs="Times New Roman"/>
          <w:sz w:val="24"/>
          <w:szCs w:val="24"/>
          <w:lang w:val="lt-LT"/>
        </w:rPr>
      </w:pPr>
    </w:p>
    <w:p w14:paraId="3518C2B4" w14:textId="5DA5A7DC" w:rsidR="002D7AE2" w:rsidRPr="003450A1" w:rsidRDefault="002D7AE2" w:rsidP="003450A1">
      <w:pPr>
        <w:spacing w:after="120"/>
        <w:rPr>
          <w:rFonts w:ascii="Times New Roman" w:hAnsi="Times New Roman" w:cs="Times New Roman"/>
          <w:b/>
          <w:bCs/>
          <w:sz w:val="24"/>
          <w:szCs w:val="24"/>
          <w:lang w:val="lt-LT"/>
        </w:rPr>
      </w:pPr>
      <w:r w:rsidRPr="003450A1">
        <w:rPr>
          <w:rFonts w:ascii="Times New Roman" w:hAnsi="Times New Roman" w:cs="Times New Roman"/>
          <w:b/>
          <w:bCs/>
          <w:sz w:val="24"/>
          <w:szCs w:val="24"/>
          <w:lang w:val="lt-LT"/>
        </w:rPr>
        <w:t>Farmakologas: „</w:t>
      </w:r>
      <w:r w:rsidR="003A58A2">
        <w:rPr>
          <w:rFonts w:ascii="Times New Roman" w:hAnsi="Times New Roman" w:cs="Times New Roman"/>
          <w:b/>
          <w:bCs/>
          <w:sz w:val="24"/>
          <w:szCs w:val="24"/>
          <w:lang w:val="lt-LT"/>
        </w:rPr>
        <w:t>N</w:t>
      </w:r>
      <w:r w:rsidRPr="003450A1">
        <w:rPr>
          <w:rFonts w:ascii="Times New Roman" w:hAnsi="Times New Roman" w:cs="Times New Roman"/>
          <w:b/>
          <w:bCs/>
          <w:sz w:val="24"/>
          <w:szCs w:val="24"/>
          <w:lang w:val="lt-LT"/>
        </w:rPr>
        <w:t>aujai rekomenduotos vakcinos skirtos COVID-19 atmainoms, kurių beveik nebeliko</w:t>
      </w:r>
      <w:r w:rsidR="003A58A2">
        <w:rPr>
          <w:rFonts w:ascii="Times New Roman" w:hAnsi="Times New Roman" w:cs="Times New Roman"/>
          <w:b/>
          <w:bCs/>
          <w:sz w:val="24"/>
          <w:szCs w:val="24"/>
          <w:lang w:val="lt-LT"/>
        </w:rPr>
        <w:t>?</w:t>
      </w:r>
      <w:r w:rsidRPr="003450A1">
        <w:rPr>
          <w:rFonts w:ascii="Times New Roman" w:hAnsi="Times New Roman" w:cs="Times New Roman"/>
          <w:b/>
          <w:bCs/>
          <w:sz w:val="24"/>
          <w:szCs w:val="24"/>
          <w:lang w:val="lt-LT"/>
        </w:rPr>
        <w:t>“</w:t>
      </w:r>
    </w:p>
    <w:p w14:paraId="11F25420" w14:textId="43F38A34" w:rsidR="002D7AE2" w:rsidRPr="003450A1" w:rsidRDefault="00CC1063" w:rsidP="003450A1">
      <w:pPr>
        <w:spacing w:after="120"/>
        <w:rPr>
          <w:rFonts w:ascii="Times New Roman" w:hAnsi="Times New Roman" w:cs="Times New Roman"/>
          <w:b/>
          <w:bCs/>
          <w:i/>
          <w:iCs/>
          <w:sz w:val="24"/>
          <w:szCs w:val="24"/>
          <w:lang w:val="lt-LT"/>
        </w:rPr>
      </w:pPr>
      <w:r w:rsidRPr="003450A1">
        <w:rPr>
          <w:rFonts w:ascii="Times New Roman" w:hAnsi="Times New Roman" w:cs="Times New Roman"/>
          <w:i/>
          <w:iCs/>
          <w:sz w:val="24"/>
          <w:szCs w:val="24"/>
          <w:lang w:val="lt-LT"/>
        </w:rPr>
        <w:t xml:space="preserve">Klinikinių </w:t>
      </w:r>
      <w:bookmarkStart w:id="0" w:name="_Hlk113015526"/>
      <w:r>
        <w:rPr>
          <w:rFonts w:ascii="Times New Roman" w:hAnsi="Times New Roman" w:cs="Times New Roman"/>
          <w:i/>
          <w:iCs/>
          <w:sz w:val="24"/>
          <w:szCs w:val="24"/>
          <w:lang w:val="lt-LT"/>
        </w:rPr>
        <w:t xml:space="preserve">saugumo ir veiksmingumo </w:t>
      </w:r>
      <w:bookmarkEnd w:id="0"/>
      <w:r w:rsidR="002D7AE2" w:rsidRPr="003450A1">
        <w:rPr>
          <w:rFonts w:ascii="Times New Roman" w:hAnsi="Times New Roman" w:cs="Times New Roman"/>
          <w:i/>
          <w:iCs/>
          <w:sz w:val="24"/>
          <w:szCs w:val="24"/>
          <w:lang w:val="lt-LT"/>
        </w:rPr>
        <w:t xml:space="preserve">duomenų nesulaukęs Europos vaistų agentūros Žmonėms skirtų vaistų komitetas (CHMP) </w:t>
      </w:r>
      <w:r>
        <w:rPr>
          <w:rFonts w:ascii="Times New Roman" w:hAnsi="Times New Roman" w:cs="Times New Roman"/>
          <w:i/>
          <w:iCs/>
          <w:sz w:val="24"/>
          <w:szCs w:val="24"/>
          <w:lang w:val="lt-LT"/>
        </w:rPr>
        <w:t xml:space="preserve">siūlo </w:t>
      </w:r>
      <w:r w:rsidR="002D7AE2" w:rsidRPr="003450A1">
        <w:rPr>
          <w:rFonts w:ascii="Times New Roman" w:hAnsi="Times New Roman" w:cs="Times New Roman"/>
          <w:i/>
          <w:iCs/>
          <w:sz w:val="24"/>
          <w:szCs w:val="24"/>
          <w:lang w:val="lt-LT"/>
        </w:rPr>
        <w:t>tvirtinti stiprinančiąją dozę, sukurtą Omicron atmainai, kurios beveik nebeliko.</w:t>
      </w:r>
    </w:p>
    <w:p w14:paraId="18921636" w14:textId="77777777" w:rsidR="002D7AE2" w:rsidRPr="003450A1" w:rsidRDefault="002D7AE2" w:rsidP="003450A1">
      <w:pPr>
        <w:spacing w:after="120"/>
        <w:rPr>
          <w:rFonts w:ascii="Times New Roman" w:hAnsi="Times New Roman" w:cs="Times New Roman"/>
          <w:sz w:val="24"/>
          <w:szCs w:val="24"/>
          <w:lang w:val="lt-LT"/>
        </w:rPr>
      </w:pPr>
      <w:r w:rsidRPr="003450A1">
        <w:rPr>
          <w:rFonts w:ascii="Times New Roman" w:hAnsi="Times New Roman" w:cs="Times New Roman"/>
          <w:sz w:val="24"/>
          <w:szCs w:val="24"/>
          <w:lang w:val="lt-LT"/>
        </w:rPr>
        <w:t xml:space="preserve">CHMP rekomendavo registruoti dvi vakcinas, pritaikytas platesnei apsaugai nuo COVID-19. </w:t>
      </w:r>
    </w:p>
    <w:p w14:paraId="376ACD24" w14:textId="77777777" w:rsidR="002D7AE2" w:rsidRPr="003450A1" w:rsidRDefault="002D7AE2" w:rsidP="003450A1">
      <w:pPr>
        <w:spacing w:after="120"/>
        <w:rPr>
          <w:rFonts w:ascii="Times New Roman" w:hAnsi="Times New Roman" w:cs="Times New Roman"/>
          <w:sz w:val="24"/>
          <w:szCs w:val="24"/>
          <w:lang w:val="lt-LT"/>
        </w:rPr>
      </w:pPr>
      <w:r w:rsidRPr="003450A1">
        <w:rPr>
          <w:rFonts w:ascii="Times New Roman" w:hAnsi="Times New Roman" w:cs="Times New Roman"/>
          <w:sz w:val="24"/>
          <w:szCs w:val="24"/>
          <w:lang w:val="lt-LT"/>
        </w:rPr>
        <w:t xml:space="preserve">Šios vakcinos yra originalių vakcinų </w:t>
      </w:r>
      <w:r w:rsidRPr="003450A1">
        <w:rPr>
          <w:rFonts w:ascii="Times New Roman" w:hAnsi="Times New Roman" w:cs="Times New Roman"/>
          <w:i/>
          <w:iCs/>
          <w:sz w:val="24"/>
          <w:szCs w:val="24"/>
          <w:lang w:val="lt-LT"/>
        </w:rPr>
        <w:t>Comirnaty</w:t>
      </w:r>
      <w:r w:rsidRPr="003450A1">
        <w:rPr>
          <w:rFonts w:ascii="Times New Roman" w:hAnsi="Times New Roman" w:cs="Times New Roman"/>
          <w:sz w:val="24"/>
          <w:szCs w:val="24"/>
          <w:lang w:val="lt-LT"/>
        </w:rPr>
        <w:t xml:space="preserve"> (</w:t>
      </w:r>
      <w:r w:rsidRPr="003450A1">
        <w:rPr>
          <w:rFonts w:ascii="Times New Roman" w:hAnsi="Times New Roman" w:cs="Times New Roman"/>
          <w:i/>
          <w:iCs/>
          <w:sz w:val="24"/>
          <w:szCs w:val="24"/>
          <w:lang w:val="lt-LT"/>
        </w:rPr>
        <w:t>Pfizer/BioNTech</w:t>
      </w:r>
      <w:r w:rsidRPr="003450A1">
        <w:rPr>
          <w:rFonts w:ascii="Times New Roman" w:hAnsi="Times New Roman" w:cs="Times New Roman"/>
          <w:sz w:val="24"/>
          <w:szCs w:val="24"/>
          <w:lang w:val="lt-LT"/>
        </w:rPr>
        <w:t xml:space="preserve">) ir </w:t>
      </w:r>
      <w:r w:rsidRPr="003450A1">
        <w:rPr>
          <w:rFonts w:ascii="Times New Roman" w:hAnsi="Times New Roman" w:cs="Times New Roman"/>
          <w:i/>
          <w:iCs/>
          <w:sz w:val="24"/>
          <w:szCs w:val="24"/>
          <w:lang w:val="lt-LT"/>
        </w:rPr>
        <w:t>Spikevax</w:t>
      </w:r>
      <w:r w:rsidRPr="003450A1">
        <w:rPr>
          <w:rFonts w:ascii="Times New Roman" w:hAnsi="Times New Roman" w:cs="Times New Roman"/>
          <w:sz w:val="24"/>
          <w:szCs w:val="24"/>
          <w:lang w:val="lt-LT"/>
        </w:rPr>
        <w:t xml:space="preserve"> (</w:t>
      </w:r>
      <w:r w:rsidRPr="003450A1">
        <w:rPr>
          <w:rFonts w:ascii="Times New Roman" w:hAnsi="Times New Roman" w:cs="Times New Roman"/>
          <w:i/>
          <w:iCs/>
          <w:sz w:val="24"/>
          <w:szCs w:val="24"/>
          <w:lang w:val="lt-LT"/>
        </w:rPr>
        <w:t>Moderna</w:t>
      </w:r>
      <w:r w:rsidRPr="003450A1">
        <w:rPr>
          <w:rFonts w:ascii="Times New Roman" w:hAnsi="Times New Roman" w:cs="Times New Roman"/>
          <w:sz w:val="24"/>
          <w:szCs w:val="24"/>
          <w:lang w:val="lt-LT"/>
        </w:rPr>
        <w:t>) adaptuotos versijos, skirtos ne tik pradinei SARS-CoV-2 atmainai, bet ir subvariantui Omicron BA.1. Jomis gali būti skiepijama praėjus ne mažiau kaip 3 mėnesiams po paskutinės COVID-19 vakcinos dozės.</w:t>
      </w:r>
    </w:p>
    <w:p w14:paraId="174CA869" w14:textId="77777777" w:rsidR="002D7AE2" w:rsidRPr="003450A1" w:rsidRDefault="002D7AE2" w:rsidP="003450A1">
      <w:pPr>
        <w:spacing w:after="120"/>
        <w:rPr>
          <w:rFonts w:ascii="Times New Roman" w:hAnsi="Times New Roman" w:cs="Times New Roman"/>
          <w:sz w:val="24"/>
          <w:szCs w:val="24"/>
          <w:lang w:val="lt-LT"/>
        </w:rPr>
      </w:pPr>
      <w:r w:rsidRPr="003450A1">
        <w:rPr>
          <w:rFonts w:ascii="Times New Roman" w:hAnsi="Times New Roman" w:cs="Times New Roman"/>
          <w:sz w:val="24"/>
          <w:szCs w:val="24"/>
          <w:lang w:val="lt-LT"/>
        </w:rPr>
        <w:t>Paraiškos vakcinoms prieš kitas atmainas, pavyzdžiui, Omicron BA.4 ir BA.5 subvariantus, šiuo metu nagrinėjamos arba bus pateiktos netrukus.</w:t>
      </w:r>
    </w:p>
    <w:p w14:paraId="72E57ED0" w14:textId="77777777" w:rsidR="002D7AE2" w:rsidRPr="003450A1" w:rsidRDefault="002D7AE2" w:rsidP="003450A1">
      <w:pPr>
        <w:spacing w:after="120"/>
        <w:rPr>
          <w:rFonts w:ascii="Times New Roman" w:hAnsi="Times New Roman" w:cs="Times New Roman"/>
          <w:sz w:val="24"/>
          <w:szCs w:val="24"/>
          <w:lang w:val="lt-LT"/>
        </w:rPr>
      </w:pPr>
      <w:r w:rsidRPr="003450A1">
        <w:rPr>
          <w:rFonts w:ascii="Times New Roman" w:hAnsi="Times New Roman" w:cs="Times New Roman"/>
          <w:sz w:val="24"/>
          <w:szCs w:val="24"/>
          <w:lang w:val="lt-LT"/>
        </w:rPr>
        <w:t>ES valstybių nacionalinėms institucijoms paliekama apsispręsti, kam ir kada pasiūlyti šias vakcinas, atsižvelgiant į infekcijos ir hospitalizacijos rodiklius, riziką pažeidžiamoms grupėms, skiepijimo apimtis ir vakcinų prieinamumą.</w:t>
      </w:r>
    </w:p>
    <w:p w14:paraId="693ED404" w14:textId="77777777" w:rsidR="002D7AE2" w:rsidRPr="003450A1" w:rsidRDefault="002D7AE2" w:rsidP="003450A1">
      <w:pPr>
        <w:spacing w:after="120"/>
        <w:rPr>
          <w:rFonts w:ascii="Times New Roman" w:hAnsi="Times New Roman" w:cs="Times New Roman"/>
          <w:sz w:val="24"/>
          <w:szCs w:val="24"/>
          <w:lang w:val="lt-LT"/>
        </w:rPr>
      </w:pPr>
      <w:r w:rsidRPr="003450A1">
        <w:rPr>
          <w:rFonts w:ascii="Times New Roman" w:hAnsi="Times New Roman" w:cs="Times New Roman"/>
          <w:sz w:val="24"/>
          <w:szCs w:val="24"/>
          <w:lang w:val="lt-LT"/>
        </w:rPr>
        <w:t xml:space="preserve">CHMP nuomonė dėl </w:t>
      </w:r>
      <w:r w:rsidRPr="003450A1">
        <w:rPr>
          <w:rFonts w:ascii="Times New Roman" w:hAnsi="Times New Roman" w:cs="Times New Roman"/>
          <w:i/>
          <w:iCs/>
          <w:sz w:val="24"/>
          <w:szCs w:val="24"/>
          <w:lang w:val="lt-LT"/>
        </w:rPr>
        <w:t>Comirnaty Original/Omicron BA.1</w:t>
      </w:r>
      <w:r w:rsidRPr="003450A1">
        <w:rPr>
          <w:rFonts w:ascii="Times New Roman" w:hAnsi="Times New Roman" w:cs="Times New Roman"/>
          <w:sz w:val="24"/>
          <w:szCs w:val="24"/>
          <w:lang w:val="lt-LT"/>
        </w:rPr>
        <w:t xml:space="preserve"> pagrįsta dviem tyrimais. </w:t>
      </w:r>
    </w:p>
    <w:p w14:paraId="2A58915E" w14:textId="77777777" w:rsidR="002D7AE2" w:rsidRPr="003450A1" w:rsidRDefault="002D7AE2" w:rsidP="003450A1">
      <w:pPr>
        <w:spacing w:after="120"/>
        <w:rPr>
          <w:rFonts w:ascii="Times New Roman" w:hAnsi="Times New Roman" w:cs="Times New Roman"/>
          <w:sz w:val="24"/>
          <w:szCs w:val="24"/>
          <w:lang w:val="lt-LT"/>
        </w:rPr>
      </w:pPr>
      <w:r w:rsidRPr="003450A1">
        <w:rPr>
          <w:rFonts w:ascii="Times New Roman" w:hAnsi="Times New Roman" w:cs="Times New Roman"/>
          <w:sz w:val="24"/>
          <w:szCs w:val="24"/>
          <w:lang w:val="lt-LT"/>
        </w:rPr>
        <w:t xml:space="preserve">Viename dalyvavo vyresni nei 55 metų suaugusieji, anksčiau gavę tris </w:t>
      </w:r>
      <w:r w:rsidRPr="003450A1">
        <w:rPr>
          <w:rFonts w:ascii="Times New Roman" w:hAnsi="Times New Roman" w:cs="Times New Roman"/>
          <w:i/>
          <w:iCs/>
          <w:sz w:val="24"/>
          <w:szCs w:val="24"/>
          <w:lang w:val="lt-LT"/>
        </w:rPr>
        <w:t>Comirnaty</w:t>
      </w:r>
      <w:r w:rsidRPr="003450A1">
        <w:rPr>
          <w:rFonts w:ascii="Times New Roman" w:hAnsi="Times New Roman" w:cs="Times New Roman"/>
          <w:sz w:val="24"/>
          <w:szCs w:val="24"/>
          <w:lang w:val="lt-LT"/>
        </w:rPr>
        <w:t xml:space="preserve"> dozes. Šis tyrimas parodė, kad antikūnų prieš Omicron BA.1 kiekis po antrosios </w:t>
      </w:r>
      <w:r w:rsidRPr="003450A1">
        <w:rPr>
          <w:rFonts w:ascii="Times New Roman" w:hAnsi="Times New Roman" w:cs="Times New Roman"/>
          <w:i/>
          <w:iCs/>
          <w:sz w:val="24"/>
          <w:szCs w:val="24"/>
          <w:lang w:val="lt-LT"/>
        </w:rPr>
        <w:t>Comirnaty Original/Omicron BA.1</w:t>
      </w:r>
      <w:r w:rsidRPr="003450A1">
        <w:rPr>
          <w:rFonts w:ascii="Times New Roman" w:hAnsi="Times New Roman" w:cs="Times New Roman"/>
          <w:sz w:val="24"/>
          <w:szCs w:val="24"/>
          <w:lang w:val="lt-LT"/>
        </w:rPr>
        <w:t xml:space="preserve"> stiprinančiosios dozės buvo didesnis negu po antrosios </w:t>
      </w:r>
      <w:r w:rsidRPr="003450A1">
        <w:rPr>
          <w:rFonts w:ascii="Times New Roman" w:hAnsi="Times New Roman" w:cs="Times New Roman"/>
          <w:i/>
          <w:iCs/>
          <w:sz w:val="24"/>
          <w:szCs w:val="24"/>
          <w:lang w:val="lt-LT"/>
        </w:rPr>
        <w:t>Comirnaty</w:t>
      </w:r>
      <w:r w:rsidRPr="003450A1">
        <w:rPr>
          <w:rFonts w:ascii="Times New Roman" w:hAnsi="Times New Roman" w:cs="Times New Roman"/>
          <w:sz w:val="24"/>
          <w:szCs w:val="24"/>
          <w:lang w:val="lt-LT"/>
        </w:rPr>
        <w:t xml:space="preserve"> stiprinančiosios dozės. Antikūnų prieš originalią SARS-CoV-2 atmainą kiekis buvo panašus. Tyrime dalyvavo daugiau kaip 1 800 žmonių, iš kurių apie 300 gavo naująją </w:t>
      </w:r>
      <w:r w:rsidRPr="003450A1">
        <w:rPr>
          <w:rFonts w:ascii="Times New Roman" w:hAnsi="Times New Roman" w:cs="Times New Roman"/>
          <w:i/>
          <w:iCs/>
          <w:sz w:val="24"/>
          <w:szCs w:val="24"/>
          <w:lang w:val="lt-LT"/>
        </w:rPr>
        <w:t>Comirnaty Original/Omicron BA.1</w:t>
      </w:r>
      <w:r w:rsidRPr="003450A1">
        <w:rPr>
          <w:rFonts w:ascii="Times New Roman" w:hAnsi="Times New Roman" w:cs="Times New Roman"/>
          <w:sz w:val="24"/>
          <w:szCs w:val="24"/>
          <w:lang w:val="lt-LT"/>
        </w:rPr>
        <w:t xml:space="preserve"> vakciną.</w:t>
      </w:r>
    </w:p>
    <w:p w14:paraId="22CD9CEA" w14:textId="77777777" w:rsidR="002D7AE2" w:rsidRPr="003450A1" w:rsidRDefault="002D7AE2" w:rsidP="003450A1">
      <w:pPr>
        <w:spacing w:after="120"/>
        <w:rPr>
          <w:rFonts w:ascii="Times New Roman" w:hAnsi="Times New Roman" w:cs="Times New Roman"/>
          <w:sz w:val="24"/>
          <w:szCs w:val="24"/>
          <w:lang w:val="lt-LT"/>
        </w:rPr>
      </w:pPr>
      <w:r w:rsidRPr="003450A1">
        <w:rPr>
          <w:rFonts w:ascii="Times New Roman" w:hAnsi="Times New Roman" w:cs="Times New Roman"/>
          <w:sz w:val="24"/>
          <w:szCs w:val="24"/>
          <w:lang w:val="lt-LT"/>
        </w:rPr>
        <w:t xml:space="preserve">Kitame tyrime dalyvavo daugiau kaip 600 žmonių nuo 18 iki 55 metų, anksčiau gavusių tris </w:t>
      </w:r>
      <w:r w:rsidRPr="003450A1">
        <w:rPr>
          <w:rFonts w:ascii="Times New Roman" w:hAnsi="Times New Roman" w:cs="Times New Roman"/>
          <w:i/>
          <w:iCs/>
          <w:sz w:val="24"/>
          <w:szCs w:val="24"/>
          <w:lang w:val="lt-LT"/>
        </w:rPr>
        <w:t>Comirnaty</w:t>
      </w:r>
      <w:r w:rsidRPr="003450A1">
        <w:rPr>
          <w:rFonts w:ascii="Times New Roman" w:hAnsi="Times New Roman" w:cs="Times New Roman"/>
          <w:sz w:val="24"/>
          <w:szCs w:val="24"/>
          <w:lang w:val="lt-LT"/>
        </w:rPr>
        <w:t xml:space="preserve"> vakcinos dozes. Jo duomenys yra panašūs.</w:t>
      </w:r>
    </w:p>
    <w:p w14:paraId="450987B6" w14:textId="77777777" w:rsidR="002D7AE2" w:rsidRPr="003450A1" w:rsidRDefault="002D7AE2" w:rsidP="003450A1">
      <w:pPr>
        <w:spacing w:after="120"/>
        <w:rPr>
          <w:rFonts w:ascii="Times New Roman" w:hAnsi="Times New Roman" w:cs="Times New Roman"/>
          <w:sz w:val="24"/>
          <w:szCs w:val="24"/>
          <w:lang w:val="lt-LT"/>
        </w:rPr>
      </w:pPr>
      <w:r w:rsidRPr="003450A1">
        <w:rPr>
          <w:rFonts w:ascii="Times New Roman" w:hAnsi="Times New Roman" w:cs="Times New Roman"/>
          <w:i/>
          <w:iCs/>
          <w:sz w:val="24"/>
          <w:szCs w:val="24"/>
          <w:lang w:val="lt-LT"/>
        </w:rPr>
        <w:t>Spikevax</w:t>
      </w:r>
      <w:r w:rsidRPr="003450A1">
        <w:rPr>
          <w:rFonts w:ascii="Times New Roman" w:hAnsi="Times New Roman" w:cs="Times New Roman"/>
          <w:sz w:val="24"/>
          <w:szCs w:val="24"/>
          <w:lang w:val="lt-LT"/>
        </w:rPr>
        <w:t xml:space="preserve"> (</w:t>
      </w:r>
      <w:r w:rsidRPr="003450A1">
        <w:rPr>
          <w:rFonts w:ascii="Times New Roman" w:hAnsi="Times New Roman" w:cs="Times New Roman"/>
          <w:i/>
          <w:iCs/>
          <w:sz w:val="24"/>
          <w:szCs w:val="24"/>
          <w:lang w:val="lt-LT"/>
        </w:rPr>
        <w:t>Moderna</w:t>
      </w:r>
      <w:r w:rsidRPr="003450A1">
        <w:rPr>
          <w:rFonts w:ascii="Times New Roman" w:hAnsi="Times New Roman" w:cs="Times New Roman"/>
          <w:sz w:val="24"/>
          <w:szCs w:val="24"/>
          <w:lang w:val="lt-LT"/>
        </w:rPr>
        <w:t>) tyrime dalyvavo daugiau kaip 800 nuo 18 metų amžiaus žmonių, duomenys taip pat panašūs.</w:t>
      </w:r>
    </w:p>
    <w:p w14:paraId="19A82EA1" w14:textId="45300E79" w:rsidR="002D7AE2" w:rsidRPr="003450A1" w:rsidRDefault="002D7AE2" w:rsidP="003450A1">
      <w:pPr>
        <w:spacing w:after="120"/>
        <w:rPr>
          <w:rFonts w:ascii="Times New Roman" w:hAnsi="Times New Roman" w:cs="Times New Roman"/>
          <w:sz w:val="24"/>
          <w:szCs w:val="24"/>
          <w:lang w:val="lt-LT"/>
        </w:rPr>
      </w:pPr>
      <w:r w:rsidRPr="003450A1">
        <w:rPr>
          <w:rFonts w:ascii="Times New Roman" w:hAnsi="Times New Roman" w:cs="Times New Roman"/>
          <w:sz w:val="24"/>
          <w:szCs w:val="24"/>
          <w:lang w:val="lt-LT"/>
        </w:rPr>
        <w:t xml:space="preserve">Farmakologas, Sveikatos teisės instituto direktorius dr. Rimas Jankūnas pastebi, kad paskelbti tik imunologinio </w:t>
      </w:r>
      <w:bookmarkStart w:id="1" w:name="_Hlk113015569"/>
      <w:r w:rsidR="00CC1063">
        <w:rPr>
          <w:rFonts w:ascii="Times New Roman" w:hAnsi="Times New Roman" w:cs="Times New Roman"/>
          <w:sz w:val="24"/>
          <w:szCs w:val="24"/>
          <w:lang w:val="lt-LT"/>
        </w:rPr>
        <w:t xml:space="preserve">(antikūnų) </w:t>
      </w:r>
      <w:bookmarkEnd w:id="1"/>
      <w:r w:rsidRPr="003450A1">
        <w:rPr>
          <w:rFonts w:ascii="Times New Roman" w:hAnsi="Times New Roman" w:cs="Times New Roman"/>
          <w:sz w:val="24"/>
          <w:szCs w:val="24"/>
          <w:lang w:val="lt-LT"/>
        </w:rPr>
        <w:t xml:space="preserve">atsako duomenys. „Atsitiktinių imčių kontroliuojamų klinikinių tyrimų metu netirta, ar šie preparatai sukelia apsaugą nuo simptominės ligos, sunkios ligos ir mirties. Taip pat nėra aišku, ar ketvirtosios dozės saugumas panašus kaip pirmųjų trijų. Kitaip sakant, turimi duomenys rikiuojasi įrodymais pagrįstos medicinos hierarchijos apačioje“, – teigia R. Jankūnas.  </w:t>
      </w:r>
    </w:p>
    <w:p w14:paraId="6411A456" w14:textId="55D1E2A4" w:rsidR="002D7AE2" w:rsidRPr="003450A1" w:rsidRDefault="002D7AE2" w:rsidP="003450A1">
      <w:pPr>
        <w:spacing w:after="120"/>
        <w:rPr>
          <w:rFonts w:ascii="Times New Roman" w:hAnsi="Times New Roman" w:cs="Times New Roman"/>
          <w:sz w:val="24"/>
          <w:szCs w:val="24"/>
          <w:lang w:val="lt-LT"/>
        </w:rPr>
      </w:pPr>
      <w:r w:rsidRPr="003450A1">
        <w:rPr>
          <w:rFonts w:ascii="Times New Roman" w:hAnsi="Times New Roman" w:cs="Times New Roman"/>
          <w:sz w:val="24"/>
          <w:szCs w:val="24"/>
          <w:lang w:val="lt-LT"/>
        </w:rPr>
        <w:lastRenderedPageBreak/>
        <w:t xml:space="preserve">R. Jankūno teigimu, svarbu ir tai, kad šių preparatų naudos ir rizikos </w:t>
      </w:r>
      <w:bookmarkStart w:id="2" w:name="_Hlk113015595"/>
      <w:r w:rsidR="00CC1063">
        <w:rPr>
          <w:rFonts w:ascii="Times New Roman" w:hAnsi="Times New Roman" w:cs="Times New Roman"/>
          <w:sz w:val="24"/>
          <w:szCs w:val="24"/>
          <w:lang w:val="lt-LT"/>
        </w:rPr>
        <w:t xml:space="preserve">santykio </w:t>
      </w:r>
      <w:bookmarkEnd w:id="2"/>
      <w:r w:rsidRPr="003450A1">
        <w:rPr>
          <w:rFonts w:ascii="Times New Roman" w:hAnsi="Times New Roman" w:cs="Times New Roman"/>
          <w:sz w:val="24"/>
          <w:szCs w:val="24"/>
          <w:lang w:val="lt-LT"/>
        </w:rPr>
        <w:t>vertinimas negali būti atliekamas taip pat kaip prieš dvejus metus, kadangi jų nauda yra mažesnė (virusas mažiau pavojingas), o dauguma žmonių jau imunizuoti dėl natūralaus persirgimo.</w:t>
      </w:r>
    </w:p>
    <w:p w14:paraId="13DA6CE2" w14:textId="4E455C58" w:rsidR="002D7AE2" w:rsidRDefault="002D7AE2" w:rsidP="003450A1">
      <w:pPr>
        <w:spacing w:after="120"/>
        <w:rPr>
          <w:rFonts w:ascii="Times New Roman" w:hAnsi="Times New Roman" w:cs="Times New Roman"/>
          <w:sz w:val="24"/>
          <w:szCs w:val="24"/>
          <w:lang w:val="lt-LT"/>
        </w:rPr>
      </w:pPr>
      <w:r w:rsidRPr="003450A1">
        <w:rPr>
          <w:rFonts w:ascii="Times New Roman" w:hAnsi="Times New Roman" w:cs="Times New Roman"/>
          <w:sz w:val="24"/>
          <w:szCs w:val="24"/>
          <w:lang w:val="lt-LT"/>
        </w:rPr>
        <w:t xml:space="preserve">Pažymėtina, kad Europos vaistų agentūros išvados skiriasi nuo JAV Maisto ir vaistų administracijos (FDA), kuri </w:t>
      </w:r>
      <w:hyperlink r:id="rId4" w:history="1">
        <w:r w:rsidRPr="003450A1">
          <w:rPr>
            <w:rStyle w:val="Hyperlink"/>
            <w:rFonts w:ascii="Times New Roman" w:hAnsi="Times New Roman" w:cs="Times New Roman"/>
            <w:sz w:val="24"/>
            <w:szCs w:val="24"/>
            <w:lang w:val="lt-LT"/>
          </w:rPr>
          <w:t>prieš kelias dienas įregistravo</w:t>
        </w:r>
      </w:hyperlink>
      <w:r w:rsidRPr="003450A1">
        <w:rPr>
          <w:rFonts w:ascii="Times New Roman" w:hAnsi="Times New Roman" w:cs="Times New Roman"/>
          <w:sz w:val="24"/>
          <w:szCs w:val="24"/>
          <w:lang w:val="lt-LT"/>
        </w:rPr>
        <w:t xml:space="preserve"> dviejų komponentų </w:t>
      </w:r>
      <w:r w:rsidRPr="003450A1">
        <w:rPr>
          <w:rFonts w:ascii="Times New Roman" w:hAnsi="Times New Roman" w:cs="Times New Roman"/>
          <w:i/>
          <w:iCs/>
          <w:sz w:val="24"/>
          <w:szCs w:val="24"/>
          <w:lang w:val="lt-LT"/>
        </w:rPr>
        <w:t>Pfizer</w:t>
      </w:r>
      <w:r w:rsidRPr="003450A1">
        <w:rPr>
          <w:rFonts w:ascii="Times New Roman" w:hAnsi="Times New Roman" w:cs="Times New Roman"/>
          <w:sz w:val="24"/>
          <w:szCs w:val="24"/>
          <w:lang w:val="lt-LT"/>
        </w:rPr>
        <w:t xml:space="preserve"> ir </w:t>
      </w:r>
      <w:r w:rsidRPr="003450A1">
        <w:rPr>
          <w:rFonts w:ascii="Times New Roman" w:hAnsi="Times New Roman" w:cs="Times New Roman"/>
          <w:i/>
          <w:iCs/>
          <w:sz w:val="24"/>
          <w:szCs w:val="24"/>
          <w:lang w:val="lt-LT"/>
        </w:rPr>
        <w:t>Moderna</w:t>
      </w:r>
      <w:r w:rsidRPr="003450A1">
        <w:rPr>
          <w:rFonts w:ascii="Times New Roman" w:hAnsi="Times New Roman" w:cs="Times New Roman"/>
          <w:sz w:val="24"/>
          <w:szCs w:val="24"/>
          <w:lang w:val="lt-LT"/>
        </w:rPr>
        <w:t xml:space="preserve"> stiprinančiąsias dozes, remdamasi vien tyrimų su gyvūnais duomenimis. </w:t>
      </w:r>
      <w:r w:rsidR="00CC1063" w:rsidRPr="003450A1">
        <w:rPr>
          <w:rFonts w:ascii="Times New Roman" w:hAnsi="Times New Roman" w:cs="Times New Roman"/>
          <w:sz w:val="24"/>
          <w:szCs w:val="24"/>
          <w:lang w:val="lt-LT"/>
        </w:rPr>
        <w:t xml:space="preserve">Vienas </w:t>
      </w:r>
      <w:r w:rsidRPr="003450A1">
        <w:rPr>
          <w:rFonts w:ascii="Times New Roman" w:hAnsi="Times New Roman" w:cs="Times New Roman"/>
          <w:sz w:val="24"/>
          <w:szCs w:val="24"/>
          <w:lang w:val="lt-LT"/>
        </w:rPr>
        <w:t>FDA užregistruotų vakcinų komponentas yra toks pats (pirminės SARS-CoV-2 atmainos), o kitas – kitoks (SARS-CoV-2 Omicron BA.4 ir BA.5 subvariantų, o ne BA.1).</w:t>
      </w:r>
    </w:p>
    <w:p w14:paraId="3D8FD452" w14:textId="77777777" w:rsidR="002D7AE2" w:rsidRPr="003450A1" w:rsidRDefault="002D7AE2" w:rsidP="003450A1">
      <w:pPr>
        <w:spacing w:after="120"/>
        <w:rPr>
          <w:rFonts w:ascii="Times New Roman" w:hAnsi="Times New Roman" w:cs="Times New Roman"/>
          <w:sz w:val="24"/>
          <w:szCs w:val="24"/>
          <w:lang w:val="lt-LT"/>
        </w:rPr>
      </w:pPr>
      <w:r w:rsidRPr="003450A1">
        <w:rPr>
          <w:rFonts w:ascii="Times New Roman" w:hAnsi="Times New Roman" w:cs="Times New Roman"/>
          <w:sz w:val="24"/>
          <w:szCs w:val="24"/>
          <w:lang w:val="lt-LT"/>
        </w:rPr>
        <w:t xml:space="preserve">„Žinant, kad pradėjus masinę vakcinaciją perteklinių mirčių </w:t>
      </w:r>
      <w:hyperlink r:id="rId5" w:history="1">
        <w:r w:rsidRPr="003450A1">
          <w:rPr>
            <w:rStyle w:val="Hyperlink"/>
            <w:rFonts w:ascii="Times New Roman" w:hAnsi="Times New Roman" w:cs="Times New Roman"/>
            <w:sz w:val="24"/>
            <w:szCs w:val="24"/>
            <w:lang w:val="lt-LT"/>
          </w:rPr>
          <w:t>nesumažėjo</w:t>
        </w:r>
      </w:hyperlink>
      <w:r w:rsidRPr="003450A1">
        <w:rPr>
          <w:rFonts w:ascii="Times New Roman" w:hAnsi="Times New Roman" w:cs="Times New Roman"/>
          <w:sz w:val="24"/>
          <w:szCs w:val="24"/>
          <w:lang w:val="lt-LT"/>
        </w:rPr>
        <w:t>, o vaikų ir jaunimo mirčių net padaugėjo, kviečiu Sveikatos apsaugos ministeriją itin kruopščiai įvertinti tolesnės vakcinacijos nuo COVID-19 tikslingumą suprantant savo atsakomybę už galimas pasekmes.</w:t>
      </w:r>
    </w:p>
    <w:p w14:paraId="51D12CCC" w14:textId="5913039C" w:rsidR="002D7AE2" w:rsidRPr="003450A1" w:rsidRDefault="002D7AE2" w:rsidP="003450A1">
      <w:pPr>
        <w:spacing w:after="120"/>
        <w:rPr>
          <w:rFonts w:ascii="Times New Roman" w:hAnsi="Times New Roman" w:cs="Times New Roman"/>
          <w:sz w:val="24"/>
          <w:szCs w:val="24"/>
          <w:lang w:val="lt-LT"/>
        </w:rPr>
      </w:pPr>
      <w:r w:rsidRPr="003450A1">
        <w:rPr>
          <w:rFonts w:ascii="Times New Roman" w:hAnsi="Times New Roman" w:cs="Times New Roman"/>
          <w:sz w:val="24"/>
          <w:szCs w:val="24"/>
          <w:lang w:val="lt-LT"/>
        </w:rPr>
        <w:t xml:space="preserve">Svarbu ir tai, kad dar 2022 m. birželio 13 d. Europos ligų prevencijos ir kontrolės centras </w:t>
      </w:r>
      <w:hyperlink r:id="rId6" w:history="1">
        <w:r w:rsidRPr="003450A1">
          <w:rPr>
            <w:rStyle w:val="Hyperlink"/>
            <w:rFonts w:ascii="Times New Roman" w:hAnsi="Times New Roman" w:cs="Times New Roman"/>
            <w:sz w:val="24"/>
            <w:szCs w:val="24"/>
            <w:lang w:val="lt-LT"/>
          </w:rPr>
          <w:t>pranešė</w:t>
        </w:r>
      </w:hyperlink>
      <w:r w:rsidRPr="003450A1">
        <w:rPr>
          <w:rFonts w:ascii="Times New Roman" w:hAnsi="Times New Roman" w:cs="Times New Roman"/>
          <w:sz w:val="24"/>
          <w:szCs w:val="24"/>
          <w:lang w:val="lt-LT"/>
        </w:rPr>
        <w:t>, jog daugumoje ES šalių padaugėjo SARS-CoV-2 BA.4 ir BA.5 atmainų. Portugalijoje, kuri yra labiausiai vakcinuota ES, jau tada dominavo BA.5. 2022 m. birželio 13 d. Europos ligų prevencijos ir kontrolės centras prognozavo, kad dėl didesnio užkrečiamumo BA.4 ir BA.5 taps dominuojan</w:t>
      </w:r>
      <w:r w:rsidR="00CC1063">
        <w:rPr>
          <w:rFonts w:ascii="Times New Roman" w:hAnsi="Times New Roman" w:cs="Times New Roman"/>
          <w:sz w:val="24"/>
          <w:szCs w:val="24"/>
          <w:lang w:val="lt-LT"/>
        </w:rPr>
        <w:t>čiais</w:t>
      </w:r>
      <w:r w:rsidRPr="003450A1">
        <w:rPr>
          <w:rFonts w:ascii="Times New Roman" w:hAnsi="Times New Roman" w:cs="Times New Roman"/>
          <w:sz w:val="24"/>
          <w:szCs w:val="24"/>
          <w:lang w:val="lt-LT"/>
        </w:rPr>
        <w:t xml:space="preserve"> Europos Sąjungoje, todėl artimiausiomis savaitėmis turėtų padaugėti COVID-19 atvejų. Dabar jau praėję keli mėnesiai, todėl akivaizdu, kad taip ir atsitiko. Pavyzdžiui, Lietuvoje didžiausias vasaros atvejų skaičius fiksuotas rugpjūtį (dabar jis mažėja). Žinoma, reikia sekoskaitos tyrimų, tačiau labai tikėtina, kad Europos vaistų agentūros naujai rekomenduoj</w:t>
      </w:r>
      <w:r w:rsidR="00CC1063">
        <w:rPr>
          <w:rFonts w:ascii="Times New Roman" w:hAnsi="Times New Roman" w:cs="Times New Roman"/>
          <w:sz w:val="24"/>
          <w:szCs w:val="24"/>
          <w:lang w:val="lt-LT"/>
        </w:rPr>
        <w:t>am</w:t>
      </w:r>
      <w:r w:rsidRPr="003450A1">
        <w:rPr>
          <w:rFonts w:ascii="Times New Roman" w:hAnsi="Times New Roman" w:cs="Times New Roman"/>
          <w:sz w:val="24"/>
          <w:szCs w:val="24"/>
          <w:lang w:val="lt-LT"/>
        </w:rPr>
        <w:t xml:space="preserve">i preparatai yra skirti atmainoms, kurių beveik nebeliko“, – teigia R. Jankūnas.  </w:t>
      </w:r>
    </w:p>
    <w:p w14:paraId="5228B7F8" w14:textId="7F267796" w:rsidR="002D7AE2" w:rsidRPr="003450A1" w:rsidRDefault="002D7AE2" w:rsidP="003450A1">
      <w:pPr>
        <w:spacing w:after="120"/>
        <w:rPr>
          <w:rFonts w:ascii="Times New Roman" w:hAnsi="Times New Roman" w:cs="Times New Roman"/>
          <w:sz w:val="24"/>
          <w:szCs w:val="24"/>
          <w:lang w:val="lt-LT"/>
        </w:rPr>
      </w:pPr>
    </w:p>
    <w:p w14:paraId="3F21203E" w14:textId="6D7611B7" w:rsidR="002D7AE2" w:rsidRPr="003450A1" w:rsidRDefault="002D7AE2" w:rsidP="003450A1">
      <w:pPr>
        <w:spacing w:after="120"/>
        <w:jc w:val="right"/>
        <w:rPr>
          <w:rFonts w:ascii="Times New Roman" w:hAnsi="Times New Roman" w:cs="Times New Roman"/>
          <w:i/>
          <w:iCs/>
          <w:sz w:val="24"/>
          <w:szCs w:val="24"/>
          <w:u w:color="FF0000"/>
          <w:lang w:val="lt-LT"/>
        </w:rPr>
      </w:pPr>
      <w:r w:rsidRPr="003450A1">
        <w:rPr>
          <w:rFonts w:ascii="Times New Roman" w:hAnsi="Times New Roman" w:cs="Times New Roman"/>
          <w:i/>
          <w:iCs/>
          <w:sz w:val="24"/>
          <w:szCs w:val="24"/>
          <w:u w:color="FF0000"/>
          <w:lang w:val="lt-LT"/>
        </w:rPr>
        <w:t>Kontaktinis asmuo:</w:t>
      </w:r>
    </w:p>
    <w:p w14:paraId="44BC7D9F" w14:textId="77777777" w:rsidR="00F26133" w:rsidRDefault="002D7AE2" w:rsidP="00CC1063">
      <w:pPr>
        <w:spacing w:after="120"/>
        <w:jc w:val="right"/>
        <w:rPr>
          <w:rFonts w:ascii="Times New Roman" w:eastAsia="Times New Roman" w:hAnsi="Times New Roman" w:cs="Times New Roman"/>
          <w:i/>
          <w:iCs/>
          <w:sz w:val="24"/>
          <w:szCs w:val="24"/>
          <w:u w:color="FF0000"/>
          <w:lang w:val="lt-LT"/>
        </w:rPr>
      </w:pPr>
      <w:r w:rsidRPr="003450A1">
        <w:rPr>
          <w:rFonts w:ascii="Times New Roman" w:eastAsia="Times New Roman" w:hAnsi="Times New Roman" w:cs="Times New Roman"/>
          <w:i/>
          <w:iCs/>
          <w:sz w:val="24"/>
          <w:szCs w:val="24"/>
          <w:u w:color="FF0000"/>
          <w:lang w:val="lt-LT"/>
        </w:rPr>
        <w:t>Rimas Jankūnas, Sveikatos teisės instituto direktorius,</w:t>
      </w:r>
    </w:p>
    <w:p w14:paraId="34725E48" w14:textId="68980E8B" w:rsidR="002D7AE2" w:rsidRPr="00F26133" w:rsidRDefault="00000000" w:rsidP="00CC1063">
      <w:pPr>
        <w:spacing w:after="120"/>
        <w:jc w:val="right"/>
        <w:rPr>
          <w:rFonts w:ascii="Times New Roman" w:eastAsia="Times New Roman" w:hAnsi="Times New Roman" w:cs="Times New Roman"/>
          <w:i/>
          <w:iCs/>
          <w:sz w:val="24"/>
          <w:szCs w:val="24"/>
          <w:u w:color="FF0000"/>
          <w:lang w:val="lt-LT"/>
        </w:rPr>
      </w:pPr>
      <w:hyperlink r:id="rId7" w:history="1">
        <w:r w:rsidR="00B27688" w:rsidRPr="000E1AAC">
          <w:rPr>
            <w:rStyle w:val="Hyperlink"/>
            <w:rFonts w:ascii="Times New Roman" w:eastAsia="Times New Roman" w:hAnsi="Times New Roman" w:cs="Times New Roman"/>
            <w:i/>
            <w:iCs/>
            <w:sz w:val="24"/>
            <w:szCs w:val="24"/>
            <w:lang w:val="lt-LT"/>
          </w:rPr>
          <w:t>info@sti.lt</w:t>
        </w:r>
      </w:hyperlink>
      <w:r w:rsidR="003450A1" w:rsidRPr="00F26133">
        <w:rPr>
          <w:rFonts w:ascii="Times New Roman" w:eastAsia="Times New Roman" w:hAnsi="Times New Roman" w:cs="Times New Roman"/>
          <w:i/>
          <w:iCs/>
          <w:sz w:val="24"/>
          <w:szCs w:val="24"/>
          <w:u w:color="FF0000"/>
          <w:lang w:val="lt-LT"/>
        </w:rPr>
        <w:t xml:space="preserve"> </w:t>
      </w:r>
    </w:p>
    <w:sectPr w:rsidR="002D7AE2" w:rsidRPr="00F2613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DokChampa">
    <w:charset w:val="DE"/>
    <w:family w:val="swiss"/>
    <w:pitch w:val="variable"/>
    <w:sig w:usb0="83000003" w:usb1="00000000" w:usb2="00000000" w:usb3="00000000" w:csb0="0001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2945"/>
    <w:rsid w:val="00132FD0"/>
    <w:rsid w:val="002D7AE2"/>
    <w:rsid w:val="003450A1"/>
    <w:rsid w:val="003A58A2"/>
    <w:rsid w:val="006B7C14"/>
    <w:rsid w:val="006C0F58"/>
    <w:rsid w:val="00752945"/>
    <w:rsid w:val="009F1940"/>
    <w:rsid w:val="00B27688"/>
    <w:rsid w:val="00B466AF"/>
    <w:rsid w:val="00C41D87"/>
    <w:rsid w:val="00CC1063"/>
    <w:rsid w:val="00DA0202"/>
    <w:rsid w:val="00F26133"/>
    <w:rsid w:val="00FE2E4D"/>
  </w:rsids>
  <m:mathPr>
    <m:mathFont m:val="Cambria Math"/>
    <m:brkBin m:val="before"/>
    <m:brkBinSub m:val="--"/>
    <m:smallFrac m:val="0"/>
    <m:dispDef/>
    <m:lMargin m:val="0"/>
    <m:rMargin m:val="0"/>
    <m:defJc m:val="centerGroup"/>
    <m:wrapIndent m:val="1440"/>
    <m:intLim m:val="subSup"/>
    <m:naryLim m:val="undOvr"/>
  </m:mathPr>
  <w:themeFontLang w:val="en-US" w:bidi="lo-L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90AAAC"/>
  <w15:chartTrackingRefBased/>
  <w15:docId w15:val="{CFD158AA-FE11-4257-9B3D-6763714192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41D87"/>
    <w:rPr>
      <w:color w:val="0563C1" w:themeColor="hyperlink"/>
      <w:u w:val="single"/>
    </w:rPr>
  </w:style>
  <w:style w:type="character" w:styleId="UnresolvedMention">
    <w:name w:val="Unresolved Mention"/>
    <w:basedOn w:val="DefaultParagraphFont"/>
    <w:uiPriority w:val="99"/>
    <w:semiHidden/>
    <w:unhideWhenUsed/>
    <w:rsid w:val="00C41D87"/>
    <w:rPr>
      <w:color w:val="605E5C"/>
      <w:shd w:val="clear" w:color="auto" w:fill="E1DFDD"/>
    </w:rPr>
  </w:style>
  <w:style w:type="paragraph" w:styleId="Revision">
    <w:name w:val="Revision"/>
    <w:hidden/>
    <w:uiPriority w:val="99"/>
    <w:semiHidden/>
    <w:rsid w:val="00CC106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mailto:info@sti.lt"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ecdc.europa.eu/en/news-events/implications-emergence-spread-sars-cov-2-variants-concern-ba4-and-ba5" TargetMode="External"/><Relationship Id="rId5" Type="http://schemas.openxmlformats.org/officeDocument/2006/relationships/hyperlink" Target="https://www.euromomo.eu/graphs-and-maps/" TargetMode="External"/><Relationship Id="rId4" Type="http://schemas.openxmlformats.org/officeDocument/2006/relationships/hyperlink" Target="https://www.fda.gov/news-events/press-announcements/coronavirus-covid-19-update-fda-authorizes-moderna-pfizer-biontech-bivalent-covid-19-vaccines-use"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561</Words>
  <Characters>4057</Characters>
  <DocSecurity>0</DocSecurity>
  <Lines>72</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2022-09-02T09:55:00Z</dcterms:created>
  <dcterms:modified xsi:type="dcterms:W3CDTF">2022-09-02T10:10:00Z</dcterms:modified>
</cp:coreProperties>
</file>