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0A2DA" w14:textId="3CDCD5FE" w:rsidR="00CB0D9F" w:rsidRPr="00557811" w:rsidRDefault="00F86C2A" w:rsidP="00F33B91">
      <w:pPr>
        <w:snapToGrid w:val="0"/>
        <w:spacing w:after="0"/>
        <w:rPr>
          <w:rFonts w:ascii="Verdana" w:hAnsi="Verdana"/>
          <w:b/>
          <w:szCs w:val="21"/>
        </w:rPr>
      </w:pPr>
      <w:r w:rsidRPr="00F86C2A">
        <w:rPr>
          <w:rFonts w:ascii="Verdana" w:hAnsi="Verdana"/>
          <w:b/>
          <w:szCs w:val="21"/>
        </w:rPr>
        <w:t>„Citus“ ekspertai: išaugusi pasiūla Vilniuje leido tęstis kainų tendencijai; Kaune – viskas priešingai</w:t>
      </w:r>
    </w:p>
    <w:p w14:paraId="46D0FC66" w14:textId="15DEB85F" w:rsidR="00C35436" w:rsidRPr="00557811" w:rsidRDefault="00B41BA4" w:rsidP="00097BCF">
      <w:pPr>
        <w:snapToGrid w:val="0"/>
        <w:spacing w:after="0"/>
        <w:jc w:val="left"/>
        <w:rPr>
          <w:rFonts w:ascii="Verdana" w:hAnsi="Verdana" w:cs="Open Sans Light"/>
          <w:i/>
          <w:color w:val="000000" w:themeColor="text1"/>
          <w:sz w:val="16"/>
          <w:szCs w:val="16"/>
        </w:rPr>
      </w:pPr>
      <w:r w:rsidRPr="00557811">
        <w:rPr>
          <w:rFonts w:ascii="Verdana" w:hAnsi="Verdana" w:cs="Open Sans Light"/>
          <w:i/>
          <w:color w:val="000000" w:themeColor="text1"/>
          <w:sz w:val="16"/>
          <w:szCs w:val="16"/>
        </w:rPr>
        <w:t>202</w:t>
      </w:r>
      <w:r w:rsidR="00097BCF" w:rsidRPr="00557811">
        <w:rPr>
          <w:rFonts w:ascii="Verdana" w:hAnsi="Verdana" w:cs="Open Sans Light"/>
          <w:i/>
          <w:color w:val="000000" w:themeColor="text1"/>
          <w:sz w:val="16"/>
          <w:szCs w:val="16"/>
        </w:rPr>
        <w:t>2</w:t>
      </w:r>
      <w:r w:rsidRPr="00557811">
        <w:rPr>
          <w:rFonts w:ascii="Verdana" w:hAnsi="Verdana" w:cs="Open Sans Light"/>
          <w:i/>
          <w:color w:val="000000" w:themeColor="text1"/>
          <w:sz w:val="16"/>
          <w:szCs w:val="16"/>
        </w:rPr>
        <w:t xml:space="preserve"> m. </w:t>
      </w:r>
      <w:r w:rsidR="00F86C2A">
        <w:rPr>
          <w:rFonts w:ascii="Verdana" w:hAnsi="Verdana" w:cs="Open Sans Light"/>
          <w:i/>
          <w:color w:val="000000" w:themeColor="text1"/>
          <w:sz w:val="16"/>
          <w:szCs w:val="16"/>
        </w:rPr>
        <w:t>spalio</w:t>
      </w:r>
      <w:r w:rsidRPr="00557811">
        <w:rPr>
          <w:rFonts w:ascii="Verdana" w:hAnsi="Verdana" w:cs="Open Sans Light"/>
          <w:i/>
          <w:color w:val="000000" w:themeColor="text1"/>
          <w:sz w:val="16"/>
          <w:szCs w:val="16"/>
        </w:rPr>
        <w:t xml:space="preserve"> </w:t>
      </w:r>
      <w:r w:rsidR="00F86C2A">
        <w:rPr>
          <w:rFonts w:ascii="Verdana" w:hAnsi="Verdana" w:cs="Open Sans Light"/>
          <w:i/>
          <w:color w:val="000000" w:themeColor="text1"/>
          <w:sz w:val="16"/>
          <w:szCs w:val="16"/>
        </w:rPr>
        <w:t>3</w:t>
      </w:r>
      <w:r w:rsidRPr="00557811">
        <w:rPr>
          <w:rFonts w:ascii="Verdana" w:hAnsi="Verdana" w:cs="Open Sans Light"/>
          <w:i/>
          <w:color w:val="000000" w:themeColor="text1"/>
          <w:sz w:val="16"/>
          <w:szCs w:val="16"/>
        </w:rPr>
        <w:t xml:space="preserve"> d.</w:t>
      </w:r>
    </w:p>
    <w:p w14:paraId="48F4F2C2" w14:textId="77777777" w:rsidR="00B41BA4" w:rsidRPr="00557811" w:rsidRDefault="00B41BA4" w:rsidP="000C466A">
      <w:pPr>
        <w:snapToGrid w:val="0"/>
        <w:spacing w:after="0"/>
        <w:rPr>
          <w:rFonts w:ascii="Verdana" w:hAnsi="Verdana" w:cstheme="majorHAnsi"/>
          <w:color w:val="000000" w:themeColor="text1"/>
          <w:sz w:val="18"/>
          <w:szCs w:val="18"/>
        </w:rPr>
      </w:pPr>
    </w:p>
    <w:p w14:paraId="4302A353" w14:textId="7A507421" w:rsidR="00F86C2A" w:rsidRPr="00F86C2A" w:rsidRDefault="00F86C2A" w:rsidP="00F86C2A">
      <w:pPr>
        <w:pBdr>
          <w:bottom w:val="single" w:sz="8" w:space="1" w:color="FFC000"/>
        </w:pBdr>
        <w:rPr>
          <w:rFonts w:ascii="Verdana" w:eastAsia="Verdana" w:hAnsi="Verdana" w:cs="Verdana"/>
          <w:b/>
          <w:bCs/>
          <w:sz w:val="18"/>
          <w:szCs w:val="18"/>
        </w:rPr>
      </w:pPr>
      <w:r w:rsidRPr="00F86C2A">
        <w:rPr>
          <w:rFonts w:ascii="Verdana" w:eastAsia="Verdana" w:hAnsi="Verdana" w:cs="Verdana"/>
          <w:b/>
          <w:bCs/>
          <w:sz w:val="18"/>
          <w:szCs w:val="18"/>
        </w:rPr>
        <w:t>Vilniaus pirminei būsto rinkai trečiasis metų ketvirtis didelių naujienų neatnešė. Nors paklausa, lyginant su ankstesniais laikotarpiais, yra stipriai sumenkusi, šis rodiklis paskutinis keturis mėnesius yra labai pastovus. Nors absoliutūs paklausos skaičiai nekilnojamojo turto (NT) ekspertų nedžiugina, jie akcentuoja, kad rinka nėra sustojusi, kainų korekcija, nors ir minimali yra palanki pirkėjams, o pasiūla po truputį pildosi.</w:t>
      </w:r>
    </w:p>
    <w:p w14:paraId="0702684D" w14:textId="093FB334" w:rsidR="00F86C2A" w:rsidRPr="00F86C2A" w:rsidRDefault="00F86C2A" w:rsidP="00F86C2A">
      <w:pPr>
        <w:pBdr>
          <w:bottom w:val="single" w:sz="8" w:space="1" w:color="FFC000"/>
        </w:pBdr>
        <w:rPr>
          <w:rFonts w:ascii="Verdana" w:eastAsia="Verdana" w:hAnsi="Verdana" w:cs="Verdana"/>
          <w:sz w:val="18"/>
          <w:szCs w:val="18"/>
        </w:rPr>
      </w:pPr>
      <w:r w:rsidRPr="00F86C2A">
        <w:rPr>
          <w:rFonts w:ascii="Verdana" w:eastAsia="Verdana" w:hAnsi="Verdana" w:cs="Verdana"/>
          <w:sz w:val="18"/>
          <w:szCs w:val="18"/>
        </w:rPr>
        <w:t>Rugsėjo mėn.</w:t>
      </w:r>
      <w:r>
        <w:rPr>
          <w:rFonts w:ascii="Verdana" w:eastAsia="Verdana" w:hAnsi="Verdana" w:cs="Verdana"/>
          <w:sz w:val="18"/>
          <w:szCs w:val="18"/>
        </w:rPr>
        <w:t>, išankstiniais NT projektų valdymo kompanijos „Citus“ analitikų duomenimis,</w:t>
      </w:r>
      <w:r w:rsidRPr="00F86C2A">
        <w:rPr>
          <w:rFonts w:ascii="Verdana" w:eastAsia="Verdana" w:hAnsi="Verdana" w:cs="Verdana"/>
          <w:sz w:val="18"/>
          <w:szCs w:val="18"/>
        </w:rPr>
        <w:t xml:space="preserve"> sostinėje fiksuoti 108 preliminarūs naujų butų ir kotedžų rezervacijos sandoriai, o per tris mėn. – 361. Paskutinį ketvirčio mėnesį būstų sandėlis pasipildė net 7 projektais arba jų etapais, viso – 303 būstais. Rugsėjo gale vilniečiai galėjo rinktis iš 3 943 naujų būstų, o tai yra beveik dešimtadaliu daugiau nei antrojo ketvirčio pabaigoje.</w:t>
      </w:r>
    </w:p>
    <w:p w14:paraId="14906440" w14:textId="5F31727F" w:rsidR="00557811" w:rsidRPr="00557811" w:rsidRDefault="00557811" w:rsidP="00F86C2A">
      <w:pPr>
        <w:pBdr>
          <w:bottom w:val="single" w:sz="8" w:space="1" w:color="FFC000"/>
        </w:pBdr>
        <w:rPr>
          <w:rFonts w:ascii="Verdana" w:eastAsia="Verdana" w:hAnsi="Verdana" w:cs="Verdana"/>
          <w:sz w:val="18"/>
          <w:szCs w:val="18"/>
        </w:rPr>
      </w:pPr>
      <w:r w:rsidRPr="00557811">
        <w:rPr>
          <w:rFonts w:ascii="Verdana" w:eastAsia="Verdana" w:hAnsi="Verdana" w:cs="Verdana"/>
          <w:noProof/>
          <w:sz w:val="18"/>
          <w:szCs w:val="18"/>
        </w:rPr>
        <w:drawing>
          <wp:inline distT="0" distB="0" distL="0" distR="0" wp14:anchorId="45BCA48F" wp14:editId="359ED018">
            <wp:extent cx="6480000" cy="2822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80000" cy="2822200"/>
                    </a:xfrm>
                    <a:prstGeom prst="rect">
                      <a:avLst/>
                    </a:prstGeom>
                  </pic:spPr>
                </pic:pic>
              </a:graphicData>
            </a:graphic>
          </wp:inline>
        </w:drawing>
      </w:r>
    </w:p>
    <w:p w14:paraId="3B91A257" w14:textId="3EBA5BE3" w:rsidR="00557811" w:rsidRPr="00557811" w:rsidRDefault="00557811" w:rsidP="00557811">
      <w:pPr>
        <w:pBdr>
          <w:bottom w:val="single" w:sz="8" w:space="1" w:color="FFC000"/>
        </w:pBdr>
        <w:jc w:val="right"/>
        <w:rPr>
          <w:rFonts w:ascii="Verdana" w:eastAsia="Verdana" w:hAnsi="Verdana" w:cs="Verdana"/>
          <w:i/>
          <w:iCs/>
          <w:sz w:val="15"/>
          <w:szCs w:val="15"/>
        </w:rPr>
      </w:pPr>
      <w:r w:rsidRPr="00557811">
        <w:rPr>
          <w:rFonts w:ascii="Verdana" w:eastAsia="Verdana" w:hAnsi="Verdana" w:cs="Verdana"/>
          <w:i/>
          <w:iCs/>
          <w:sz w:val="15"/>
          <w:szCs w:val="15"/>
        </w:rPr>
        <w:t>Grafikas nr. 1: Vilniaus būsto rinkos dinamika 2020–2022 m. („Citus“ duom.)</w:t>
      </w:r>
    </w:p>
    <w:p w14:paraId="03FE9F33" w14:textId="50316085" w:rsidR="00F86C2A" w:rsidRPr="00F86C2A" w:rsidRDefault="00F86C2A" w:rsidP="00F86C2A">
      <w:pPr>
        <w:pBdr>
          <w:bottom w:val="single" w:sz="8" w:space="1" w:color="FFC000"/>
        </w:pBdr>
        <w:rPr>
          <w:rFonts w:ascii="Verdana" w:eastAsia="Verdana" w:hAnsi="Verdana" w:cs="Verdana"/>
          <w:sz w:val="18"/>
          <w:szCs w:val="18"/>
        </w:rPr>
      </w:pPr>
      <w:r w:rsidRPr="00F86C2A">
        <w:rPr>
          <w:rFonts w:ascii="Verdana" w:eastAsia="Verdana" w:hAnsi="Verdana" w:cs="Verdana"/>
          <w:sz w:val="18"/>
          <w:szCs w:val="18"/>
        </w:rPr>
        <w:t>Laikotarpio pabaigoje asortimentą sudarė 3 455 butai ir 488 kotedžai. Pagal klases pasiūla pasiskirstė taip: ekonominė klasė – 1 499; vidutinė – 2 077, prestižinė – 198, liukso – 169.</w:t>
      </w:r>
    </w:p>
    <w:p w14:paraId="1CF01D61" w14:textId="5A2E2318" w:rsidR="00657348" w:rsidRDefault="00F86C2A" w:rsidP="00F86C2A">
      <w:pPr>
        <w:pBdr>
          <w:bottom w:val="single" w:sz="8" w:space="1" w:color="FFC000"/>
        </w:pBdr>
        <w:rPr>
          <w:rFonts w:ascii="Verdana" w:eastAsia="Verdana" w:hAnsi="Verdana" w:cs="Verdana"/>
          <w:sz w:val="18"/>
          <w:szCs w:val="18"/>
        </w:rPr>
      </w:pPr>
      <w:r w:rsidRPr="00F86C2A">
        <w:rPr>
          <w:rFonts w:ascii="Verdana" w:eastAsia="Verdana" w:hAnsi="Verdana" w:cs="Verdana"/>
          <w:sz w:val="18"/>
          <w:szCs w:val="18"/>
        </w:rPr>
        <w:t>Vidutinės pasiūloje esančių butų kainos per trečiąjį ketvirtį paaugo 1 proc.: birželio gale jos siekė 3 175, o rugsėjį – 3 194 Eur už kv. m. Rugpjūčio pabaigoje kaina buvo 3 226 Eur/kv. m, o liepą – 3 291 Eur/kv. m. Tuo tarpu, vidutinė kotedžų kaina per mėnesį paaugo 2,5 proc. – nuo 1 689 iki 1 732 Eur/kv. m.</w:t>
      </w:r>
    </w:p>
    <w:p w14:paraId="43E67639" w14:textId="4A460720" w:rsidR="00557811" w:rsidRDefault="00623B06" w:rsidP="00657348">
      <w:pPr>
        <w:pBdr>
          <w:bottom w:val="single" w:sz="8" w:space="1" w:color="FFC000"/>
        </w:pBdr>
        <w:rPr>
          <w:rFonts w:ascii="Verdana" w:eastAsia="Verdana" w:hAnsi="Verdana" w:cs="Verdana"/>
          <w:sz w:val="18"/>
          <w:szCs w:val="18"/>
        </w:rPr>
      </w:pPr>
      <w:r w:rsidRPr="00623B06">
        <w:rPr>
          <w:rFonts w:ascii="Verdana" w:eastAsia="Verdana" w:hAnsi="Verdana" w:cs="Verdana"/>
          <w:noProof/>
          <w:sz w:val="18"/>
          <w:szCs w:val="18"/>
        </w:rPr>
        <w:drawing>
          <wp:inline distT="0" distB="0" distL="0" distR="0" wp14:anchorId="24CD797A" wp14:editId="3DB901E7">
            <wp:extent cx="6480000" cy="278421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6480000" cy="2784214"/>
                    </a:xfrm>
                    <a:prstGeom prst="rect">
                      <a:avLst/>
                    </a:prstGeom>
                  </pic:spPr>
                </pic:pic>
              </a:graphicData>
            </a:graphic>
          </wp:inline>
        </w:drawing>
      </w:r>
    </w:p>
    <w:p w14:paraId="7B8C2453" w14:textId="69471CF7" w:rsidR="00623B06" w:rsidRPr="00623B06" w:rsidRDefault="00623B06" w:rsidP="00623B06">
      <w:pPr>
        <w:pBdr>
          <w:bottom w:val="single" w:sz="8" w:space="1" w:color="FFC000"/>
        </w:pBdr>
        <w:jc w:val="right"/>
        <w:rPr>
          <w:rFonts w:ascii="Verdana" w:eastAsia="Verdana" w:hAnsi="Verdana" w:cs="Verdana"/>
          <w:i/>
          <w:iCs/>
          <w:sz w:val="15"/>
          <w:szCs w:val="15"/>
        </w:rPr>
      </w:pPr>
      <w:r w:rsidRPr="00623B06">
        <w:rPr>
          <w:rFonts w:ascii="Verdana" w:eastAsia="Verdana" w:hAnsi="Verdana" w:cs="Verdana"/>
          <w:i/>
          <w:iCs/>
          <w:sz w:val="15"/>
          <w:szCs w:val="15"/>
        </w:rPr>
        <w:t xml:space="preserve">Grafikas nr. </w:t>
      </w:r>
      <w:r>
        <w:rPr>
          <w:rFonts w:ascii="Verdana" w:eastAsia="Verdana" w:hAnsi="Verdana" w:cs="Verdana"/>
          <w:i/>
          <w:iCs/>
          <w:sz w:val="15"/>
          <w:szCs w:val="15"/>
        </w:rPr>
        <w:t>2</w:t>
      </w:r>
      <w:r w:rsidRPr="00623B06">
        <w:rPr>
          <w:rFonts w:ascii="Verdana" w:eastAsia="Verdana" w:hAnsi="Verdana" w:cs="Verdana"/>
          <w:i/>
          <w:iCs/>
          <w:sz w:val="15"/>
          <w:szCs w:val="15"/>
        </w:rPr>
        <w:t>: Pasiūlos dinamika Vilniaus ir Kauno būsto rinkose 2020–2022 m. („Citus“ duom.)</w:t>
      </w:r>
    </w:p>
    <w:p w14:paraId="216E9D70" w14:textId="6F2DECA5" w:rsidR="00657348" w:rsidRPr="00557811" w:rsidRDefault="00F86C2A" w:rsidP="00657348">
      <w:pPr>
        <w:pBdr>
          <w:bottom w:val="single" w:sz="8" w:space="1" w:color="FFC000"/>
        </w:pBdr>
        <w:rPr>
          <w:rFonts w:ascii="Verdana" w:eastAsia="Verdana" w:hAnsi="Verdana" w:cs="Verdana"/>
          <w:sz w:val="18"/>
          <w:szCs w:val="18"/>
        </w:rPr>
      </w:pPr>
      <w:r w:rsidRPr="00F86C2A">
        <w:rPr>
          <w:rFonts w:ascii="Verdana" w:eastAsia="Verdana" w:hAnsi="Verdana" w:cs="Verdana"/>
          <w:sz w:val="18"/>
          <w:szCs w:val="18"/>
        </w:rPr>
        <w:t xml:space="preserve">„Vilniaus pirminėje būsto rinkoje stebime stabilizaciją ir tai yra geras ženklas. Keturis pastaruosius mėnesiu išsilaiko labai panašus būsto rezervacijos sandorių skaičius, nors bendras susidomėjimas, lyginant su ankstesniais </w:t>
      </w:r>
      <w:r w:rsidRPr="00F86C2A">
        <w:rPr>
          <w:rFonts w:ascii="Verdana" w:eastAsia="Verdana" w:hAnsi="Verdana" w:cs="Verdana"/>
          <w:sz w:val="18"/>
          <w:szCs w:val="18"/>
        </w:rPr>
        <w:lastRenderedPageBreak/>
        <w:t>mėnesiais, yra sumenkęs daugiau. Tačiau tai rodo, kad žmonės, kurie būstą įsigyti yra nusprendę dėl poreikio, o ne kolektyvinių nuotaikų, savo sprendimo nekeičia, todėl mažėja netikslinių klientų“, – sako „Citus“ investicijų ir analizės vadovas Šarūnas Tarutis.</w:t>
      </w:r>
    </w:p>
    <w:p w14:paraId="180AD7AB" w14:textId="0A4A6E6D" w:rsidR="00341E5B" w:rsidRPr="00557811" w:rsidRDefault="00557811" w:rsidP="00657348">
      <w:pPr>
        <w:pBdr>
          <w:bottom w:val="single" w:sz="8" w:space="1" w:color="FFC000"/>
        </w:pBdr>
        <w:rPr>
          <w:rFonts w:ascii="Verdana" w:eastAsia="Verdana" w:hAnsi="Verdana" w:cs="Verdana"/>
          <w:sz w:val="18"/>
          <w:szCs w:val="18"/>
        </w:rPr>
      </w:pPr>
      <w:r w:rsidRPr="00557811">
        <w:rPr>
          <w:rFonts w:ascii="Verdana" w:eastAsia="Verdana" w:hAnsi="Verdana" w:cs="Verdana"/>
          <w:noProof/>
          <w:sz w:val="18"/>
          <w:szCs w:val="18"/>
        </w:rPr>
        <w:drawing>
          <wp:inline distT="0" distB="0" distL="0" distR="0" wp14:anchorId="647B0AFC" wp14:editId="78197034">
            <wp:extent cx="6480175" cy="26333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480175" cy="2633345"/>
                    </a:xfrm>
                    <a:prstGeom prst="rect">
                      <a:avLst/>
                    </a:prstGeom>
                  </pic:spPr>
                </pic:pic>
              </a:graphicData>
            </a:graphic>
          </wp:inline>
        </w:drawing>
      </w:r>
    </w:p>
    <w:p w14:paraId="1741142E" w14:textId="52C6A2EC" w:rsidR="00557811" w:rsidRPr="00557811" w:rsidRDefault="00557811" w:rsidP="00557811">
      <w:pPr>
        <w:pBdr>
          <w:bottom w:val="single" w:sz="8" w:space="1" w:color="FFC000"/>
        </w:pBdr>
        <w:jc w:val="right"/>
        <w:rPr>
          <w:rFonts w:ascii="Verdana" w:eastAsia="Verdana" w:hAnsi="Verdana" w:cs="Verdana"/>
          <w:i/>
          <w:iCs/>
          <w:sz w:val="15"/>
          <w:szCs w:val="15"/>
        </w:rPr>
      </w:pPr>
      <w:r w:rsidRPr="00557811">
        <w:rPr>
          <w:rFonts w:ascii="Verdana" w:eastAsia="Verdana" w:hAnsi="Verdana" w:cs="Verdana"/>
          <w:i/>
          <w:iCs/>
          <w:sz w:val="15"/>
          <w:szCs w:val="15"/>
        </w:rPr>
        <w:t xml:space="preserve">Grafikas nr. </w:t>
      </w:r>
      <w:r>
        <w:rPr>
          <w:rFonts w:ascii="Verdana" w:eastAsia="Verdana" w:hAnsi="Verdana" w:cs="Verdana"/>
          <w:i/>
          <w:iCs/>
          <w:sz w:val="15"/>
          <w:szCs w:val="15"/>
        </w:rPr>
        <w:t>3</w:t>
      </w:r>
      <w:r w:rsidRPr="00557811">
        <w:rPr>
          <w:rFonts w:ascii="Verdana" w:eastAsia="Verdana" w:hAnsi="Verdana" w:cs="Verdana"/>
          <w:i/>
          <w:iCs/>
          <w:sz w:val="15"/>
          <w:szCs w:val="15"/>
        </w:rPr>
        <w:t xml:space="preserve">: </w:t>
      </w:r>
      <w:r w:rsidR="00F86C2A" w:rsidRPr="00557811">
        <w:rPr>
          <w:rFonts w:ascii="Verdana" w:eastAsia="Verdana" w:hAnsi="Verdana" w:cs="Verdana"/>
          <w:i/>
          <w:iCs/>
          <w:sz w:val="15"/>
          <w:szCs w:val="15"/>
        </w:rPr>
        <w:t>Vidutinių pasiūlos kainų dinamika Vilniaus ir Kauno būsto rinkose 2020–2022 m. („Citus“ duom.)</w:t>
      </w:r>
    </w:p>
    <w:p w14:paraId="5039414C" w14:textId="2D81FF5A" w:rsidR="00F86C2A" w:rsidRPr="00F86C2A" w:rsidRDefault="00F86C2A" w:rsidP="00F86C2A">
      <w:pPr>
        <w:pBdr>
          <w:bottom w:val="single" w:sz="8" w:space="1" w:color="FFC000"/>
        </w:pBdr>
        <w:rPr>
          <w:rFonts w:ascii="Verdana" w:eastAsia="Verdana" w:hAnsi="Verdana" w:cs="Verdana"/>
          <w:sz w:val="18"/>
          <w:szCs w:val="18"/>
        </w:rPr>
      </w:pPr>
      <w:r w:rsidRPr="00F86C2A">
        <w:rPr>
          <w:rFonts w:ascii="Verdana" w:eastAsia="Verdana" w:hAnsi="Verdana" w:cs="Verdana"/>
          <w:sz w:val="18"/>
          <w:szCs w:val="18"/>
        </w:rPr>
        <w:t>Jo teigimu, rinkoje yra susiformavusių įdomių paradoksų. Pavyzdžiui, nuo metų pradžios keleriopai išaugusios būsto nuomos kainos didina spaudimą žmonėms įsigyti nuosavą būstą, tačiau išaugęs netikrumas, kritęs vartotojų pasitikėjimo rodiklis, aukštos būsto kainos ir maža pasiūla pirminėje rinkoje šį srautą, tikėtina, nukreipia į nenaujo būsto segmentą.</w:t>
      </w:r>
    </w:p>
    <w:p w14:paraId="4D0DBDE6" w14:textId="5110208D" w:rsidR="00F86C2A" w:rsidRPr="00F86C2A" w:rsidRDefault="00F86C2A" w:rsidP="00F86C2A">
      <w:pPr>
        <w:pBdr>
          <w:bottom w:val="single" w:sz="8" w:space="1" w:color="FFC000"/>
        </w:pBdr>
        <w:rPr>
          <w:rFonts w:ascii="Verdana" w:eastAsia="Verdana" w:hAnsi="Verdana" w:cs="Verdana"/>
          <w:sz w:val="18"/>
          <w:szCs w:val="18"/>
        </w:rPr>
      </w:pPr>
      <w:r w:rsidRPr="00F86C2A">
        <w:rPr>
          <w:rFonts w:ascii="Verdana" w:eastAsia="Verdana" w:hAnsi="Verdana" w:cs="Verdana"/>
          <w:sz w:val="18"/>
          <w:szCs w:val="18"/>
        </w:rPr>
        <w:t xml:space="preserve">Tačiau, kaip pastebi Š. Tarutis, nemažas atotrūkis tarp </w:t>
      </w:r>
      <w:proofErr w:type="spellStart"/>
      <w:r w:rsidRPr="00F86C2A">
        <w:rPr>
          <w:rFonts w:ascii="Verdana" w:eastAsia="Verdana" w:hAnsi="Verdana" w:cs="Verdana"/>
          <w:sz w:val="18"/>
          <w:szCs w:val="18"/>
        </w:rPr>
        <w:t>energiškai</w:t>
      </w:r>
      <w:proofErr w:type="spellEnd"/>
      <w:r w:rsidRPr="00F86C2A">
        <w:rPr>
          <w:rFonts w:ascii="Verdana" w:eastAsia="Verdana" w:hAnsi="Verdana" w:cs="Verdana"/>
          <w:sz w:val="18"/>
          <w:szCs w:val="18"/>
        </w:rPr>
        <w:t xml:space="preserve"> neefektyvių senos statybos būstų ir </w:t>
      </w:r>
      <w:proofErr w:type="spellStart"/>
      <w:r w:rsidRPr="00F86C2A">
        <w:rPr>
          <w:rFonts w:ascii="Verdana" w:eastAsia="Verdana" w:hAnsi="Verdana" w:cs="Verdana"/>
          <w:sz w:val="18"/>
          <w:szCs w:val="18"/>
        </w:rPr>
        <w:t>energiškai</w:t>
      </w:r>
      <w:proofErr w:type="spellEnd"/>
      <w:r w:rsidRPr="00F86C2A">
        <w:rPr>
          <w:rFonts w:ascii="Verdana" w:eastAsia="Verdana" w:hAnsi="Verdana" w:cs="Verdana"/>
          <w:sz w:val="18"/>
          <w:szCs w:val="18"/>
        </w:rPr>
        <w:t xml:space="preserve"> efektyvių naujų būstų, galintis sudaryti iki 50 proc. mėnesinių buto eksploatacijos išlaidų skirtumą ir šiek tiek sumažėjusios naujų būstų kainos ilgainiui turėtų pirkėjus paskatinti grįžti į pirminę rinką.</w:t>
      </w:r>
    </w:p>
    <w:p w14:paraId="26EA1A48" w14:textId="0246801D" w:rsidR="00F86C2A" w:rsidRPr="00F86C2A" w:rsidRDefault="00F86C2A" w:rsidP="00F86C2A">
      <w:pPr>
        <w:pBdr>
          <w:bottom w:val="single" w:sz="8" w:space="1" w:color="FFC000"/>
        </w:pBdr>
        <w:rPr>
          <w:rFonts w:ascii="Verdana" w:eastAsia="Verdana" w:hAnsi="Verdana" w:cs="Verdana"/>
          <w:sz w:val="18"/>
          <w:szCs w:val="18"/>
        </w:rPr>
      </w:pPr>
      <w:r w:rsidRPr="00F86C2A">
        <w:rPr>
          <w:rFonts w:ascii="Verdana" w:eastAsia="Verdana" w:hAnsi="Verdana" w:cs="Verdana"/>
          <w:sz w:val="18"/>
          <w:szCs w:val="18"/>
        </w:rPr>
        <w:t>„Dėl išaugusios nenaujo būsto paklausos, natūralu, kad pakilo ir jo kainos. Kartais nenaujas būstas, nors ir įrengtas, kainuoja tiek pat, kiek naujai pastatytas. Iš kitos pusės, imant paskolą, jos sąlygos bus tokios pačios, kaip ir perkant naują būstą. Nors ekspertais beveik vienbalsiai tvirtina, kad infliacijos pikas – jau praeityje, dabar prasideda sudėtingiausias laikotarpius, kai visi laukia išaugusių šildymo sąskaitų, apie kurias daug kalbama. Po kurio laiko į rinkas turėtų sugrįžti racionalumas ir didesnis optimizmas“, – kalba „Citus“ ekspertas.</w:t>
      </w:r>
    </w:p>
    <w:p w14:paraId="3B49C859" w14:textId="542E7DE9" w:rsidR="00F86C2A" w:rsidRPr="00F86C2A" w:rsidRDefault="00F86C2A" w:rsidP="00F86C2A">
      <w:pPr>
        <w:pBdr>
          <w:bottom w:val="single" w:sz="8" w:space="1" w:color="FFC000"/>
        </w:pBdr>
        <w:rPr>
          <w:rFonts w:ascii="Verdana" w:eastAsia="Verdana" w:hAnsi="Verdana" w:cs="Verdana"/>
          <w:sz w:val="18"/>
          <w:szCs w:val="18"/>
        </w:rPr>
      </w:pPr>
      <w:r w:rsidRPr="00F86C2A">
        <w:rPr>
          <w:rFonts w:ascii="Verdana" w:eastAsia="Verdana" w:hAnsi="Verdana" w:cs="Verdana"/>
          <w:sz w:val="18"/>
          <w:szCs w:val="18"/>
        </w:rPr>
        <w:t>Antras ryškus išskirtinumas dabartinėje rinkoje yra būsto pirkėjų segmentacija. Šarūno Taručio vertinimu, ekonominiam neapibrėžtumui atsparesnis segmentas aktyviai investuoja į antrą būstą, būstą poilsiui arba nuomai, nes laisvų pinigų kiekis rinkoje – vis dar rekordiškai didelis.</w:t>
      </w:r>
    </w:p>
    <w:p w14:paraId="12FF70A9" w14:textId="2344B473" w:rsidR="00F86C2A" w:rsidRPr="00F86C2A" w:rsidRDefault="00F86C2A" w:rsidP="00F86C2A">
      <w:pPr>
        <w:pBdr>
          <w:bottom w:val="single" w:sz="8" w:space="1" w:color="FFC000"/>
        </w:pBdr>
        <w:rPr>
          <w:rFonts w:ascii="Verdana" w:eastAsia="Verdana" w:hAnsi="Verdana" w:cs="Verdana"/>
          <w:sz w:val="18"/>
          <w:szCs w:val="18"/>
        </w:rPr>
      </w:pPr>
      <w:r w:rsidRPr="00F86C2A">
        <w:rPr>
          <w:rFonts w:ascii="Verdana" w:eastAsia="Verdana" w:hAnsi="Verdana" w:cs="Verdana"/>
          <w:sz w:val="18"/>
          <w:szCs w:val="18"/>
        </w:rPr>
        <w:t xml:space="preserve">„Pastebime, kad kai kuriuose segmentuose investuotojai atsitraukė dėl augančių paskolų palūkanų ir neaiškios ekonominės situacijos. Tačiau tie žmonės, kurie gali nekilnojamąjį turtą  pirkti nuosavomis, o ne skolintomis lėšomis, neatsisako planų, ypač, jei tai – ne pirmas jų būstas. Pardavimai mūsų valdomame projekte „Nemunas </w:t>
      </w:r>
      <w:proofErr w:type="spellStart"/>
      <w:r w:rsidRPr="00F86C2A">
        <w:rPr>
          <w:rFonts w:ascii="Verdana" w:eastAsia="Verdana" w:hAnsi="Verdana" w:cs="Verdana"/>
          <w:sz w:val="18"/>
          <w:szCs w:val="18"/>
        </w:rPr>
        <w:t>by</w:t>
      </w:r>
      <w:proofErr w:type="spellEnd"/>
      <w:r w:rsidRPr="00F86C2A">
        <w:rPr>
          <w:rFonts w:ascii="Verdana" w:eastAsia="Verdana" w:hAnsi="Verdana" w:cs="Verdana"/>
          <w:sz w:val="18"/>
          <w:szCs w:val="18"/>
        </w:rPr>
        <w:t xml:space="preserve"> CITUS“ Druskininkuose sudaro daugiau nei pusę visų pardavimų ir lenkia projektus Vilniuje ir Kaune kartu sudėjus. Tai puikiai iliustruoja šią tendenciją. Iš kitos pusės, didelė dalis šio projekto klientų yra verslininkai, verslų savininkai, o Statistikos departamento duomenys net ir skirtinguose ekonomikos segmentuose rodo daugiau verslo optimizmo nei jo demonstruoja paprasti vartotojai. Kol kas verslas yra nusiteikęs pozityviai, todėl investuoja ir į veiklą, nestabdo planų, o tai, neabejoju, rodo, kad ekonomikos sulėtėjimas nebus ilgalaikis“, – apibendrina „Citus“ investicijų ir analizės vadovas.</w:t>
      </w:r>
    </w:p>
    <w:p w14:paraId="2FB67CF1" w14:textId="59002202" w:rsidR="00F86C2A" w:rsidRPr="00F86C2A" w:rsidRDefault="00F86C2A" w:rsidP="00F86C2A">
      <w:pPr>
        <w:pBdr>
          <w:bottom w:val="single" w:sz="8" w:space="1" w:color="FFC000"/>
        </w:pBdr>
        <w:rPr>
          <w:rFonts w:ascii="Verdana" w:eastAsia="Verdana" w:hAnsi="Verdana" w:cs="Verdana"/>
          <w:sz w:val="18"/>
          <w:szCs w:val="18"/>
        </w:rPr>
      </w:pPr>
      <w:r w:rsidRPr="00F86C2A">
        <w:rPr>
          <w:rFonts w:ascii="Verdana" w:eastAsia="Verdana" w:hAnsi="Verdana" w:cs="Verdana"/>
          <w:sz w:val="18"/>
          <w:szCs w:val="18"/>
        </w:rPr>
        <w:t>Trečiasis ketvirtis „Citus“ valdomuose projektuose pardavimų prasme buvo sėkmingiausias: rugsėjį Vilniuje ir Kaune užfiksuoti 22 sandoriai, o per visą ketvirtį – 101 (iš jų 19 – Vilniuje, 21 – Kaune ir 61 – Druskininkuose). Per pirmus tris šių metų mėnesius „Citus“ valdomuose projektuose rezervuoti 77, antrą ketv. – 68 nauji būstai.</w:t>
      </w:r>
    </w:p>
    <w:p w14:paraId="20B383EB" w14:textId="06E3E7D2" w:rsidR="00EF4703" w:rsidRDefault="00F86C2A" w:rsidP="00F86C2A">
      <w:pPr>
        <w:pBdr>
          <w:bottom w:val="single" w:sz="8" w:space="1" w:color="FFC000"/>
        </w:pBdr>
        <w:rPr>
          <w:rFonts w:ascii="Verdana" w:eastAsia="Verdana" w:hAnsi="Verdana" w:cs="Verdana"/>
          <w:sz w:val="18"/>
          <w:szCs w:val="18"/>
        </w:rPr>
      </w:pPr>
      <w:r w:rsidRPr="00F86C2A">
        <w:rPr>
          <w:rFonts w:ascii="Verdana" w:eastAsia="Verdana" w:hAnsi="Verdana" w:cs="Verdana"/>
          <w:sz w:val="18"/>
          <w:szCs w:val="18"/>
        </w:rPr>
        <w:t>Kaune pirminė rinka rugsėjį buvo labai pasyvi, nors pastaruosius trejus metus rugsėjį visada stebimas aktyvumo sumažėjimas: per mėnesį naujus šeimininkus laikinojoje sostinėje surado 36 nauji būstai (butai ir kotedžai), o nuo liepos – 153. Praėjusio mėnesio pabaigoje kauniečiai galėjo rinktis iš 1 272 būstų: 1 152 butų ir 120 kotedžų arba 549 ekonominės, 521 vidutinės ir 202 prestižinės klasės būstų.</w:t>
      </w:r>
    </w:p>
    <w:p w14:paraId="56365465" w14:textId="69C44413" w:rsidR="00557811" w:rsidRDefault="00557811" w:rsidP="00657348">
      <w:pPr>
        <w:pBdr>
          <w:bottom w:val="single" w:sz="8" w:space="1" w:color="FFC000"/>
        </w:pBdr>
        <w:rPr>
          <w:rFonts w:ascii="Verdana" w:eastAsia="Verdana" w:hAnsi="Verdana" w:cs="Verdana"/>
          <w:sz w:val="18"/>
          <w:szCs w:val="18"/>
        </w:rPr>
      </w:pPr>
      <w:r w:rsidRPr="00557811">
        <w:rPr>
          <w:rFonts w:ascii="Verdana" w:eastAsia="Verdana" w:hAnsi="Verdana" w:cs="Verdana"/>
          <w:noProof/>
          <w:sz w:val="18"/>
          <w:szCs w:val="18"/>
        </w:rPr>
        <w:lastRenderedPageBreak/>
        <w:drawing>
          <wp:inline distT="0" distB="0" distL="0" distR="0" wp14:anchorId="46FC0538" wp14:editId="4695ECED">
            <wp:extent cx="6480000" cy="30248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80000" cy="3024820"/>
                    </a:xfrm>
                    <a:prstGeom prst="rect">
                      <a:avLst/>
                    </a:prstGeom>
                  </pic:spPr>
                </pic:pic>
              </a:graphicData>
            </a:graphic>
          </wp:inline>
        </w:drawing>
      </w:r>
    </w:p>
    <w:p w14:paraId="297472E2" w14:textId="41AFA7FB" w:rsidR="00557811" w:rsidRPr="00557811" w:rsidRDefault="00557811" w:rsidP="00557811">
      <w:pPr>
        <w:pBdr>
          <w:bottom w:val="single" w:sz="8" w:space="1" w:color="FFC000"/>
        </w:pBdr>
        <w:jc w:val="right"/>
        <w:rPr>
          <w:rFonts w:ascii="Verdana" w:eastAsia="Verdana" w:hAnsi="Verdana" w:cs="Verdana"/>
          <w:i/>
          <w:iCs/>
          <w:sz w:val="15"/>
          <w:szCs w:val="15"/>
        </w:rPr>
      </w:pPr>
      <w:r w:rsidRPr="00557811">
        <w:rPr>
          <w:rFonts w:ascii="Verdana" w:eastAsia="Verdana" w:hAnsi="Verdana" w:cs="Verdana"/>
          <w:i/>
          <w:iCs/>
          <w:sz w:val="15"/>
          <w:szCs w:val="15"/>
        </w:rPr>
        <w:t xml:space="preserve">Grafikas nr. </w:t>
      </w:r>
      <w:r>
        <w:rPr>
          <w:rFonts w:ascii="Verdana" w:eastAsia="Verdana" w:hAnsi="Verdana" w:cs="Verdana"/>
          <w:i/>
          <w:iCs/>
          <w:sz w:val="15"/>
          <w:szCs w:val="15"/>
        </w:rPr>
        <w:t>4</w:t>
      </w:r>
      <w:r w:rsidRPr="00557811">
        <w:rPr>
          <w:rFonts w:ascii="Verdana" w:eastAsia="Verdana" w:hAnsi="Verdana" w:cs="Verdana"/>
          <w:i/>
          <w:iCs/>
          <w:sz w:val="15"/>
          <w:szCs w:val="15"/>
        </w:rPr>
        <w:t xml:space="preserve">: </w:t>
      </w:r>
      <w:r w:rsidR="00F86C2A" w:rsidRPr="00557811">
        <w:rPr>
          <w:rFonts w:ascii="Verdana" w:eastAsia="Verdana" w:hAnsi="Verdana" w:cs="Verdana"/>
          <w:i/>
          <w:iCs/>
          <w:sz w:val="15"/>
          <w:szCs w:val="15"/>
        </w:rPr>
        <w:t>Kauno būsto rinkos dinamika 2020–2022 m. („Citus“ duom.)</w:t>
      </w:r>
    </w:p>
    <w:p w14:paraId="08EAAEA3" w14:textId="2B257E05" w:rsidR="00F86C2A" w:rsidRPr="00F86C2A" w:rsidRDefault="00F86C2A" w:rsidP="00F86C2A">
      <w:pPr>
        <w:pBdr>
          <w:bottom w:val="single" w:sz="8" w:space="1" w:color="FFC000"/>
        </w:pBdr>
        <w:rPr>
          <w:rFonts w:ascii="Verdana" w:hAnsi="Verdana"/>
          <w:sz w:val="18"/>
          <w:szCs w:val="20"/>
        </w:rPr>
      </w:pPr>
      <w:r w:rsidRPr="00F86C2A">
        <w:rPr>
          <w:rFonts w:ascii="Verdana" w:hAnsi="Verdana"/>
          <w:sz w:val="18"/>
          <w:szCs w:val="20"/>
        </w:rPr>
        <w:t>Per tris mėnesius pasiūla Kaune, faktiškai nepasikeitė: birželio gale ji siekė 1 277 vnt.</w:t>
      </w:r>
    </w:p>
    <w:p w14:paraId="3ACFCDE6" w14:textId="2E3A65D4" w:rsidR="00112445" w:rsidRDefault="00F86C2A" w:rsidP="00F86C2A">
      <w:pPr>
        <w:pBdr>
          <w:bottom w:val="single" w:sz="8" w:space="1" w:color="FFC000"/>
        </w:pBdr>
        <w:rPr>
          <w:rFonts w:ascii="Verdana" w:hAnsi="Verdana"/>
          <w:sz w:val="18"/>
          <w:szCs w:val="20"/>
        </w:rPr>
      </w:pPr>
      <w:r w:rsidRPr="00F86C2A">
        <w:rPr>
          <w:rFonts w:ascii="Verdana" w:hAnsi="Verdana"/>
          <w:sz w:val="18"/>
          <w:szCs w:val="20"/>
        </w:rPr>
        <w:t>Gal todėl ir kaina antrajame pagal dydį Lietuvos mieste mažėti nelinkusi: vidutinė pasiūloje esančių naujų butų kaina paaugo 1,6 proc., nuo 2 248 iki 2 284 Eur/kv. m, o naujų kotedžų – apie 1,2 proc., nuo 1 788 iki 1 809 Eur/kv. m. Per ketvirtį naujų butų kainos Kaune paaugo nežymiai – nuo 2 186 iki 2 284 Eur/kv. m.</w:t>
      </w:r>
    </w:p>
    <w:p w14:paraId="4371688E" w14:textId="77777777" w:rsidR="004A53C4" w:rsidRPr="00557811" w:rsidRDefault="004A53C4" w:rsidP="00657348">
      <w:pPr>
        <w:pBdr>
          <w:bottom w:val="single" w:sz="8" w:space="1" w:color="FFC000"/>
        </w:pBdr>
        <w:rPr>
          <w:rFonts w:ascii="Verdana" w:hAnsi="Verdana"/>
          <w:sz w:val="18"/>
          <w:szCs w:val="20"/>
        </w:rPr>
      </w:pPr>
    </w:p>
    <w:p w14:paraId="75AE99DB" w14:textId="77777777" w:rsidR="004137F3" w:rsidRPr="00557811" w:rsidRDefault="004137F3" w:rsidP="0081024D">
      <w:pPr>
        <w:spacing w:after="100" w:afterAutospacing="1"/>
        <w:contextualSpacing/>
        <w:mirrorIndents/>
        <w:outlineLvl w:val="0"/>
        <w:rPr>
          <w:rFonts w:ascii="Verdana" w:hAnsi="Verdana" w:cstheme="majorHAnsi"/>
          <w:b/>
          <w:sz w:val="18"/>
          <w:szCs w:val="18"/>
          <w:shd w:val="clear" w:color="auto" w:fill="FFFFFF"/>
        </w:rPr>
      </w:pPr>
    </w:p>
    <w:p w14:paraId="3187DF5B" w14:textId="77777777" w:rsidR="0081024D" w:rsidRPr="00557811"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557811">
        <w:rPr>
          <w:rFonts w:ascii="Verdana" w:hAnsi="Verdana" w:cs="Open Sans Light"/>
          <w:b/>
          <w:sz w:val="15"/>
          <w:szCs w:val="15"/>
          <w:shd w:val="clear" w:color="auto" w:fill="FFFFFF"/>
        </w:rPr>
        <w:t xml:space="preserve">Daugiau informacijos: </w:t>
      </w:r>
    </w:p>
    <w:p w14:paraId="475253FD" w14:textId="686F5081" w:rsidR="00481E6F" w:rsidRPr="00557811" w:rsidRDefault="0081024D">
      <w:pPr>
        <w:jc w:val="left"/>
        <w:rPr>
          <w:rFonts w:ascii="Verdana" w:hAnsi="Verdana" w:cs="Open Sans Light"/>
          <w:color w:val="3B3838" w:themeColor="background2" w:themeShade="40"/>
          <w:sz w:val="15"/>
          <w:szCs w:val="15"/>
          <w:lang w:eastAsia="lt-LT"/>
        </w:rPr>
      </w:pPr>
      <w:r w:rsidRPr="00557811">
        <w:rPr>
          <w:rFonts w:ascii="Verdana" w:hAnsi="Verdana" w:cs="Open Sans Light"/>
          <w:sz w:val="15"/>
          <w:szCs w:val="15"/>
          <w:lang w:eastAsia="lt-LT"/>
        </w:rPr>
        <w:t>Rytas Stalnionis</w:t>
      </w:r>
      <w:r w:rsidRPr="00557811">
        <w:rPr>
          <w:rFonts w:ascii="Verdana" w:hAnsi="Verdana" w:cs="Open Sans Light"/>
          <w:sz w:val="15"/>
          <w:szCs w:val="15"/>
          <w:lang w:eastAsia="lt-LT"/>
        </w:rPr>
        <w:br/>
        <w:t>Komunikacijos vadovas</w:t>
      </w:r>
      <w:r w:rsidRPr="00557811">
        <w:rPr>
          <w:rFonts w:ascii="Verdana" w:hAnsi="Verdana" w:cs="Open Sans Light"/>
          <w:sz w:val="15"/>
          <w:szCs w:val="15"/>
          <w:lang w:eastAsia="lt-LT"/>
        </w:rPr>
        <w:br/>
        <w:t>Tel.: +370 614 01829</w:t>
      </w:r>
      <w:r w:rsidRPr="00557811">
        <w:rPr>
          <w:rFonts w:ascii="Verdana" w:hAnsi="Verdana" w:cs="Open Sans Light"/>
          <w:sz w:val="15"/>
          <w:szCs w:val="15"/>
          <w:lang w:eastAsia="lt-LT"/>
        </w:rPr>
        <w:br/>
        <w:t xml:space="preserve">El. paštas </w:t>
      </w:r>
      <w:hyperlink r:id="rId12" w:history="1">
        <w:r w:rsidRPr="00557811">
          <w:rPr>
            <w:rStyle w:val="Hyperlink"/>
            <w:rFonts w:ascii="Verdana" w:hAnsi="Verdana" w:cs="Open Sans Light"/>
            <w:b/>
            <w:color w:val="3B3838" w:themeColor="background2" w:themeShade="40"/>
            <w:sz w:val="15"/>
            <w:szCs w:val="15"/>
            <w:u w:val="none"/>
            <w:lang w:eastAsia="lt-LT"/>
          </w:rPr>
          <w:t>rytas.stalnionis@citus.lt</w:t>
        </w:r>
      </w:hyperlink>
      <w:r w:rsidRPr="00557811">
        <w:rPr>
          <w:rFonts w:ascii="Verdana" w:hAnsi="Verdana" w:cs="Open Sans Light"/>
          <w:sz w:val="15"/>
          <w:szCs w:val="15"/>
          <w:lang w:eastAsia="lt-LT"/>
        </w:rPr>
        <w:br/>
      </w:r>
      <w:hyperlink r:id="rId13" w:history="1">
        <w:r w:rsidRPr="00557811">
          <w:rPr>
            <w:rStyle w:val="Hyperlink"/>
            <w:rFonts w:ascii="Verdana" w:hAnsi="Verdana" w:cs="Open Sans Light"/>
            <w:b/>
            <w:color w:val="3B3838" w:themeColor="background2" w:themeShade="40"/>
            <w:sz w:val="15"/>
            <w:szCs w:val="15"/>
            <w:u w:val="none"/>
            <w:lang w:eastAsia="lt-LT"/>
          </w:rPr>
          <w:t>www.citus.lt</w:t>
        </w:r>
      </w:hyperlink>
    </w:p>
    <w:sectPr w:rsidR="00481E6F" w:rsidRPr="00557811" w:rsidSect="00960106">
      <w:headerReference w:type="default" r:id="rId14"/>
      <w:pgSz w:w="11906" w:h="16838"/>
      <w:pgMar w:top="1418"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1A7CB" w14:textId="77777777" w:rsidR="00955DC8" w:rsidRDefault="00955DC8" w:rsidP="00404A94">
      <w:pPr>
        <w:spacing w:after="0"/>
      </w:pPr>
      <w:r>
        <w:separator/>
      </w:r>
    </w:p>
  </w:endnote>
  <w:endnote w:type="continuationSeparator" w:id="0">
    <w:p w14:paraId="0FF8CAE9" w14:textId="77777777" w:rsidR="00955DC8" w:rsidRDefault="00955DC8" w:rsidP="00404A94">
      <w:pPr>
        <w:spacing w:after="0"/>
      </w:pPr>
      <w:r>
        <w:continuationSeparator/>
      </w:r>
    </w:p>
  </w:endnote>
  <w:endnote w:type="continuationNotice" w:id="1">
    <w:p w14:paraId="7BA36769" w14:textId="77777777" w:rsidR="00955DC8" w:rsidRDefault="00955D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467D0" w14:textId="77777777" w:rsidR="00955DC8" w:rsidRDefault="00955DC8" w:rsidP="00404A94">
      <w:pPr>
        <w:spacing w:after="0"/>
      </w:pPr>
      <w:r>
        <w:separator/>
      </w:r>
    </w:p>
  </w:footnote>
  <w:footnote w:type="continuationSeparator" w:id="0">
    <w:p w14:paraId="330BE06D" w14:textId="77777777" w:rsidR="00955DC8" w:rsidRDefault="00955DC8" w:rsidP="00404A94">
      <w:pPr>
        <w:spacing w:after="0"/>
      </w:pPr>
      <w:r>
        <w:continuationSeparator/>
      </w:r>
    </w:p>
  </w:footnote>
  <w:footnote w:type="continuationNotice" w:id="1">
    <w:p w14:paraId="401E778C" w14:textId="77777777" w:rsidR="00955DC8" w:rsidRDefault="00955DC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2"/>
  </w:num>
  <w:num w:numId="2" w16cid:durableId="1565750052">
    <w:abstractNumId w:val="21"/>
  </w:num>
  <w:num w:numId="3" w16cid:durableId="1815903907">
    <w:abstractNumId w:val="22"/>
  </w:num>
  <w:num w:numId="4" w16cid:durableId="1561406862">
    <w:abstractNumId w:val="25"/>
  </w:num>
  <w:num w:numId="5" w16cid:durableId="321006177">
    <w:abstractNumId w:val="18"/>
  </w:num>
  <w:num w:numId="6" w16cid:durableId="503938402">
    <w:abstractNumId w:val="16"/>
  </w:num>
  <w:num w:numId="7" w16cid:durableId="1758016345">
    <w:abstractNumId w:val="14"/>
  </w:num>
  <w:num w:numId="8" w16cid:durableId="2074308771">
    <w:abstractNumId w:val="8"/>
  </w:num>
  <w:num w:numId="9" w16cid:durableId="263540259">
    <w:abstractNumId w:val="17"/>
  </w:num>
  <w:num w:numId="10" w16cid:durableId="1759860241">
    <w:abstractNumId w:val="6"/>
  </w:num>
  <w:num w:numId="11" w16cid:durableId="813330766">
    <w:abstractNumId w:val="19"/>
  </w:num>
  <w:num w:numId="12" w16cid:durableId="1478958565">
    <w:abstractNumId w:val="11"/>
  </w:num>
  <w:num w:numId="13" w16cid:durableId="574709329">
    <w:abstractNumId w:val="24"/>
  </w:num>
  <w:num w:numId="14" w16cid:durableId="29310045">
    <w:abstractNumId w:val="3"/>
  </w:num>
  <w:num w:numId="15" w16cid:durableId="1947807562">
    <w:abstractNumId w:val="1"/>
  </w:num>
  <w:num w:numId="16" w16cid:durableId="2101025905">
    <w:abstractNumId w:val="20"/>
  </w:num>
  <w:num w:numId="17" w16cid:durableId="394011149">
    <w:abstractNumId w:val="23"/>
  </w:num>
  <w:num w:numId="18" w16cid:durableId="1758165198">
    <w:abstractNumId w:val="4"/>
  </w:num>
  <w:num w:numId="19" w16cid:durableId="836648520">
    <w:abstractNumId w:val="9"/>
  </w:num>
  <w:num w:numId="20" w16cid:durableId="120078200">
    <w:abstractNumId w:val="13"/>
  </w:num>
  <w:num w:numId="21" w16cid:durableId="562251221">
    <w:abstractNumId w:val="5"/>
  </w:num>
  <w:num w:numId="22" w16cid:durableId="1653556973">
    <w:abstractNumId w:val="7"/>
  </w:num>
  <w:num w:numId="23" w16cid:durableId="303893639">
    <w:abstractNumId w:val="12"/>
  </w:num>
  <w:num w:numId="24" w16cid:durableId="1997344683">
    <w:abstractNumId w:val="15"/>
  </w:num>
  <w:num w:numId="25" w16cid:durableId="1493328608">
    <w:abstractNumId w:val="0"/>
  </w:num>
  <w:num w:numId="26" w16cid:durableId="14106152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CEF"/>
    <w:rsid w:val="00003B21"/>
    <w:rsid w:val="000102C2"/>
    <w:rsid w:val="00010448"/>
    <w:rsid w:val="000108A2"/>
    <w:rsid w:val="00011977"/>
    <w:rsid w:val="00013672"/>
    <w:rsid w:val="00014E39"/>
    <w:rsid w:val="0001721B"/>
    <w:rsid w:val="0002086F"/>
    <w:rsid w:val="000217A6"/>
    <w:rsid w:val="000220B2"/>
    <w:rsid w:val="000221C9"/>
    <w:rsid w:val="00024A94"/>
    <w:rsid w:val="00026800"/>
    <w:rsid w:val="00026C07"/>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C81"/>
    <w:rsid w:val="0006162D"/>
    <w:rsid w:val="00065A74"/>
    <w:rsid w:val="00066E9C"/>
    <w:rsid w:val="00071C5C"/>
    <w:rsid w:val="00075B5D"/>
    <w:rsid w:val="0007783D"/>
    <w:rsid w:val="00077B19"/>
    <w:rsid w:val="00077E4B"/>
    <w:rsid w:val="00082253"/>
    <w:rsid w:val="00086589"/>
    <w:rsid w:val="00087E40"/>
    <w:rsid w:val="0009095D"/>
    <w:rsid w:val="00091988"/>
    <w:rsid w:val="00093117"/>
    <w:rsid w:val="00095090"/>
    <w:rsid w:val="00095A7F"/>
    <w:rsid w:val="0009618E"/>
    <w:rsid w:val="00097BCF"/>
    <w:rsid w:val="000A348C"/>
    <w:rsid w:val="000A3BCC"/>
    <w:rsid w:val="000B415E"/>
    <w:rsid w:val="000B6652"/>
    <w:rsid w:val="000C466A"/>
    <w:rsid w:val="000D3793"/>
    <w:rsid w:val="000D52B0"/>
    <w:rsid w:val="000D5408"/>
    <w:rsid w:val="000D6181"/>
    <w:rsid w:val="000D7996"/>
    <w:rsid w:val="000E0278"/>
    <w:rsid w:val="000E2549"/>
    <w:rsid w:val="000E412F"/>
    <w:rsid w:val="000E76EF"/>
    <w:rsid w:val="000F316C"/>
    <w:rsid w:val="000F349B"/>
    <w:rsid w:val="000F3861"/>
    <w:rsid w:val="000F67CF"/>
    <w:rsid w:val="000F6D77"/>
    <w:rsid w:val="0010074C"/>
    <w:rsid w:val="00100E5F"/>
    <w:rsid w:val="001019A3"/>
    <w:rsid w:val="00110172"/>
    <w:rsid w:val="00110A4F"/>
    <w:rsid w:val="00112445"/>
    <w:rsid w:val="00113E0A"/>
    <w:rsid w:val="0011478A"/>
    <w:rsid w:val="001168FC"/>
    <w:rsid w:val="00120A16"/>
    <w:rsid w:val="00123A5A"/>
    <w:rsid w:val="00127DAE"/>
    <w:rsid w:val="001301F8"/>
    <w:rsid w:val="00131EEE"/>
    <w:rsid w:val="00135A25"/>
    <w:rsid w:val="00143194"/>
    <w:rsid w:val="001448B0"/>
    <w:rsid w:val="00144B4C"/>
    <w:rsid w:val="001461B5"/>
    <w:rsid w:val="0014782B"/>
    <w:rsid w:val="0014782E"/>
    <w:rsid w:val="00154127"/>
    <w:rsid w:val="00155BAD"/>
    <w:rsid w:val="001562E0"/>
    <w:rsid w:val="00156834"/>
    <w:rsid w:val="00157C43"/>
    <w:rsid w:val="0016042B"/>
    <w:rsid w:val="00162248"/>
    <w:rsid w:val="001625E1"/>
    <w:rsid w:val="00166160"/>
    <w:rsid w:val="0016653B"/>
    <w:rsid w:val="001669D3"/>
    <w:rsid w:val="00170EDF"/>
    <w:rsid w:val="001763B9"/>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7400"/>
    <w:rsid w:val="001B7B47"/>
    <w:rsid w:val="001C08A4"/>
    <w:rsid w:val="001C5DAE"/>
    <w:rsid w:val="001C6006"/>
    <w:rsid w:val="001D2FE9"/>
    <w:rsid w:val="001D4D1A"/>
    <w:rsid w:val="001E3644"/>
    <w:rsid w:val="001E720E"/>
    <w:rsid w:val="001E7680"/>
    <w:rsid w:val="001F08A7"/>
    <w:rsid w:val="001F14EC"/>
    <w:rsid w:val="001F695C"/>
    <w:rsid w:val="001F7CF5"/>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41C37"/>
    <w:rsid w:val="00243606"/>
    <w:rsid w:val="002461FF"/>
    <w:rsid w:val="00246B12"/>
    <w:rsid w:val="00247FB5"/>
    <w:rsid w:val="00254D36"/>
    <w:rsid w:val="002550D7"/>
    <w:rsid w:val="002606AC"/>
    <w:rsid w:val="0026093C"/>
    <w:rsid w:val="00260A01"/>
    <w:rsid w:val="0026120A"/>
    <w:rsid w:val="002651DB"/>
    <w:rsid w:val="00265B81"/>
    <w:rsid w:val="00270E92"/>
    <w:rsid w:val="002717F0"/>
    <w:rsid w:val="002745DA"/>
    <w:rsid w:val="002767B8"/>
    <w:rsid w:val="0027680F"/>
    <w:rsid w:val="00281077"/>
    <w:rsid w:val="002836DD"/>
    <w:rsid w:val="00287BF9"/>
    <w:rsid w:val="00290AE9"/>
    <w:rsid w:val="00291878"/>
    <w:rsid w:val="002928DA"/>
    <w:rsid w:val="00296465"/>
    <w:rsid w:val="002A210A"/>
    <w:rsid w:val="002A71A6"/>
    <w:rsid w:val="002A78C2"/>
    <w:rsid w:val="002B0A7D"/>
    <w:rsid w:val="002B1F95"/>
    <w:rsid w:val="002B2462"/>
    <w:rsid w:val="002B74FA"/>
    <w:rsid w:val="002C4127"/>
    <w:rsid w:val="002C51AF"/>
    <w:rsid w:val="002C7B21"/>
    <w:rsid w:val="002D6044"/>
    <w:rsid w:val="002D6660"/>
    <w:rsid w:val="002E1ED9"/>
    <w:rsid w:val="002E41F0"/>
    <w:rsid w:val="002F6589"/>
    <w:rsid w:val="00303A18"/>
    <w:rsid w:val="00303B6E"/>
    <w:rsid w:val="00303E68"/>
    <w:rsid w:val="00313D0E"/>
    <w:rsid w:val="00314491"/>
    <w:rsid w:val="003151C1"/>
    <w:rsid w:val="00321266"/>
    <w:rsid w:val="00322FC8"/>
    <w:rsid w:val="00324AC6"/>
    <w:rsid w:val="00325B7C"/>
    <w:rsid w:val="00325BD6"/>
    <w:rsid w:val="00327A63"/>
    <w:rsid w:val="00330521"/>
    <w:rsid w:val="0033251B"/>
    <w:rsid w:val="00333F2B"/>
    <w:rsid w:val="00334E5B"/>
    <w:rsid w:val="00335334"/>
    <w:rsid w:val="0033705A"/>
    <w:rsid w:val="00341E5B"/>
    <w:rsid w:val="00342741"/>
    <w:rsid w:val="003528EE"/>
    <w:rsid w:val="00352A8C"/>
    <w:rsid w:val="00355FF4"/>
    <w:rsid w:val="003675E8"/>
    <w:rsid w:val="0036787E"/>
    <w:rsid w:val="003679FC"/>
    <w:rsid w:val="00367DE5"/>
    <w:rsid w:val="00367F05"/>
    <w:rsid w:val="00372866"/>
    <w:rsid w:val="00372AA1"/>
    <w:rsid w:val="003737ED"/>
    <w:rsid w:val="0037405F"/>
    <w:rsid w:val="0037583C"/>
    <w:rsid w:val="00381E63"/>
    <w:rsid w:val="00384377"/>
    <w:rsid w:val="003860BB"/>
    <w:rsid w:val="00386C56"/>
    <w:rsid w:val="00394693"/>
    <w:rsid w:val="00394BC2"/>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3DC5"/>
    <w:rsid w:val="003F49B2"/>
    <w:rsid w:val="003F74BD"/>
    <w:rsid w:val="0040467E"/>
    <w:rsid w:val="00404A94"/>
    <w:rsid w:val="00406519"/>
    <w:rsid w:val="00406A4D"/>
    <w:rsid w:val="004137F3"/>
    <w:rsid w:val="0041524B"/>
    <w:rsid w:val="004167A6"/>
    <w:rsid w:val="00417E64"/>
    <w:rsid w:val="00421F7F"/>
    <w:rsid w:val="00422232"/>
    <w:rsid w:val="00424D80"/>
    <w:rsid w:val="00425D31"/>
    <w:rsid w:val="00432D54"/>
    <w:rsid w:val="00434A91"/>
    <w:rsid w:val="004361FB"/>
    <w:rsid w:val="00436EAA"/>
    <w:rsid w:val="0044207B"/>
    <w:rsid w:val="00442D9B"/>
    <w:rsid w:val="00446BAD"/>
    <w:rsid w:val="004521F4"/>
    <w:rsid w:val="00456048"/>
    <w:rsid w:val="004561FB"/>
    <w:rsid w:val="00456AEB"/>
    <w:rsid w:val="00456B11"/>
    <w:rsid w:val="00460A41"/>
    <w:rsid w:val="00462396"/>
    <w:rsid w:val="0046628B"/>
    <w:rsid w:val="00470D62"/>
    <w:rsid w:val="00470EBC"/>
    <w:rsid w:val="00481E6F"/>
    <w:rsid w:val="00483C7E"/>
    <w:rsid w:val="00484D06"/>
    <w:rsid w:val="00485130"/>
    <w:rsid w:val="00485D5F"/>
    <w:rsid w:val="004903D9"/>
    <w:rsid w:val="004926A3"/>
    <w:rsid w:val="00493D6F"/>
    <w:rsid w:val="004945C5"/>
    <w:rsid w:val="0049757B"/>
    <w:rsid w:val="00497789"/>
    <w:rsid w:val="004A0601"/>
    <w:rsid w:val="004A0657"/>
    <w:rsid w:val="004A1BC6"/>
    <w:rsid w:val="004A1FE0"/>
    <w:rsid w:val="004A2E5C"/>
    <w:rsid w:val="004A53C4"/>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79F4"/>
    <w:rsid w:val="004F0336"/>
    <w:rsid w:val="004F42AE"/>
    <w:rsid w:val="004F686D"/>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30D5D"/>
    <w:rsid w:val="00532C4E"/>
    <w:rsid w:val="00537458"/>
    <w:rsid w:val="00540FF7"/>
    <w:rsid w:val="00543DC7"/>
    <w:rsid w:val="005443C4"/>
    <w:rsid w:val="00544BDC"/>
    <w:rsid w:val="005513CF"/>
    <w:rsid w:val="00552CB2"/>
    <w:rsid w:val="00555F6D"/>
    <w:rsid w:val="00557811"/>
    <w:rsid w:val="0056026A"/>
    <w:rsid w:val="00563C5B"/>
    <w:rsid w:val="00565AFB"/>
    <w:rsid w:val="00565E38"/>
    <w:rsid w:val="00566805"/>
    <w:rsid w:val="00571125"/>
    <w:rsid w:val="00573510"/>
    <w:rsid w:val="005779FB"/>
    <w:rsid w:val="005813BF"/>
    <w:rsid w:val="005821A3"/>
    <w:rsid w:val="005923D2"/>
    <w:rsid w:val="0059761B"/>
    <w:rsid w:val="005B4250"/>
    <w:rsid w:val="005B4ECA"/>
    <w:rsid w:val="005B581E"/>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0E05"/>
    <w:rsid w:val="006036D2"/>
    <w:rsid w:val="006037F6"/>
    <w:rsid w:val="00603985"/>
    <w:rsid w:val="006070B0"/>
    <w:rsid w:val="00610A79"/>
    <w:rsid w:val="00615BB4"/>
    <w:rsid w:val="00621B4D"/>
    <w:rsid w:val="00621CDF"/>
    <w:rsid w:val="00622C70"/>
    <w:rsid w:val="00623B06"/>
    <w:rsid w:val="00630575"/>
    <w:rsid w:val="006358DB"/>
    <w:rsid w:val="006513A2"/>
    <w:rsid w:val="0065284C"/>
    <w:rsid w:val="00654878"/>
    <w:rsid w:val="00654BB0"/>
    <w:rsid w:val="00657348"/>
    <w:rsid w:val="00657BF0"/>
    <w:rsid w:val="0066182B"/>
    <w:rsid w:val="006735D4"/>
    <w:rsid w:val="00674A31"/>
    <w:rsid w:val="00680B49"/>
    <w:rsid w:val="00683A11"/>
    <w:rsid w:val="00691A54"/>
    <w:rsid w:val="00692802"/>
    <w:rsid w:val="00693835"/>
    <w:rsid w:val="00693E03"/>
    <w:rsid w:val="00694533"/>
    <w:rsid w:val="00694DFF"/>
    <w:rsid w:val="00696470"/>
    <w:rsid w:val="00697869"/>
    <w:rsid w:val="006A4568"/>
    <w:rsid w:val="006B1830"/>
    <w:rsid w:val="006B338F"/>
    <w:rsid w:val="006B3831"/>
    <w:rsid w:val="006B5CDC"/>
    <w:rsid w:val="006C19D2"/>
    <w:rsid w:val="006C4175"/>
    <w:rsid w:val="006C4633"/>
    <w:rsid w:val="006C49A5"/>
    <w:rsid w:val="006C74FA"/>
    <w:rsid w:val="006D0EC6"/>
    <w:rsid w:val="006D39D0"/>
    <w:rsid w:val="006D4B4C"/>
    <w:rsid w:val="006D6C9D"/>
    <w:rsid w:val="006D7E50"/>
    <w:rsid w:val="006E0599"/>
    <w:rsid w:val="006E230C"/>
    <w:rsid w:val="006E26E4"/>
    <w:rsid w:val="006E35E2"/>
    <w:rsid w:val="006E39DC"/>
    <w:rsid w:val="006E58B8"/>
    <w:rsid w:val="006F09BA"/>
    <w:rsid w:val="006F2080"/>
    <w:rsid w:val="006F3C1A"/>
    <w:rsid w:val="006F4687"/>
    <w:rsid w:val="006F5DBE"/>
    <w:rsid w:val="006F69CB"/>
    <w:rsid w:val="006F79C3"/>
    <w:rsid w:val="006F7F14"/>
    <w:rsid w:val="00702B38"/>
    <w:rsid w:val="00702BF0"/>
    <w:rsid w:val="00704AB3"/>
    <w:rsid w:val="00707BC9"/>
    <w:rsid w:val="00712CF8"/>
    <w:rsid w:val="0071363A"/>
    <w:rsid w:val="00713F37"/>
    <w:rsid w:val="007266ED"/>
    <w:rsid w:val="007279F8"/>
    <w:rsid w:val="007303AB"/>
    <w:rsid w:val="007315DB"/>
    <w:rsid w:val="00735474"/>
    <w:rsid w:val="00741F1E"/>
    <w:rsid w:val="007509C5"/>
    <w:rsid w:val="00753D8D"/>
    <w:rsid w:val="00753FA3"/>
    <w:rsid w:val="00756C8C"/>
    <w:rsid w:val="00757D4C"/>
    <w:rsid w:val="00760250"/>
    <w:rsid w:val="00763DD7"/>
    <w:rsid w:val="00770ED4"/>
    <w:rsid w:val="007829A4"/>
    <w:rsid w:val="00785F60"/>
    <w:rsid w:val="00791659"/>
    <w:rsid w:val="00794B88"/>
    <w:rsid w:val="007966AF"/>
    <w:rsid w:val="007A2CE0"/>
    <w:rsid w:val="007A495C"/>
    <w:rsid w:val="007B13A2"/>
    <w:rsid w:val="007B256D"/>
    <w:rsid w:val="007B27AC"/>
    <w:rsid w:val="007B2BD1"/>
    <w:rsid w:val="007C0CD4"/>
    <w:rsid w:val="007C13ED"/>
    <w:rsid w:val="007C3050"/>
    <w:rsid w:val="007C6ADC"/>
    <w:rsid w:val="007D2622"/>
    <w:rsid w:val="007D3BBF"/>
    <w:rsid w:val="007D49DA"/>
    <w:rsid w:val="007D51A4"/>
    <w:rsid w:val="007D794E"/>
    <w:rsid w:val="007E2DB6"/>
    <w:rsid w:val="007E5EDA"/>
    <w:rsid w:val="007E7C89"/>
    <w:rsid w:val="007F27B4"/>
    <w:rsid w:val="007F44B6"/>
    <w:rsid w:val="00801573"/>
    <w:rsid w:val="00801973"/>
    <w:rsid w:val="0080252A"/>
    <w:rsid w:val="008051CA"/>
    <w:rsid w:val="00806C2E"/>
    <w:rsid w:val="00807144"/>
    <w:rsid w:val="0081024D"/>
    <w:rsid w:val="00817506"/>
    <w:rsid w:val="008215FC"/>
    <w:rsid w:val="00831F03"/>
    <w:rsid w:val="00836A3B"/>
    <w:rsid w:val="00837766"/>
    <w:rsid w:val="00842C68"/>
    <w:rsid w:val="008433E0"/>
    <w:rsid w:val="00850D6A"/>
    <w:rsid w:val="0085695D"/>
    <w:rsid w:val="0086223C"/>
    <w:rsid w:val="00863131"/>
    <w:rsid w:val="0086360F"/>
    <w:rsid w:val="008658A9"/>
    <w:rsid w:val="00865CD1"/>
    <w:rsid w:val="008717F9"/>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5160"/>
    <w:rsid w:val="008D49ED"/>
    <w:rsid w:val="008E0EC4"/>
    <w:rsid w:val="008F0257"/>
    <w:rsid w:val="008F1B1C"/>
    <w:rsid w:val="009005B7"/>
    <w:rsid w:val="009020C5"/>
    <w:rsid w:val="00903BE2"/>
    <w:rsid w:val="00910EA0"/>
    <w:rsid w:val="009142FD"/>
    <w:rsid w:val="00917209"/>
    <w:rsid w:val="009177FF"/>
    <w:rsid w:val="00921E3D"/>
    <w:rsid w:val="00925201"/>
    <w:rsid w:val="00931956"/>
    <w:rsid w:val="00937C07"/>
    <w:rsid w:val="00946F98"/>
    <w:rsid w:val="009547AA"/>
    <w:rsid w:val="00955DC8"/>
    <w:rsid w:val="0095647C"/>
    <w:rsid w:val="00957439"/>
    <w:rsid w:val="00960106"/>
    <w:rsid w:val="009650CC"/>
    <w:rsid w:val="00970829"/>
    <w:rsid w:val="009724D2"/>
    <w:rsid w:val="00974732"/>
    <w:rsid w:val="009771C2"/>
    <w:rsid w:val="009779CF"/>
    <w:rsid w:val="00980027"/>
    <w:rsid w:val="009806F0"/>
    <w:rsid w:val="009817F4"/>
    <w:rsid w:val="0098308A"/>
    <w:rsid w:val="00985735"/>
    <w:rsid w:val="0098620D"/>
    <w:rsid w:val="009A16F5"/>
    <w:rsid w:val="009A232C"/>
    <w:rsid w:val="009A2922"/>
    <w:rsid w:val="009B0042"/>
    <w:rsid w:val="009B2D5C"/>
    <w:rsid w:val="009B3D5C"/>
    <w:rsid w:val="009C3EEC"/>
    <w:rsid w:val="009C691B"/>
    <w:rsid w:val="009C77B5"/>
    <w:rsid w:val="009D0730"/>
    <w:rsid w:val="009D1895"/>
    <w:rsid w:val="009D207E"/>
    <w:rsid w:val="009D3716"/>
    <w:rsid w:val="009D7ECD"/>
    <w:rsid w:val="009E0761"/>
    <w:rsid w:val="009E2C26"/>
    <w:rsid w:val="009E4FFA"/>
    <w:rsid w:val="009E5019"/>
    <w:rsid w:val="009E73D1"/>
    <w:rsid w:val="009F1670"/>
    <w:rsid w:val="009F20EB"/>
    <w:rsid w:val="00A01F35"/>
    <w:rsid w:val="00A03270"/>
    <w:rsid w:val="00A03DB5"/>
    <w:rsid w:val="00A06EFE"/>
    <w:rsid w:val="00A10B3E"/>
    <w:rsid w:val="00A116DB"/>
    <w:rsid w:val="00A164C2"/>
    <w:rsid w:val="00A176A9"/>
    <w:rsid w:val="00A20FBE"/>
    <w:rsid w:val="00A2224C"/>
    <w:rsid w:val="00A267E4"/>
    <w:rsid w:val="00A26B62"/>
    <w:rsid w:val="00A32059"/>
    <w:rsid w:val="00A32904"/>
    <w:rsid w:val="00A3362F"/>
    <w:rsid w:val="00A33942"/>
    <w:rsid w:val="00A3564F"/>
    <w:rsid w:val="00A40CF6"/>
    <w:rsid w:val="00A41E3C"/>
    <w:rsid w:val="00A47158"/>
    <w:rsid w:val="00A50143"/>
    <w:rsid w:val="00A5593A"/>
    <w:rsid w:val="00A55D2D"/>
    <w:rsid w:val="00A56C20"/>
    <w:rsid w:val="00A56D8F"/>
    <w:rsid w:val="00A63B80"/>
    <w:rsid w:val="00A650C1"/>
    <w:rsid w:val="00A672FF"/>
    <w:rsid w:val="00A7200A"/>
    <w:rsid w:val="00A7439C"/>
    <w:rsid w:val="00A7507E"/>
    <w:rsid w:val="00A772E4"/>
    <w:rsid w:val="00A839CF"/>
    <w:rsid w:val="00A84EE8"/>
    <w:rsid w:val="00A87ABE"/>
    <w:rsid w:val="00A946F4"/>
    <w:rsid w:val="00A947C2"/>
    <w:rsid w:val="00A957D3"/>
    <w:rsid w:val="00A97094"/>
    <w:rsid w:val="00A97D97"/>
    <w:rsid w:val="00AA1C0D"/>
    <w:rsid w:val="00AA3616"/>
    <w:rsid w:val="00AA4A54"/>
    <w:rsid w:val="00AA5D8E"/>
    <w:rsid w:val="00AB40A7"/>
    <w:rsid w:val="00AC0302"/>
    <w:rsid w:val="00AC05A6"/>
    <w:rsid w:val="00AC0A4D"/>
    <w:rsid w:val="00AC2350"/>
    <w:rsid w:val="00AC2A2F"/>
    <w:rsid w:val="00AC6222"/>
    <w:rsid w:val="00AC6390"/>
    <w:rsid w:val="00AD2FA9"/>
    <w:rsid w:val="00AD535F"/>
    <w:rsid w:val="00AD5C5D"/>
    <w:rsid w:val="00AE203D"/>
    <w:rsid w:val="00AE213F"/>
    <w:rsid w:val="00AE3477"/>
    <w:rsid w:val="00AE55EF"/>
    <w:rsid w:val="00AE732E"/>
    <w:rsid w:val="00AF22CC"/>
    <w:rsid w:val="00AF4241"/>
    <w:rsid w:val="00AF4993"/>
    <w:rsid w:val="00B013BC"/>
    <w:rsid w:val="00B02232"/>
    <w:rsid w:val="00B04DC3"/>
    <w:rsid w:val="00B076AC"/>
    <w:rsid w:val="00B119A9"/>
    <w:rsid w:val="00B15278"/>
    <w:rsid w:val="00B174B8"/>
    <w:rsid w:val="00B2270A"/>
    <w:rsid w:val="00B2295E"/>
    <w:rsid w:val="00B277DD"/>
    <w:rsid w:val="00B27DE4"/>
    <w:rsid w:val="00B35AB5"/>
    <w:rsid w:val="00B360C4"/>
    <w:rsid w:val="00B41BA4"/>
    <w:rsid w:val="00B43EAB"/>
    <w:rsid w:val="00B5040F"/>
    <w:rsid w:val="00B51CC8"/>
    <w:rsid w:val="00B555A7"/>
    <w:rsid w:val="00B65EEC"/>
    <w:rsid w:val="00B80C12"/>
    <w:rsid w:val="00B83385"/>
    <w:rsid w:val="00B83DD8"/>
    <w:rsid w:val="00B86F54"/>
    <w:rsid w:val="00B9195D"/>
    <w:rsid w:val="00B95304"/>
    <w:rsid w:val="00B963CE"/>
    <w:rsid w:val="00B968CF"/>
    <w:rsid w:val="00BA081A"/>
    <w:rsid w:val="00BA3D1E"/>
    <w:rsid w:val="00BB0E21"/>
    <w:rsid w:val="00BB179D"/>
    <w:rsid w:val="00BC11CA"/>
    <w:rsid w:val="00BC156A"/>
    <w:rsid w:val="00BC2F69"/>
    <w:rsid w:val="00BC6BF2"/>
    <w:rsid w:val="00BD112C"/>
    <w:rsid w:val="00BD128F"/>
    <w:rsid w:val="00BD1F5B"/>
    <w:rsid w:val="00BD29F7"/>
    <w:rsid w:val="00BD4423"/>
    <w:rsid w:val="00BD49CD"/>
    <w:rsid w:val="00BD7051"/>
    <w:rsid w:val="00BD7562"/>
    <w:rsid w:val="00BD776E"/>
    <w:rsid w:val="00BE0D7D"/>
    <w:rsid w:val="00BE1217"/>
    <w:rsid w:val="00BE37B5"/>
    <w:rsid w:val="00BE49C7"/>
    <w:rsid w:val="00BF66E8"/>
    <w:rsid w:val="00BF6C8D"/>
    <w:rsid w:val="00BF75C5"/>
    <w:rsid w:val="00C00B7B"/>
    <w:rsid w:val="00C01111"/>
    <w:rsid w:val="00C02510"/>
    <w:rsid w:val="00C02907"/>
    <w:rsid w:val="00C040E2"/>
    <w:rsid w:val="00C04933"/>
    <w:rsid w:val="00C05F75"/>
    <w:rsid w:val="00C15006"/>
    <w:rsid w:val="00C24D14"/>
    <w:rsid w:val="00C260DE"/>
    <w:rsid w:val="00C26BD3"/>
    <w:rsid w:val="00C3182E"/>
    <w:rsid w:val="00C323F7"/>
    <w:rsid w:val="00C35436"/>
    <w:rsid w:val="00C35C67"/>
    <w:rsid w:val="00C35E01"/>
    <w:rsid w:val="00C362D6"/>
    <w:rsid w:val="00C4327A"/>
    <w:rsid w:val="00C45830"/>
    <w:rsid w:val="00C47F23"/>
    <w:rsid w:val="00C53617"/>
    <w:rsid w:val="00C550F3"/>
    <w:rsid w:val="00C56448"/>
    <w:rsid w:val="00C62BD4"/>
    <w:rsid w:val="00C63339"/>
    <w:rsid w:val="00C64B78"/>
    <w:rsid w:val="00C64D11"/>
    <w:rsid w:val="00C66589"/>
    <w:rsid w:val="00C66812"/>
    <w:rsid w:val="00C66ADE"/>
    <w:rsid w:val="00C66C39"/>
    <w:rsid w:val="00C66D1C"/>
    <w:rsid w:val="00C71704"/>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A0D1B"/>
    <w:rsid w:val="00CA3743"/>
    <w:rsid w:val="00CA37C9"/>
    <w:rsid w:val="00CA686E"/>
    <w:rsid w:val="00CA6904"/>
    <w:rsid w:val="00CB0D9F"/>
    <w:rsid w:val="00CB2394"/>
    <w:rsid w:val="00CB3B74"/>
    <w:rsid w:val="00CB51C5"/>
    <w:rsid w:val="00CB5564"/>
    <w:rsid w:val="00CC131F"/>
    <w:rsid w:val="00CC4416"/>
    <w:rsid w:val="00CC49F1"/>
    <w:rsid w:val="00CC7484"/>
    <w:rsid w:val="00CD404D"/>
    <w:rsid w:val="00CD5701"/>
    <w:rsid w:val="00CD6DC7"/>
    <w:rsid w:val="00CE1705"/>
    <w:rsid w:val="00CE1A05"/>
    <w:rsid w:val="00CE4595"/>
    <w:rsid w:val="00CE6E3B"/>
    <w:rsid w:val="00CE7411"/>
    <w:rsid w:val="00CF104C"/>
    <w:rsid w:val="00CF1B7B"/>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27EC9"/>
    <w:rsid w:val="00D325F5"/>
    <w:rsid w:val="00D32987"/>
    <w:rsid w:val="00D374E8"/>
    <w:rsid w:val="00D40E2E"/>
    <w:rsid w:val="00D40FF7"/>
    <w:rsid w:val="00D421A2"/>
    <w:rsid w:val="00D51528"/>
    <w:rsid w:val="00D51CA0"/>
    <w:rsid w:val="00D520C4"/>
    <w:rsid w:val="00D534B4"/>
    <w:rsid w:val="00D551D4"/>
    <w:rsid w:val="00D60262"/>
    <w:rsid w:val="00D63A62"/>
    <w:rsid w:val="00D65422"/>
    <w:rsid w:val="00D66C07"/>
    <w:rsid w:val="00D70298"/>
    <w:rsid w:val="00D707DC"/>
    <w:rsid w:val="00D71199"/>
    <w:rsid w:val="00D72072"/>
    <w:rsid w:val="00D724DC"/>
    <w:rsid w:val="00D76249"/>
    <w:rsid w:val="00D8184D"/>
    <w:rsid w:val="00D82BB5"/>
    <w:rsid w:val="00D82CD1"/>
    <w:rsid w:val="00D842F5"/>
    <w:rsid w:val="00D84472"/>
    <w:rsid w:val="00D849C1"/>
    <w:rsid w:val="00D92261"/>
    <w:rsid w:val="00D945D0"/>
    <w:rsid w:val="00D9490B"/>
    <w:rsid w:val="00DA2733"/>
    <w:rsid w:val="00DA3E3F"/>
    <w:rsid w:val="00DB1AB1"/>
    <w:rsid w:val="00DB7E8A"/>
    <w:rsid w:val="00DC1814"/>
    <w:rsid w:val="00DC4CF5"/>
    <w:rsid w:val="00DC654A"/>
    <w:rsid w:val="00DC71B8"/>
    <w:rsid w:val="00DD0CF5"/>
    <w:rsid w:val="00DD18E0"/>
    <w:rsid w:val="00DD38A0"/>
    <w:rsid w:val="00DD5769"/>
    <w:rsid w:val="00DE4429"/>
    <w:rsid w:val="00DF0FE8"/>
    <w:rsid w:val="00E00E93"/>
    <w:rsid w:val="00E01261"/>
    <w:rsid w:val="00E04E81"/>
    <w:rsid w:val="00E05446"/>
    <w:rsid w:val="00E12364"/>
    <w:rsid w:val="00E12FA2"/>
    <w:rsid w:val="00E13EF4"/>
    <w:rsid w:val="00E15DFC"/>
    <w:rsid w:val="00E237FE"/>
    <w:rsid w:val="00E32615"/>
    <w:rsid w:val="00E3467D"/>
    <w:rsid w:val="00E43461"/>
    <w:rsid w:val="00E45B46"/>
    <w:rsid w:val="00E46A19"/>
    <w:rsid w:val="00E47039"/>
    <w:rsid w:val="00E51DC7"/>
    <w:rsid w:val="00E56C86"/>
    <w:rsid w:val="00E6157E"/>
    <w:rsid w:val="00E670B4"/>
    <w:rsid w:val="00E67146"/>
    <w:rsid w:val="00E67618"/>
    <w:rsid w:val="00E6770B"/>
    <w:rsid w:val="00E70D9D"/>
    <w:rsid w:val="00E71928"/>
    <w:rsid w:val="00E72D73"/>
    <w:rsid w:val="00E760F4"/>
    <w:rsid w:val="00E81E63"/>
    <w:rsid w:val="00E86406"/>
    <w:rsid w:val="00E86D17"/>
    <w:rsid w:val="00E96641"/>
    <w:rsid w:val="00EA1E73"/>
    <w:rsid w:val="00EB0A2B"/>
    <w:rsid w:val="00EB2378"/>
    <w:rsid w:val="00EB40F6"/>
    <w:rsid w:val="00EB5804"/>
    <w:rsid w:val="00EB6C9D"/>
    <w:rsid w:val="00EB764E"/>
    <w:rsid w:val="00EB7CDD"/>
    <w:rsid w:val="00EC02BF"/>
    <w:rsid w:val="00EC5A00"/>
    <w:rsid w:val="00ED16A5"/>
    <w:rsid w:val="00ED2E4F"/>
    <w:rsid w:val="00ED56EF"/>
    <w:rsid w:val="00EE4AAF"/>
    <w:rsid w:val="00EF115F"/>
    <w:rsid w:val="00EF4703"/>
    <w:rsid w:val="00EF4982"/>
    <w:rsid w:val="00EF58E3"/>
    <w:rsid w:val="00F015B1"/>
    <w:rsid w:val="00F02E4A"/>
    <w:rsid w:val="00F03373"/>
    <w:rsid w:val="00F05251"/>
    <w:rsid w:val="00F100D8"/>
    <w:rsid w:val="00F12D55"/>
    <w:rsid w:val="00F14041"/>
    <w:rsid w:val="00F17269"/>
    <w:rsid w:val="00F20925"/>
    <w:rsid w:val="00F23F6A"/>
    <w:rsid w:val="00F25B9C"/>
    <w:rsid w:val="00F26C9E"/>
    <w:rsid w:val="00F27A39"/>
    <w:rsid w:val="00F27ACC"/>
    <w:rsid w:val="00F30134"/>
    <w:rsid w:val="00F33B91"/>
    <w:rsid w:val="00F33BF9"/>
    <w:rsid w:val="00F371C2"/>
    <w:rsid w:val="00F41B58"/>
    <w:rsid w:val="00F42DBE"/>
    <w:rsid w:val="00F42F77"/>
    <w:rsid w:val="00F466A8"/>
    <w:rsid w:val="00F512A2"/>
    <w:rsid w:val="00F54667"/>
    <w:rsid w:val="00F54FBB"/>
    <w:rsid w:val="00F550E3"/>
    <w:rsid w:val="00F62BA9"/>
    <w:rsid w:val="00F6334E"/>
    <w:rsid w:val="00F65740"/>
    <w:rsid w:val="00F70A61"/>
    <w:rsid w:val="00F71A4B"/>
    <w:rsid w:val="00F723A0"/>
    <w:rsid w:val="00F73F69"/>
    <w:rsid w:val="00F77B12"/>
    <w:rsid w:val="00F84055"/>
    <w:rsid w:val="00F85010"/>
    <w:rsid w:val="00F853B6"/>
    <w:rsid w:val="00F86C2A"/>
    <w:rsid w:val="00F96161"/>
    <w:rsid w:val="00F96475"/>
    <w:rsid w:val="00FA1B7B"/>
    <w:rsid w:val="00FA268B"/>
    <w:rsid w:val="00FA2B8C"/>
    <w:rsid w:val="00FA5FA5"/>
    <w:rsid w:val="00FA7010"/>
    <w:rsid w:val="00FB2857"/>
    <w:rsid w:val="00FB4266"/>
    <w:rsid w:val="00FB632A"/>
    <w:rsid w:val="00FC765B"/>
    <w:rsid w:val="00FD3BF5"/>
    <w:rsid w:val="00FD3F21"/>
    <w:rsid w:val="00FD6EB5"/>
    <w:rsid w:val="00FE2311"/>
    <w:rsid w:val="00FE289C"/>
    <w:rsid w:val="00FE55C7"/>
    <w:rsid w:val="00FE585C"/>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semiHidden/>
    <w:unhideWhenUsed/>
    <w:rsid w:val="00CB5564"/>
    <w:rPr>
      <w:sz w:val="20"/>
      <w:szCs w:val="20"/>
    </w:rPr>
  </w:style>
  <w:style w:type="character" w:customStyle="1" w:styleId="CommentTextChar">
    <w:name w:val="Comment Text Char"/>
    <w:basedOn w:val="DefaultParagraphFont"/>
    <w:link w:val="CommentText"/>
    <w:uiPriority w:val="99"/>
    <w:semiHidden/>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ytas.stalnionis@citus.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918</Words>
  <Characters>5236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6142</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2</cp:revision>
  <cp:lastPrinted>2018-09-12T07:36:00Z</cp:lastPrinted>
  <dcterms:created xsi:type="dcterms:W3CDTF">2022-10-03T12:51:00Z</dcterms:created>
  <dcterms:modified xsi:type="dcterms:W3CDTF">2022-10-03T12:51:00Z</dcterms:modified>
</cp:coreProperties>
</file>