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6EC756F8"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CE5CFD">
        <w:rPr>
          <w:rFonts w:ascii="Times New Roman" w:hAnsi="Times New Roman" w:cs="Times New Roman"/>
          <w:sz w:val="28"/>
          <w:szCs w:val="24"/>
          <w:lang w:val="en-US"/>
        </w:rPr>
        <w:t>10</w:t>
      </w:r>
      <w:r w:rsidR="002F6B5E">
        <w:rPr>
          <w:rFonts w:ascii="Times New Roman" w:hAnsi="Times New Roman" w:cs="Times New Roman"/>
          <w:sz w:val="28"/>
          <w:szCs w:val="24"/>
          <w:lang w:val="en-US"/>
        </w:rPr>
        <w:t>-</w:t>
      </w:r>
      <w:r w:rsidR="00CE5CFD">
        <w:rPr>
          <w:rFonts w:ascii="Times New Roman" w:hAnsi="Times New Roman" w:cs="Times New Roman"/>
          <w:sz w:val="28"/>
          <w:szCs w:val="24"/>
          <w:lang w:val="en-US"/>
        </w:rPr>
        <w:t>07</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28B1901B" w14:textId="77777777" w:rsidR="00CE5CFD" w:rsidRDefault="00CE5CFD" w:rsidP="00CE5CFD">
      <w:pPr>
        <w:spacing w:after="0" w:line="240" w:lineRule="auto"/>
        <w:ind w:left="-851"/>
        <w:jc w:val="center"/>
        <w:rPr>
          <w:rFonts w:asciiTheme="majorBidi" w:eastAsia="Times New Roman" w:hAnsiTheme="majorBidi" w:cstheme="majorBidi"/>
          <w:b/>
          <w:bCs/>
          <w:color w:val="000000" w:themeColor="text1"/>
          <w:lang w:eastAsia="lt-LT"/>
        </w:rPr>
      </w:pPr>
      <w:r>
        <w:rPr>
          <w:rFonts w:asciiTheme="majorBidi" w:eastAsia="Times New Roman" w:hAnsiTheme="majorBidi" w:cstheme="majorBidi"/>
          <w:b/>
          <w:bCs/>
          <w:color w:val="000000" w:themeColor="text1"/>
          <w:lang w:eastAsia="lt-LT"/>
        </w:rPr>
        <w:t>2023 m. „Sodros“ biudžeto pajamos viršys išlaidas, rezervas artėja link 2 milijardų eurų</w:t>
      </w:r>
    </w:p>
    <w:p w14:paraId="3EF22D55"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6BC1E154"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r>
        <w:rPr>
          <w:rFonts w:asciiTheme="majorBidi" w:eastAsia="Times New Roman" w:hAnsiTheme="majorBidi" w:cstheme="majorBidi"/>
          <w:b/>
          <w:bCs/>
          <w:color w:val="000000" w:themeColor="text1"/>
          <w:spacing w:val="2"/>
          <w:lang w:eastAsia="lt-LT"/>
        </w:rPr>
        <w:t>2023 m. „Sodros“ biudžetas bus subalansuotas, pajamos viršys išlaidas beveik 235 mln. eurų, rezervas, prognozuojama, pasieks 1 mlrd. 605 mln. eurų. Didžiausią „Sodros“ išlaidų dalį kitąmet sudarys išlaidos socialinio draudimo pensijoms – 4 mlrd. 911 mln. eurų, t. y. apie 13 proc. daugiau nei šiemet. Socialinės apsaugos ir darbo ministerijos parengtame ateinančių metų „Sodros“ biudžeto projekte taip pat numatyta motinystės socialinio draudimo išmokoms skirti beveik 477 mln. eurų, t. y. 68 mln. eurų arba 16,6 proc. daugiau nei 2022 m. </w:t>
      </w:r>
    </w:p>
    <w:p w14:paraId="07EE505A"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p>
    <w:p w14:paraId="5C8D317C" w14:textId="77777777" w:rsidR="00CE5CFD" w:rsidRDefault="00CE5CFD" w:rsidP="00CE5CFD">
      <w:pPr>
        <w:shd w:val="clear" w:color="auto" w:fill="FFFFFF"/>
        <w:spacing w:after="0" w:line="240" w:lineRule="auto"/>
        <w:ind w:left="-851"/>
        <w:jc w:val="both"/>
        <w:rPr>
          <w:rFonts w:asciiTheme="majorBidi" w:hAnsiTheme="majorBidi" w:cstheme="majorBidi"/>
          <w:color w:val="000000" w:themeColor="text1"/>
          <w:spacing w:val="2"/>
          <w:shd w:val="clear" w:color="auto" w:fill="FFFFFF"/>
        </w:rPr>
      </w:pPr>
      <w:r>
        <w:rPr>
          <w:rFonts w:asciiTheme="majorBidi" w:hAnsiTheme="majorBidi" w:cstheme="majorBidi"/>
          <w:color w:val="000000" w:themeColor="text1"/>
          <w:spacing w:val="2"/>
          <w:shd w:val="clear" w:color="auto" w:fill="FFFFFF"/>
        </w:rPr>
        <w:t xml:space="preserve">„Planuojame, kad kitąmet „Sodros“ biudžeto pajamos viršys išlaidas, o rezervas artės link 2 milijardų eurų. Jeigu šalies ekonominės prognozės nesikeis, visos socialinio draudimo rūšys, pensijų, ligos, motinystės ir nedarbo, turėtų formuoti teigiamą „Sodros“ biudžeto rezultatą”, – sako socialinės apsaugos ir darbo ministrė Monika Navickienė. </w:t>
      </w:r>
    </w:p>
    <w:p w14:paraId="2FB04301" w14:textId="77777777" w:rsidR="00CE5CFD" w:rsidRDefault="00CE5CFD" w:rsidP="00CE5CFD">
      <w:pPr>
        <w:shd w:val="clear" w:color="auto" w:fill="FFFFFF"/>
        <w:spacing w:after="0" w:line="240" w:lineRule="auto"/>
        <w:ind w:left="-851"/>
        <w:jc w:val="both"/>
        <w:rPr>
          <w:rFonts w:asciiTheme="majorBidi" w:hAnsiTheme="majorBidi" w:cstheme="majorBidi"/>
          <w:color w:val="000000" w:themeColor="text1"/>
          <w:spacing w:val="2"/>
          <w:shd w:val="clear" w:color="auto" w:fill="FFFFFF"/>
        </w:rPr>
      </w:pPr>
    </w:p>
    <w:p w14:paraId="180758DA" w14:textId="77777777" w:rsidR="00CE5CFD" w:rsidRDefault="00CE5CFD" w:rsidP="00CE5CFD">
      <w:pPr>
        <w:shd w:val="clear" w:color="auto" w:fill="FFFFFF"/>
        <w:spacing w:after="0" w:line="240" w:lineRule="auto"/>
        <w:ind w:left="-851"/>
        <w:jc w:val="both"/>
        <w:rPr>
          <w:rFonts w:asciiTheme="majorBidi" w:hAnsiTheme="majorBidi" w:cstheme="majorBidi"/>
          <w:color w:val="000000" w:themeColor="text1"/>
          <w:spacing w:val="2"/>
          <w:shd w:val="clear" w:color="auto" w:fill="FFFFFF"/>
        </w:rPr>
      </w:pPr>
      <w:r>
        <w:rPr>
          <w:rFonts w:asciiTheme="majorBidi" w:hAnsiTheme="majorBidi" w:cstheme="majorBidi"/>
          <w:color w:val="000000" w:themeColor="text1"/>
          <w:spacing w:val="2"/>
          <w:shd w:val="clear" w:color="auto" w:fill="FFFFFF"/>
        </w:rPr>
        <w:t xml:space="preserve">Anot ministrės M. Navickienės, siekiant šeimoms padėti derinti šeiminius ir darbo įsipareigojimus, užtikrinti vyrų ir moterų lygybę darbo rinkoje, motinystės socialinio draudimo išlaidos didės 31,4 mln. eurų. Nuo kitų metų pradžios pasikeitus vaiko priežiūros išmokų dydžiams ir įvedus neperleidžiamus vaiko priežiūros atostogų mėnesius, papildomos lėšos pasieks šeimas, susilaukusias vaikų.   </w:t>
      </w:r>
    </w:p>
    <w:p w14:paraId="6CE874B7"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2CD2824C"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r>
        <w:rPr>
          <w:rFonts w:asciiTheme="majorBidi" w:eastAsia="Times New Roman" w:hAnsiTheme="majorBidi" w:cstheme="majorBidi"/>
          <w:b/>
          <w:bCs/>
          <w:color w:val="000000" w:themeColor="text1"/>
          <w:spacing w:val="2"/>
          <w:lang w:eastAsia="lt-LT"/>
        </w:rPr>
        <w:t>„Sodros“ pajamos viršys išlaidas</w:t>
      </w:r>
    </w:p>
    <w:p w14:paraId="22DD7427"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24BDCE24"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Prognozuojama, kad 2023 metais „Sodros“ biudžeto pajamos sieks 6 mlrd. 652 mln. eurų, t. y. bus 537 mln. eurų arba 8,8 proc. didesnės nei laukiama 2022 m. Pajamos daugiausia augs dėl šalies darbo užmokesčio fondo prognozuojamo 9 proc. augimo. </w:t>
      </w:r>
    </w:p>
    <w:p w14:paraId="209A09FB"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507D9FED"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 xml:space="preserve">Prognozuojama, kad 2023 metais „Sodros“ biudžeto išlaidos sieks 6 mlrd. 416 mln. eurų ir bus 764,3 mln. eurų arba 13,5 proc. didesnės nei laukiama 2022 metais. </w:t>
      </w:r>
    </w:p>
    <w:p w14:paraId="7E6D1458"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39B27E96"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Prognozuojama, kad 2023 m. „Sodros“ einamųjų metų pajamos viršys išlaidas 235,8 mln. eurų. Atsižvelgiant į 2022 m. rezultatus, prognozuojama, kad 2023 m. į rezervinį fondą bus pervesta 312,8 mln. eurų ir Rezervinio fondo dydis 2023 m. pasieks 1 mlrd. 605,6 mln. eurų.</w:t>
      </w:r>
    </w:p>
    <w:p w14:paraId="0FAF1BD5"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4BCB7DF7"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r>
        <w:rPr>
          <w:rFonts w:asciiTheme="majorBidi" w:eastAsia="Times New Roman" w:hAnsiTheme="majorBidi" w:cstheme="majorBidi"/>
          <w:b/>
          <w:bCs/>
          <w:color w:val="000000" w:themeColor="text1"/>
          <w:spacing w:val="2"/>
          <w:lang w:eastAsia="lt-LT"/>
        </w:rPr>
        <w:t>Daugiau lėšų pensijoms</w:t>
      </w:r>
    </w:p>
    <w:p w14:paraId="58AC406D"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63306B50"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 xml:space="preserve">Didžiausią „Sodros“ išlaidų dalį kitąmet sudarys išlaidos socialinio draudimo pensijoms. Joms numatyta skirti 4 mlrd. 911 mln. eurų, t. y. 581 mln. eurų arba 13,4 proc. daugiau nei laukiama 2022 m. Šių išlaidų didėjimą sąlygoja numatomas pensijų didinimas pagal apskaičiuotą pensijų indeksavimo koeficientą 2023 metams. </w:t>
      </w:r>
    </w:p>
    <w:p w14:paraId="5391D479"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1C90FBD4"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Vidutinė senatvės pensija, turint būtinąjį stažą, didėtų nuo 510 euro 2022 m. iki 575 eurų 2023 m., t. y. 6</w:t>
      </w:r>
      <w:r>
        <w:rPr>
          <w:rFonts w:asciiTheme="majorBidi" w:eastAsia="Times New Roman" w:hAnsiTheme="majorBidi" w:cstheme="majorBidi"/>
          <w:color w:val="000000" w:themeColor="text1"/>
          <w:spacing w:val="2"/>
          <w:lang w:val="en-US" w:eastAsia="lt-LT"/>
        </w:rPr>
        <w:t>5</w:t>
      </w:r>
      <w:r>
        <w:rPr>
          <w:rFonts w:asciiTheme="majorBidi" w:eastAsia="Times New Roman" w:hAnsiTheme="majorBidi" w:cstheme="majorBidi"/>
          <w:color w:val="000000" w:themeColor="text1"/>
          <w:spacing w:val="2"/>
          <w:lang w:eastAsia="lt-LT"/>
        </w:rPr>
        <w:t xml:space="preserve"> eurais arba 12,7 proc. 2022 m. įvairių rūšių pensijos mokamos 1 mln. 9890 pensijų gavėjų, o 2023 m., prognozuojama, pensijos bus mokamos 1 mln. 3630 pensijų gavėjų.</w:t>
      </w:r>
    </w:p>
    <w:p w14:paraId="0119ADA4"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512713D7"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 xml:space="preserve">Pensijų indeksavimui kitąmet bus papildomai skirta 397 mln. eurų, o individualiosios socialinio draudimo pensijos dalies papildomam indeksavimui </w:t>
      </w:r>
      <w:r>
        <w:rPr>
          <w:rFonts w:asciiTheme="majorBidi" w:eastAsia="Times New Roman" w:hAnsiTheme="majorBidi" w:cstheme="majorBidi"/>
          <w:color w:val="000000" w:themeColor="text1"/>
          <w:spacing w:val="2"/>
          <w:lang w:val="en-US" w:eastAsia="lt-LT"/>
        </w:rPr>
        <w:t>120</w:t>
      </w:r>
      <w:r>
        <w:rPr>
          <w:rFonts w:asciiTheme="majorBidi" w:eastAsia="Times New Roman" w:hAnsiTheme="majorBidi" w:cstheme="majorBidi"/>
          <w:color w:val="000000" w:themeColor="text1"/>
          <w:spacing w:val="2"/>
          <w:lang w:eastAsia="lt-LT"/>
        </w:rPr>
        <w:t xml:space="preserve"> mln. Eur.</w:t>
      </w:r>
      <w:r>
        <w:rPr>
          <w:rFonts w:asciiTheme="majorBidi" w:eastAsia="Times New Roman" w:hAnsiTheme="majorBidi" w:cstheme="majorBidi"/>
          <w:b/>
          <w:bCs/>
          <w:color w:val="000000" w:themeColor="text1"/>
          <w:spacing w:val="2"/>
          <w:lang w:eastAsia="lt-LT"/>
        </w:rPr>
        <w:t xml:space="preserve"> </w:t>
      </w:r>
    </w:p>
    <w:p w14:paraId="6330FFD6"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69D3AD26"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r>
        <w:rPr>
          <w:rFonts w:asciiTheme="majorBidi" w:eastAsia="Times New Roman" w:hAnsiTheme="majorBidi" w:cstheme="majorBidi"/>
          <w:b/>
          <w:bCs/>
          <w:color w:val="000000" w:themeColor="text1"/>
          <w:spacing w:val="2"/>
          <w:lang w:eastAsia="lt-LT"/>
        </w:rPr>
        <w:t>Pagalba šeimoms</w:t>
      </w:r>
    </w:p>
    <w:p w14:paraId="78A68708"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p>
    <w:p w14:paraId="27974441"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 xml:space="preserve">Nuo 2023 m. keičiama vaiko priežiūros išmokų mokėjimo trukmė ir atostogų metu mokamų vaiko priežiūros išmokų dydžiai. Taigi, motinystės socialinio draudimo išmokoms 2023 m. numatoma panaudoti 476,5 mln. eurų, t. y. 68 mln. eurų arba 16,6 proc. daugiau nei 2022 m. </w:t>
      </w:r>
    </w:p>
    <w:p w14:paraId="71223F50"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49E3C7C3"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Dėl Ligos ir motinystės socialinio draudimo įstatymo pataisų, siekiant šeimoms padėti derinti šeiminius ir darbo įsipareigojimus, užtikrinti vyrų ir moterų lygybę darbo rinkoje,</w:t>
      </w:r>
      <w:r>
        <w:rPr>
          <w:rFonts w:asciiTheme="majorBidi" w:eastAsiaTheme="minorEastAsia" w:hAnsiTheme="majorBidi" w:cstheme="majorBidi"/>
          <w:color w:val="000000" w:themeColor="text1"/>
          <w:kern w:val="24"/>
        </w:rPr>
        <w:t xml:space="preserve"> </w:t>
      </w:r>
      <w:r>
        <w:rPr>
          <w:rFonts w:asciiTheme="majorBidi" w:eastAsia="Times New Roman" w:hAnsiTheme="majorBidi" w:cstheme="majorBidi"/>
          <w:color w:val="000000" w:themeColor="text1"/>
          <w:spacing w:val="2"/>
          <w:lang w:eastAsia="lt-LT"/>
        </w:rPr>
        <w:t xml:space="preserve">kai keičiami vaiko priežiūros išmokos dydžiai ir </w:t>
      </w:r>
      <w:r>
        <w:rPr>
          <w:rFonts w:asciiTheme="majorBidi" w:eastAsia="Times New Roman" w:hAnsiTheme="majorBidi" w:cstheme="majorBidi"/>
          <w:color w:val="000000" w:themeColor="text1"/>
          <w:spacing w:val="2"/>
          <w:lang w:eastAsia="lt-LT"/>
        </w:rPr>
        <w:lastRenderedPageBreak/>
        <w:t>įvedami neperleidžiami vaiko priežiūros atostogų mėnesiai, motinystės socialinio draudimo išlaidos didėja 31,4 mln. eurų.</w:t>
      </w:r>
    </w:p>
    <w:p w14:paraId="42736CAA"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611C9404"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b/>
          <w:bCs/>
          <w:color w:val="000000" w:themeColor="text1"/>
          <w:spacing w:val="2"/>
          <w:lang w:eastAsia="lt-LT"/>
        </w:rPr>
      </w:pPr>
      <w:r>
        <w:rPr>
          <w:rFonts w:asciiTheme="majorBidi" w:eastAsia="Times New Roman" w:hAnsiTheme="majorBidi" w:cstheme="majorBidi"/>
          <w:b/>
          <w:bCs/>
          <w:color w:val="000000" w:themeColor="text1"/>
          <w:spacing w:val="2"/>
          <w:lang w:eastAsia="lt-LT"/>
        </w:rPr>
        <w:t>Prognozuojama, kad „Sodros“ išlaidos ligos ir nedarbo išmokoms augs nežymiai</w:t>
      </w:r>
    </w:p>
    <w:p w14:paraId="20674AA0"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35A6A88E"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Prognozuojama, kad 2023 metais ligos socialinio draudimo išlaidos sieks 511,8 mln. eurų, t. y. bus 40 mln. eurų  arba 8,5 proc. didesnės nei 2022 m. Planuojama, kad ir 2023 m. išliks tas pats vidutinis apmokėtų dienų skaičius vienam darbuotojui, kaip ir 2022 m., t. y. 8,15 dienos.</w:t>
      </w:r>
    </w:p>
    <w:p w14:paraId="559D0D8D" w14:textId="77777777" w:rsidR="00CE5CFD" w:rsidRDefault="00CE5CFD" w:rsidP="00CE5CFD">
      <w:pPr>
        <w:shd w:val="clear" w:color="auto" w:fill="FFFFFF"/>
        <w:spacing w:after="0" w:line="240" w:lineRule="auto"/>
        <w:ind w:left="-851"/>
        <w:jc w:val="both"/>
        <w:rPr>
          <w:rFonts w:asciiTheme="majorBidi" w:eastAsia="Times New Roman" w:hAnsiTheme="majorBidi" w:cstheme="majorBidi"/>
          <w:color w:val="000000" w:themeColor="text1"/>
          <w:spacing w:val="2"/>
          <w:lang w:eastAsia="lt-LT"/>
        </w:rPr>
      </w:pPr>
    </w:p>
    <w:p w14:paraId="051DBC62" w14:textId="77777777" w:rsidR="00CE5CFD" w:rsidRDefault="00CE5CFD" w:rsidP="00CE5CFD">
      <w:pPr>
        <w:shd w:val="clear" w:color="auto" w:fill="FFFFFF"/>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val="sv-SE" w:eastAsia="lt-LT"/>
        </w:rPr>
        <w:t xml:space="preserve">Planuojama, kad augant nedarbui, didės ir išlaidos nedarbo išmokoms. </w:t>
      </w:r>
      <w:r>
        <w:rPr>
          <w:rFonts w:asciiTheme="majorBidi" w:eastAsia="Times New Roman" w:hAnsiTheme="majorBidi" w:cstheme="majorBidi"/>
          <w:color w:val="000000" w:themeColor="text1"/>
          <w:spacing w:val="2"/>
          <w:lang w:eastAsia="lt-LT"/>
        </w:rPr>
        <w:t xml:space="preserve">Nedarbo socialiniam draudimui 2023 m. numatoma skirti beveik 354 mln. eurų ir prognozuojama, kad išlaidos bus 59 mln. eurų arba 20 proc. didesnės nei laukiama 2022 m. </w:t>
      </w:r>
    </w:p>
    <w:p w14:paraId="60D0AD21" w14:textId="77777777" w:rsidR="00CE5CFD" w:rsidRDefault="00CE5CFD" w:rsidP="00CE5CFD">
      <w:pPr>
        <w:shd w:val="clear" w:color="auto" w:fill="FFFFFF"/>
        <w:ind w:left="-851"/>
        <w:jc w:val="both"/>
        <w:rPr>
          <w:rFonts w:asciiTheme="majorBidi" w:eastAsia="Times New Roman" w:hAnsiTheme="majorBidi" w:cstheme="majorBidi"/>
          <w:color w:val="000000" w:themeColor="text1"/>
          <w:spacing w:val="2"/>
          <w:lang w:eastAsia="lt-LT"/>
        </w:rPr>
      </w:pPr>
      <w:r>
        <w:rPr>
          <w:rFonts w:asciiTheme="majorBidi" w:eastAsia="Times New Roman" w:hAnsiTheme="majorBidi" w:cstheme="majorBidi"/>
          <w:color w:val="000000" w:themeColor="text1"/>
          <w:spacing w:val="2"/>
          <w:lang w:eastAsia="lt-LT"/>
        </w:rPr>
        <w:t xml:space="preserve">Šiemet vidutinė nedarbo išmoka siekia </w:t>
      </w:r>
      <w:r>
        <w:rPr>
          <w:rFonts w:asciiTheme="majorBidi" w:eastAsia="Times New Roman" w:hAnsiTheme="majorBidi" w:cstheme="majorBidi"/>
          <w:color w:val="000000" w:themeColor="text1"/>
          <w:spacing w:val="2"/>
          <w:lang w:val="sv-SE"/>
        </w:rPr>
        <w:t>368</w:t>
      </w:r>
      <w:r>
        <w:rPr>
          <w:rFonts w:asciiTheme="majorBidi" w:eastAsia="Times New Roman" w:hAnsiTheme="majorBidi" w:cstheme="majorBidi"/>
          <w:color w:val="000000" w:themeColor="text1"/>
          <w:spacing w:val="2"/>
        </w:rPr>
        <w:t xml:space="preserve"> eurus, o kitąmet, planuojama, sieks 410 eurų. 2022 m. laukiama apie 66,5 tūkst. nedarbo draudimo išmokų gavėjų, o kitąmet, planuojama, jų skaičius išaugs iki beveik 72 tūkst. žmonių.</w:t>
      </w:r>
    </w:p>
    <w:p w14:paraId="408EA74D" w14:textId="77777777" w:rsidR="00CE5CFD" w:rsidRDefault="00CE5CFD" w:rsidP="00CE5CFD">
      <w:pPr>
        <w:spacing w:after="0" w:line="240" w:lineRule="auto"/>
        <w:ind w:left="-851"/>
        <w:rPr>
          <w:rFonts w:ascii="Times New Roman" w:hAnsi="Times New Roman" w:cs="Times New Roman"/>
          <w:color w:val="000000" w:themeColor="text1"/>
          <w:sz w:val="24"/>
          <w:szCs w:val="24"/>
        </w:rPr>
      </w:pP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96FCE" w14:textId="77777777" w:rsidR="005C4D0B" w:rsidRDefault="005C4D0B" w:rsidP="00035D54">
      <w:pPr>
        <w:spacing w:after="0" w:line="240" w:lineRule="auto"/>
      </w:pPr>
      <w:r>
        <w:separator/>
      </w:r>
    </w:p>
  </w:endnote>
  <w:endnote w:type="continuationSeparator" w:id="0">
    <w:p w14:paraId="5DCD55E3" w14:textId="77777777" w:rsidR="005C4D0B" w:rsidRDefault="005C4D0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175DC" w14:textId="77777777" w:rsidR="005C4D0B" w:rsidRDefault="005C4D0B" w:rsidP="00035D54">
      <w:pPr>
        <w:spacing w:after="0" w:line="240" w:lineRule="auto"/>
      </w:pPr>
      <w:r>
        <w:separator/>
      </w:r>
    </w:p>
  </w:footnote>
  <w:footnote w:type="continuationSeparator" w:id="0">
    <w:p w14:paraId="6106EB54" w14:textId="77777777" w:rsidR="005C4D0B" w:rsidRDefault="005C4D0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5C4D0B"/>
    <w:rsid w:val="00632171"/>
    <w:rsid w:val="006423E6"/>
    <w:rsid w:val="006C4470"/>
    <w:rsid w:val="006E27D9"/>
    <w:rsid w:val="007725F2"/>
    <w:rsid w:val="007A3C23"/>
    <w:rsid w:val="007D37C1"/>
    <w:rsid w:val="00854A68"/>
    <w:rsid w:val="009E657D"/>
    <w:rsid w:val="009F507B"/>
    <w:rsid w:val="00B15C0A"/>
    <w:rsid w:val="00B226D7"/>
    <w:rsid w:val="00BA6502"/>
    <w:rsid w:val="00CD76BE"/>
    <w:rsid w:val="00CE5CFD"/>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95582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3918</Characters>
  <Application>Microsoft Office Word</Application>
  <DocSecurity>0</DocSecurity>
  <Lines>435</Lines>
  <Paragraphs>310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2022-10-07T09:23:00Z</dcterms:created>
  <dcterms:modified xsi:type="dcterms:W3CDTF">2022-10-07T09:23:00Z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0644b140d505a8ddd66c95c308aa7b67843e0ca44d06bebf724cdd8d8b89e35f</vt:lpwstr>
  </property>
</Properties>
</file>