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B0A2DA" w14:textId="37F5B9B2" w:rsidR="00CB0D9F" w:rsidRPr="00557811" w:rsidRDefault="006A4646" w:rsidP="00F33B91">
      <w:pPr>
        <w:snapToGrid w:val="0"/>
        <w:spacing w:after="0"/>
        <w:rPr>
          <w:rFonts w:ascii="Verdana" w:hAnsi="Verdana"/>
          <w:b/>
          <w:szCs w:val="21"/>
        </w:rPr>
      </w:pPr>
      <w:r w:rsidRPr="006A4646">
        <w:rPr>
          <w:rFonts w:ascii="Verdana" w:hAnsi="Verdana"/>
          <w:b/>
          <w:szCs w:val="21"/>
        </w:rPr>
        <w:t>„Citus“ ekspertai: didžiųjų miestų rinkos – kaip iš ekonomikos vadovėlio, o optimizmo – daugiau</w:t>
      </w:r>
    </w:p>
    <w:p w14:paraId="46D0FC66" w14:textId="70895BFD" w:rsidR="00C35436" w:rsidRPr="00557811" w:rsidRDefault="00B41BA4" w:rsidP="00097BCF">
      <w:pPr>
        <w:snapToGrid w:val="0"/>
        <w:spacing w:after="0"/>
        <w:jc w:val="left"/>
        <w:rPr>
          <w:rFonts w:ascii="Verdana" w:hAnsi="Verdana" w:cs="Open Sans Light"/>
          <w:i/>
          <w:color w:val="000000" w:themeColor="text1"/>
          <w:sz w:val="16"/>
          <w:szCs w:val="16"/>
        </w:rPr>
      </w:pPr>
      <w:r w:rsidRPr="00557811">
        <w:rPr>
          <w:rFonts w:ascii="Verdana" w:hAnsi="Verdana" w:cs="Open Sans Light"/>
          <w:i/>
          <w:color w:val="000000" w:themeColor="text1"/>
          <w:sz w:val="16"/>
          <w:szCs w:val="16"/>
        </w:rPr>
        <w:t>202</w:t>
      </w:r>
      <w:r w:rsidR="00097BCF" w:rsidRPr="00557811">
        <w:rPr>
          <w:rFonts w:ascii="Verdana" w:hAnsi="Verdana" w:cs="Open Sans Light"/>
          <w:i/>
          <w:color w:val="000000" w:themeColor="text1"/>
          <w:sz w:val="16"/>
          <w:szCs w:val="16"/>
        </w:rPr>
        <w:t>2</w:t>
      </w:r>
      <w:r w:rsidRPr="00557811">
        <w:rPr>
          <w:rFonts w:ascii="Verdana" w:hAnsi="Verdana" w:cs="Open Sans Light"/>
          <w:i/>
          <w:color w:val="000000" w:themeColor="text1"/>
          <w:sz w:val="16"/>
          <w:szCs w:val="16"/>
        </w:rPr>
        <w:t xml:space="preserve"> m. </w:t>
      </w:r>
      <w:r w:rsidR="006A4646">
        <w:rPr>
          <w:rFonts w:ascii="Verdana" w:hAnsi="Verdana" w:cs="Open Sans Light"/>
          <w:i/>
          <w:color w:val="000000" w:themeColor="text1"/>
          <w:sz w:val="16"/>
          <w:szCs w:val="16"/>
        </w:rPr>
        <w:t>gruodžio</w:t>
      </w:r>
      <w:r w:rsidRPr="00557811">
        <w:rPr>
          <w:rFonts w:ascii="Verdana" w:hAnsi="Verdana" w:cs="Open Sans Light"/>
          <w:i/>
          <w:color w:val="000000" w:themeColor="text1"/>
          <w:sz w:val="16"/>
          <w:szCs w:val="16"/>
        </w:rPr>
        <w:t xml:space="preserve"> </w:t>
      </w:r>
      <w:r w:rsidR="006A4646">
        <w:rPr>
          <w:rFonts w:ascii="Verdana" w:hAnsi="Verdana" w:cs="Open Sans Light"/>
          <w:i/>
          <w:color w:val="000000" w:themeColor="text1"/>
          <w:sz w:val="16"/>
          <w:szCs w:val="16"/>
        </w:rPr>
        <w:t>1</w:t>
      </w:r>
      <w:r w:rsidRPr="00557811">
        <w:rPr>
          <w:rFonts w:ascii="Verdana" w:hAnsi="Verdana" w:cs="Open Sans Light"/>
          <w:i/>
          <w:color w:val="000000" w:themeColor="text1"/>
          <w:sz w:val="16"/>
          <w:szCs w:val="16"/>
        </w:rPr>
        <w:t xml:space="preserve"> d.</w:t>
      </w:r>
    </w:p>
    <w:p w14:paraId="48F4F2C2" w14:textId="77777777" w:rsidR="00B41BA4" w:rsidRPr="00557811" w:rsidRDefault="00B41BA4" w:rsidP="000C466A">
      <w:pPr>
        <w:snapToGrid w:val="0"/>
        <w:spacing w:after="0"/>
        <w:rPr>
          <w:rFonts w:ascii="Verdana" w:hAnsi="Verdana" w:cstheme="majorHAnsi"/>
          <w:color w:val="000000" w:themeColor="text1"/>
          <w:sz w:val="18"/>
          <w:szCs w:val="18"/>
        </w:rPr>
      </w:pPr>
    </w:p>
    <w:p w14:paraId="5FF71C98" w14:textId="77777777" w:rsidR="006D3E44" w:rsidRPr="006D3E44" w:rsidRDefault="006D3E44" w:rsidP="006D3E44">
      <w:pPr>
        <w:pBdr>
          <w:bottom w:val="single" w:sz="8" w:space="1" w:color="FFC000"/>
        </w:pBdr>
        <w:rPr>
          <w:rFonts w:ascii="Verdana" w:eastAsia="Verdana" w:hAnsi="Verdana" w:cs="Verdana"/>
          <w:b/>
          <w:bCs/>
          <w:sz w:val="18"/>
          <w:szCs w:val="18"/>
        </w:rPr>
      </w:pPr>
      <w:r w:rsidRPr="006D3E44">
        <w:rPr>
          <w:rFonts w:ascii="Verdana" w:eastAsia="Verdana" w:hAnsi="Verdana" w:cs="Verdana"/>
          <w:b/>
          <w:bCs/>
          <w:sz w:val="18"/>
          <w:szCs w:val="18"/>
        </w:rPr>
        <w:t>Preliminariais lapkričio mėnesio duomenimis, kuriuos fiksavo „Citus“ analitikai, sostinės pirminėje būsto rinkoje lapkritį „užderėjo“ 201 butų ir kotedžų įsigijimo sandoris. Palyginimui, spalio mėn. sandorių buvo 225, tačiau, bet kuriuo atveju, antrą mėnesį fiksuojamas didesnis rinkos aktyvumas nei kovo–rugsėjo periodu (vidutiniškai 178 sandoriai per mėn.).</w:t>
      </w:r>
    </w:p>
    <w:p w14:paraId="2610ED5B" w14:textId="77777777" w:rsidR="006D3E44" w:rsidRPr="006D3E44" w:rsidRDefault="006D3E44" w:rsidP="006D3E44">
      <w:pPr>
        <w:pBdr>
          <w:bottom w:val="single" w:sz="8" w:space="1" w:color="FFC000"/>
        </w:pBdr>
        <w:rPr>
          <w:rFonts w:ascii="Verdana" w:eastAsia="Verdana" w:hAnsi="Verdana" w:cs="Verdana"/>
          <w:sz w:val="18"/>
          <w:szCs w:val="18"/>
        </w:rPr>
      </w:pPr>
      <w:r w:rsidRPr="006D3E44">
        <w:rPr>
          <w:rFonts w:ascii="Verdana" w:eastAsia="Verdana" w:hAnsi="Verdana" w:cs="Verdana"/>
          <w:sz w:val="18"/>
          <w:szCs w:val="18"/>
        </w:rPr>
        <w:t>„Nuolat stebėdami sandorių dinamiką, pastebime, kad kas kelis mėnesius į statistiką „sukrenta“ švieži naujų projektų pardavimai. Tai rodo, kad žmonės naujų produktų rinkoje labai laukia, o realus būsto poreikis nėra sumažėjęs tiek, kiek sumažėję pardavimai. Naujuose projektuose pirkėjai skuba pasinaudoti pirmumo teise rinktis norimą būstą, įvertinti plėtotojų pasiūlymus, nors ilgalaikė pasiūlos sausra vis dar neleidžia patenkinti viso būsto poreikio. Pardavimai, galimai, labiau susitraukė dar ir dėl to, kad sumažėjo „pirkimas dėl mados“, mažiau – emocinio pobūdžio pirkimų“, – vardija NT projektų valdymo paslaugų kompanijos „Citus“ investicijų ir analizės vadovas Šarūnas Tarutis.</w:t>
      </w:r>
    </w:p>
    <w:p w14:paraId="726E7261" w14:textId="77777777" w:rsidR="006D3E44" w:rsidRPr="006D3E44" w:rsidRDefault="006D3E44" w:rsidP="006D3E44">
      <w:pPr>
        <w:pBdr>
          <w:bottom w:val="single" w:sz="8" w:space="1" w:color="FFC000"/>
        </w:pBdr>
        <w:rPr>
          <w:rFonts w:ascii="Verdana" w:eastAsia="Verdana" w:hAnsi="Verdana" w:cs="Verdana"/>
          <w:sz w:val="18"/>
          <w:szCs w:val="18"/>
        </w:rPr>
      </w:pPr>
      <w:r w:rsidRPr="006D3E44">
        <w:rPr>
          <w:rFonts w:ascii="Verdana" w:eastAsia="Verdana" w:hAnsi="Verdana" w:cs="Verdana"/>
          <w:sz w:val="18"/>
          <w:szCs w:val="18"/>
        </w:rPr>
        <w:t>Galimai prie rinkos aktyvumo prisideda ir stambesni investuotojai, butų fondai, kurie. Nors tokie įsigijimai pirminėje rinkoje kol kas dar sudaro gan nežymią dalį, bet pirmosios kregždės jau pasirodė – yra vien nuomai skirtų projektų.</w:t>
      </w:r>
    </w:p>
    <w:p w14:paraId="1226E788" w14:textId="77777777" w:rsidR="006D3E44" w:rsidRPr="006D3E44" w:rsidRDefault="006D3E44" w:rsidP="006D3E44">
      <w:pPr>
        <w:pBdr>
          <w:bottom w:val="single" w:sz="8" w:space="1" w:color="FFC000"/>
        </w:pBdr>
        <w:rPr>
          <w:rFonts w:ascii="Verdana" w:eastAsia="Verdana" w:hAnsi="Verdana" w:cs="Verdana"/>
          <w:sz w:val="18"/>
          <w:szCs w:val="18"/>
        </w:rPr>
      </w:pPr>
      <w:r w:rsidRPr="006D3E44">
        <w:rPr>
          <w:rFonts w:ascii="Verdana" w:eastAsia="Verdana" w:hAnsi="Verdana" w:cs="Verdana"/>
          <w:sz w:val="18"/>
          <w:szCs w:val="18"/>
        </w:rPr>
        <w:t>„Kai kurie plėtotojai priima sprendimą „nemarinuoti“ laiko ir dalį savo projektuose esančių butų pasilieka sau. Šiuose butuose kartais įrengiama dalinė, kartais pilna apdaila, o kartais net – visiškas įrengimas su apstatymu. Tokius butus jie gali parduoti (greičiau ar brangiau) arba patys „paleisti“ į nuomos rinką. Taip pat vis aktyviau rinkoje veikia būstų fondai, kurie perka dideles projekto dalis, ištisus daugiabučius, kuriuos taip pat įrengia ir nuomoja. Stiprėdama ši tendencija gali kelti įtampą tiek nuomos, tiek pirminėje būsto rinkose“, – sako „Citus“ ekspertas.</w:t>
      </w:r>
    </w:p>
    <w:p w14:paraId="798CFC48" w14:textId="77777777" w:rsidR="006D3E44" w:rsidRPr="006D3E44" w:rsidRDefault="006D3E44" w:rsidP="006D3E44">
      <w:pPr>
        <w:pBdr>
          <w:bottom w:val="single" w:sz="8" w:space="1" w:color="FFC000"/>
        </w:pBdr>
        <w:rPr>
          <w:rFonts w:ascii="Verdana" w:eastAsia="Verdana" w:hAnsi="Verdana" w:cs="Verdana"/>
          <w:sz w:val="18"/>
          <w:szCs w:val="18"/>
        </w:rPr>
      </w:pPr>
      <w:r w:rsidRPr="006D3E44">
        <w:rPr>
          <w:rFonts w:ascii="Verdana" w:eastAsia="Verdana" w:hAnsi="Verdana" w:cs="Verdana"/>
          <w:sz w:val="18"/>
          <w:szCs w:val="18"/>
        </w:rPr>
        <w:t>Taip pat, pasak Š. Taručio, keičiasi rinkos žaidėjų žemėlapis Vilniuje: vis didesnį vaidmenį pirminėje rinkoje vaidina didieji plėtotojai, smulkių plėtotojų ir jų pardavimų dalis sudaro vis mažesnę dalį susitraukus bendrai pardavimų apimčiai. Šis balanso pokytis rodo, kad žmonės ieško patikimumo ir užtikrintumo, jog projektai bus sėkmingai užbaigti, o pirkėjų lūkesčiai – išpildyti.</w:t>
      </w:r>
    </w:p>
    <w:p w14:paraId="128556A1" w14:textId="77777777" w:rsidR="005B72AA" w:rsidRPr="00557811" w:rsidRDefault="005B72AA" w:rsidP="005B72AA">
      <w:pPr>
        <w:pBdr>
          <w:bottom w:val="single" w:sz="8" w:space="1" w:color="FFC000"/>
        </w:pBdr>
        <w:jc w:val="center"/>
        <w:rPr>
          <w:rFonts w:ascii="Verdana" w:eastAsia="Verdana" w:hAnsi="Verdana" w:cs="Verdana"/>
          <w:sz w:val="18"/>
          <w:szCs w:val="18"/>
        </w:rPr>
      </w:pPr>
      <w:r w:rsidRPr="00E1630D">
        <w:rPr>
          <w:rFonts w:ascii="Verdana" w:eastAsia="Verdana" w:hAnsi="Verdana" w:cs="Verdana"/>
          <w:sz w:val="18"/>
          <w:szCs w:val="18"/>
        </w:rPr>
        <w:drawing>
          <wp:inline distT="0" distB="0" distL="0" distR="0" wp14:anchorId="151896A3" wp14:editId="6B57A6DB">
            <wp:extent cx="6480175" cy="2809240"/>
            <wp:effectExtent l="0" t="0" r="0" b="0"/>
            <wp:docPr id="1" name="Picture 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line chart&#10;&#10;Description automatically generated"/>
                    <pic:cNvPicPr/>
                  </pic:nvPicPr>
                  <pic:blipFill>
                    <a:blip r:embed="rId8"/>
                    <a:stretch>
                      <a:fillRect/>
                    </a:stretch>
                  </pic:blipFill>
                  <pic:spPr>
                    <a:xfrm>
                      <a:off x="0" y="0"/>
                      <a:ext cx="6480175" cy="2809240"/>
                    </a:xfrm>
                    <a:prstGeom prst="rect">
                      <a:avLst/>
                    </a:prstGeom>
                  </pic:spPr>
                </pic:pic>
              </a:graphicData>
            </a:graphic>
          </wp:inline>
        </w:drawing>
      </w:r>
    </w:p>
    <w:p w14:paraId="205918C9" w14:textId="77777777" w:rsidR="005B72AA" w:rsidRPr="00623B06" w:rsidRDefault="005B72AA" w:rsidP="005B72AA">
      <w:pPr>
        <w:pBdr>
          <w:bottom w:val="single" w:sz="8" w:space="1" w:color="FFC000"/>
        </w:pBdr>
        <w:jc w:val="right"/>
        <w:rPr>
          <w:rFonts w:ascii="Verdana" w:eastAsia="Verdana" w:hAnsi="Verdana" w:cs="Verdana"/>
          <w:i/>
          <w:iCs/>
          <w:sz w:val="15"/>
          <w:szCs w:val="15"/>
        </w:rPr>
      </w:pPr>
      <w:r w:rsidRPr="00623B06">
        <w:rPr>
          <w:rFonts w:ascii="Verdana" w:eastAsia="Verdana" w:hAnsi="Verdana" w:cs="Verdana"/>
          <w:i/>
          <w:iCs/>
          <w:sz w:val="15"/>
          <w:szCs w:val="15"/>
        </w:rPr>
        <w:t xml:space="preserve">Grafikas nr. </w:t>
      </w:r>
      <w:r>
        <w:rPr>
          <w:rFonts w:ascii="Verdana" w:eastAsia="Verdana" w:hAnsi="Verdana" w:cs="Verdana"/>
          <w:i/>
          <w:iCs/>
          <w:sz w:val="15"/>
          <w:szCs w:val="15"/>
        </w:rPr>
        <w:t>1</w:t>
      </w:r>
      <w:r w:rsidRPr="00623B06">
        <w:rPr>
          <w:rFonts w:ascii="Verdana" w:eastAsia="Verdana" w:hAnsi="Verdana" w:cs="Verdana"/>
          <w:i/>
          <w:iCs/>
          <w:sz w:val="15"/>
          <w:szCs w:val="15"/>
        </w:rPr>
        <w:t xml:space="preserve">: </w:t>
      </w:r>
      <w:r w:rsidRPr="00557811">
        <w:rPr>
          <w:rFonts w:ascii="Verdana" w:eastAsia="Verdana" w:hAnsi="Verdana" w:cs="Verdana"/>
          <w:i/>
          <w:iCs/>
          <w:sz w:val="15"/>
          <w:szCs w:val="15"/>
        </w:rPr>
        <w:t>Vilniaus būsto rinkos dinamika 2020–2022 m. („Citus“ duom.)</w:t>
      </w:r>
    </w:p>
    <w:p w14:paraId="30B758FB" w14:textId="77777777" w:rsidR="006D3E44" w:rsidRPr="006D3E44" w:rsidRDefault="006D3E44" w:rsidP="006D3E44">
      <w:pPr>
        <w:pBdr>
          <w:bottom w:val="single" w:sz="8" w:space="1" w:color="FFC000"/>
        </w:pBdr>
        <w:rPr>
          <w:rFonts w:ascii="Verdana" w:eastAsia="Verdana" w:hAnsi="Verdana" w:cs="Verdana"/>
          <w:sz w:val="18"/>
          <w:szCs w:val="18"/>
        </w:rPr>
      </w:pPr>
      <w:r w:rsidRPr="006D3E44">
        <w:rPr>
          <w:rFonts w:ascii="Verdana" w:eastAsia="Verdana" w:hAnsi="Verdana" w:cs="Verdana"/>
          <w:sz w:val="18"/>
          <w:szCs w:val="18"/>
        </w:rPr>
        <w:t>Kaune lapkritį fiksuota 70 pardavimų. Tai yra ne tik daugiau nei spalio mėn. (58), tačiau daugiau nei siekia visų šių metų vidurkis (67,5). Net nežiūrint to, kad gegužę pasiektas rezultatas buvo trečias geriausias per pastaruosius trejus metus; daugiau sandorių registruota tik pernai rugpjūčio ir gruodžio mėnesiais (atitinkamai, 167 ir 281). 2020 m. sandorių skaičius nei karto nepasiekė 100.</w:t>
      </w:r>
    </w:p>
    <w:p w14:paraId="53099646" w14:textId="77777777" w:rsidR="006D3E44" w:rsidRPr="006D3E44" w:rsidRDefault="006D3E44" w:rsidP="006D3E44">
      <w:pPr>
        <w:pBdr>
          <w:bottom w:val="single" w:sz="8" w:space="1" w:color="FFC000"/>
        </w:pBdr>
        <w:rPr>
          <w:rFonts w:ascii="Verdana" w:eastAsia="Verdana" w:hAnsi="Verdana" w:cs="Verdana"/>
          <w:sz w:val="18"/>
          <w:szCs w:val="18"/>
        </w:rPr>
      </w:pPr>
      <w:r w:rsidRPr="006D3E44">
        <w:rPr>
          <w:rFonts w:ascii="Verdana" w:eastAsia="Verdana" w:hAnsi="Verdana" w:cs="Verdana"/>
          <w:sz w:val="18"/>
          <w:szCs w:val="18"/>
        </w:rPr>
        <w:t>„Citus“ per mėnesį su klientais sudarė 11 sandorių dėl butų ir kotedžų įsigijimo Vilniuje ir Kaune. Vilniuje įmonės valdomuose projektuose liko 136, Kaune – 63 būstai.</w:t>
      </w:r>
    </w:p>
    <w:p w14:paraId="1CD2E902" w14:textId="6ED2467C" w:rsidR="005B72AA" w:rsidRDefault="005B72AA" w:rsidP="00B72F56">
      <w:pPr>
        <w:pBdr>
          <w:bottom w:val="single" w:sz="8" w:space="1" w:color="FFC000"/>
        </w:pBdr>
        <w:rPr>
          <w:rFonts w:ascii="Verdana" w:eastAsia="Verdana" w:hAnsi="Verdana" w:cs="Verdana"/>
          <w:sz w:val="18"/>
          <w:szCs w:val="18"/>
        </w:rPr>
      </w:pPr>
      <w:r w:rsidRPr="005B72AA">
        <w:rPr>
          <w:rFonts w:ascii="Verdana" w:eastAsia="Verdana" w:hAnsi="Verdana" w:cs="Verdana"/>
          <w:sz w:val="18"/>
          <w:szCs w:val="18"/>
        </w:rPr>
        <w:lastRenderedPageBreak/>
        <w:drawing>
          <wp:inline distT="0" distB="0" distL="0" distR="0" wp14:anchorId="03ECB87B" wp14:editId="69474942">
            <wp:extent cx="6480175" cy="3035300"/>
            <wp:effectExtent l="0" t="0" r="0" b="0"/>
            <wp:docPr id="10" name="Picture 1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line chart&#10;&#10;Description automatically generated"/>
                    <pic:cNvPicPr/>
                  </pic:nvPicPr>
                  <pic:blipFill>
                    <a:blip r:embed="rId9"/>
                    <a:stretch>
                      <a:fillRect/>
                    </a:stretch>
                  </pic:blipFill>
                  <pic:spPr>
                    <a:xfrm>
                      <a:off x="0" y="0"/>
                      <a:ext cx="6480175" cy="3035300"/>
                    </a:xfrm>
                    <a:prstGeom prst="rect">
                      <a:avLst/>
                    </a:prstGeom>
                  </pic:spPr>
                </pic:pic>
              </a:graphicData>
            </a:graphic>
          </wp:inline>
        </w:drawing>
      </w:r>
    </w:p>
    <w:p w14:paraId="13E6F744" w14:textId="4F51DCF2" w:rsidR="005B72AA" w:rsidRPr="005B72AA" w:rsidRDefault="005B72AA" w:rsidP="005B72AA">
      <w:pPr>
        <w:pBdr>
          <w:bottom w:val="single" w:sz="8" w:space="1" w:color="FFC000"/>
        </w:pBdr>
        <w:jc w:val="right"/>
        <w:rPr>
          <w:rFonts w:ascii="Verdana" w:eastAsia="Verdana" w:hAnsi="Verdana" w:cs="Verdana"/>
          <w:i/>
          <w:iCs/>
          <w:sz w:val="15"/>
          <w:szCs w:val="15"/>
        </w:rPr>
      </w:pPr>
      <w:r w:rsidRPr="00557811">
        <w:rPr>
          <w:rFonts w:ascii="Verdana" w:eastAsia="Verdana" w:hAnsi="Verdana" w:cs="Verdana"/>
          <w:i/>
          <w:iCs/>
          <w:sz w:val="15"/>
          <w:szCs w:val="15"/>
        </w:rPr>
        <w:t xml:space="preserve">Grafikas nr. </w:t>
      </w:r>
      <w:r>
        <w:rPr>
          <w:rFonts w:ascii="Verdana" w:eastAsia="Verdana" w:hAnsi="Verdana" w:cs="Verdana"/>
          <w:i/>
          <w:iCs/>
          <w:sz w:val="15"/>
          <w:szCs w:val="15"/>
        </w:rPr>
        <w:t>2</w:t>
      </w:r>
      <w:r w:rsidRPr="00557811">
        <w:rPr>
          <w:rFonts w:ascii="Verdana" w:eastAsia="Verdana" w:hAnsi="Verdana" w:cs="Verdana"/>
          <w:i/>
          <w:iCs/>
          <w:sz w:val="15"/>
          <w:szCs w:val="15"/>
        </w:rPr>
        <w:t>: Kauno būsto rinkos dinamika 2020–2022 m. („Citus“ duom.)</w:t>
      </w:r>
    </w:p>
    <w:p w14:paraId="147A3CB9" w14:textId="1CA90FE1" w:rsidR="00B72F56" w:rsidRPr="00B72F56" w:rsidRDefault="00B72F56" w:rsidP="00B72F56">
      <w:pPr>
        <w:pBdr>
          <w:bottom w:val="single" w:sz="8" w:space="1" w:color="FFC000"/>
        </w:pBdr>
        <w:rPr>
          <w:rFonts w:ascii="Verdana" w:eastAsia="Verdana" w:hAnsi="Verdana" w:cs="Verdana"/>
          <w:sz w:val="18"/>
          <w:szCs w:val="18"/>
        </w:rPr>
      </w:pPr>
      <w:r w:rsidRPr="00B72F56">
        <w:rPr>
          <w:rFonts w:ascii="Verdana" w:eastAsia="Verdana" w:hAnsi="Verdana" w:cs="Verdana"/>
          <w:sz w:val="18"/>
          <w:szCs w:val="18"/>
        </w:rPr>
        <w:t>Fundamentali rinkos ekonomikos taisyklė sako, kad augant paklausai kyla kainos ir atvirkščiai. Didžiųjų miestų statistika šią taisyklę patvirtina bene idealiai, nors šioks–toks butų kainų bangavimas pastaruoju metu neformuoja tendencijos.</w:t>
      </w:r>
    </w:p>
    <w:p w14:paraId="30785335" w14:textId="77777777" w:rsidR="00B72F56" w:rsidRPr="00B72F56" w:rsidRDefault="00B72F56" w:rsidP="00B72F56">
      <w:pPr>
        <w:pBdr>
          <w:bottom w:val="single" w:sz="8" w:space="1" w:color="FFC000"/>
        </w:pBdr>
        <w:rPr>
          <w:rFonts w:ascii="Verdana" w:eastAsia="Verdana" w:hAnsi="Verdana" w:cs="Verdana"/>
          <w:sz w:val="18"/>
          <w:szCs w:val="18"/>
        </w:rPr>
      </w:pPr>
      <w:r w:rsidRPr="00B72F56">
        <w:rPr>
          <w:rFonts w:ascii="Verdana" w:eastAsia="Verdana" w:hAnsi="Verdana" w:cs="Verdana"/>
          <w:sz w:val="18"/>
          <w:szCs w:val="18"/>
        </w:rPr>
        <w:t>Statistinė vidutinė pasiūloje esančių butų kaina Vilniuje praėjusį mėnesį nuo 3 290 Eur/kv. m smuktelėjo iki 3 232 Eur/kv. m (pokytis – 1,76 proc.; kotedžų kaina augo 2,93 proc., nuo 1 775 iki 1 827 Eur/kv. m). Ir tai tarsi idealiai pakartoja ekonomikos fundamentus, tačiau atsiradę svyravimai labiau parodo susitraukusių apimčių pasiūlos ir paklausos struktūros pokyčius ir padidėjusį kainos jautrumą jiems.</w:t>
      </w:r>
    </w:p>
    <w:p w14:paraId="131CF578" w14:textId="77777777" w:rsidR="00B72F56" w:rsidRPr="00B72F56" w:rsidRDefault="00B72F56" w:rsidP="00B72F56">
      <w:pPr>
        <w:pBdr>
          <w:bottom w:val="single" w:sz="8" w:space="1" w:color="FFC000"/>
        </w:pBdr>
        <w:rPr>
          <w:rFonts w:ascii="Verdana" w:eastAsia="Verdana" w:hAnsi="Verdana" w:cs="Verdana"/>
          <w:sz w:val="18"/>
          <w:szCs w:val="18"/>
        </w:rPr>
      </w:pPr>
      <w:r w:rsidRPr="00B72F56">
        <w:rPr>
          <w:rFonts w:ascii="Verdana" w:eastAsia="Verdana" w:hAnsi="Verdana" w:cs="Verdana"/>
          <w:sz w:val="18"/>
          <w:szCs w:val="18"/>
        </w:rPr>
        <w:t>Laikinojoje sostinėje vidutinė pasiūloje esančių butų kaina statistiškai išaugo labai smarkiai: nuo 2 313 iki 2 548 Eur/kv. m (10,16 proc.). Kotedžų išliko beveik identiška: 1 789 Eur/kv. m lapkritį ir 1 791 Eur/kv. m spalį (pokytis – 0,1 proc.).</w:t>
      </w:r>
    </w:p>
    <w:p w14:paraId="4779F0AA" w14:textId="5901AE92" w:rsidR="00986489" w:rsidRDefault="00B72F56" w:rsidP="00B72F56">
      <w:pPr>
        <w:pBdr>
          <w:bottom w:val="single" w:sz="8" w:space="1" w:color="FFC000"/>
        </w:pBdr>
        <w:rPr>
          <w:rFonts w:ascii="Verdana" w:eastAsia="Verdana" w:hAnsi="Verdana" w:cs="Verdana"/>
          <w:sz w:val="18"/>
          <w:szCs w:val="18"/>
        </w:rPr>
      </w:pPr>
      <w:r w:rsidRPr="00B72F56">
        <w:rPr>
          <w:rFonts w:ascii="Verdana" w:eastAsia="Verdana" w:hAnsi="Verdana" w:cs="Verdana"/>
          <w:sz w:val="18"/>
          <w:szCs w:val="18"/>
        </w:rPr>
        <w:t>„Kaune visą laiką matėme jautrias kainas dėl mažos rinkos ir duomenų patikimumo: dešimt ar net keli pardavimai per mėnesį, vienas naujas projektas ar duomenų trūkumas švystelėdavo kainą į vieną ar kitą pusę. Dabar didesnį jautrumą matome ir Vilniuje, nes rinka čia taip pat sulėtėjusi. Vertindami bent keleto mėnesių tendenciją matome kainų stabilizaciją abiejuose miestuose ir tai, tikėtina, bus tvarus reiškinys iki pavasario ir rinkos atsigavimo, todėl pirkėjai šiuo metu gali labiau argumentuotai ir pagrįstai priimti sprendimus)“, – kalba Šarūnas Tarutis.</w:t>
      </w:r>
    </w:p>
    <w:p w14:paraId="43E67639" w14:textId="7039D27A" w:rsidR="00557811" w:rsidRDefault="006B06DB" w:rsidP="00986489">
      <w:pPr>
        <w:pBdr>
          <w:bottom w:val="single" w:sz="8" w:space="1" w:color="FFC000"/>
        </w:pBdr>
        <w:jc w:val="center"/>
        <w:rPr>
          <w:rFonts w:ascii="Verdana" w:eastAsia="Verdana" w:hAnsi="Verdana" w:cs="Verdana"/>
          <w:sz w:val="18"/>
          <w:szCs w:val="18"/>
        </w:rPr>
      </w:pPr>
      <w:r w:rsidRPr="006B06DB">
        <w:rPr>
          <w:rFonts w:ascii="Verdana" w:eastAsia="Verdana" w:hAnsi="Verdana" w:cs="Verdana"/>
          <w:sz w:val="18"/>
          <w:szCs w:val="18"/>
        </w:rPr>
        <w:drawing>
          <wp:inline distT="0" distB="0" distL="0" distR="0" wp14:anchorId="754C79CB" wp14:editId="3CC8F26C">
            <wp:extent cx="6480175" cy="2637790"/>
            <wp:effectExtent l="0" t="0" r="0" b="3810"/>
            <wp:docPr id="7" name="Picture 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pic:nvPicPr>
                  <pic:blipFill>
                    <a:blip r:embed="rId10"/>
                    <a:stretch>
                      <a:fillRect/>
                    </a:stretch>
                  </pic:blipFill>
                  <pic:spPr>
                    <a:xfrm>
                      <a:off x="0" y="0"/>
                      <a:ext cx="6480175" cy="2637790"/>
                    </a:xfrm>
                    <a:prstGeom prst="rect">
                      <a:avLst/>
                    </a:prstGeom>
                  </pic:spPr>
                </pic:pic>
              </a:graphicData>
            </a:graphic>
          </wp:inline>
        </w:drawing>
      </w:r>
    </w:p>
    <w:p w14:paraId="147B8CFA" w14:textId="203D8B95" w:rsidR="00E1630D" w:rsidRPr="00557811" w:rsidRDefault="00E1630D" w:rsidP="00E1630D">
      <w:pPr>
        <w:pBdr>
          <w:bottom w:val="single" w:sz="8" w:space="1" w:color="FFC000"/>
        </w:pBdr>
        <w:jc w:val="right"/>
        <w:rPr>
          <w:rFonts w:ascii="Verdana" w:eastAsia="Verdana" w:hAnsi="Verdana" w:cs="Verdana"/>
          <w:i/>
          <w:iCs/>
          <w:sz w:val="15"/>
          <w:szCs w:val="15"/>
        </w:rPr>
      </w:pPr>
      <w:r w:rsidRPr="00557811">
        <w:rPr>
          <w:rFonts w:ascii="Verdana" w:eastAsia="Verdana" w:hAnsi="Verdana" w:cs="Verdana"/>
          <w:i/>
          <w:iCs/>
          <w:sz w:val="15"/>
          <w:szCs w:val="15"/>
        </w:rPr>
        <w:t xml:space="preserve">Grafikas nr. </w:t>
      </w:r>
      <w:r w:rsidR="005B72AA">
        <w:rPr>
          <w:rFonts w:ascii="Verdana" w:eastAsia="Verdana" w:hAnsi="Verdana" w:cs="Verdana"/>
          <w:i/>
          <w:iCs/>
          <w:sz w:val="15"/>
          <w:szCs w:val="15"/>
        </w:rPr>
        <w:t>3</w:t>
      </w:r>
      <w:r w:rsidRPr="00557811">
        <w:rPr>
          <w:rFonts w:ascii="Verdana" w:eastAsia="Verdana" w:hAnsi="Verdana" w:cs="Verdana"/>
          <w:i/>
          <w:iCs/>
          <w:sz w:val="15"/>
          <w:szCs w:val="15"/>
        </w:rPr>
        <w:t>: Vidutinių pasiūlos kainų dinamika Vilniaus ir Kauno būsto rinkose 2020–2022 m. („Citus“ duom.)</w:t>
      </w:r>
    </w:p>
    <w:p w14:paraId="608D91B2" w14:textId="77777777" w:rsidR="00D41086" w:rsidRPr="00D41086" w:rsidRDefault="00D41086" w:rsidP="00D41086">
      <w:pPr>
        <w:pBdr>
          <w:bottom w:val="single" w:sz="8" w:space="1" w:color="FFC000"/>
        </w:pBdr>
        <w:rPr>
          <w:rFonts w:ascii="Verdana" w:eastAsia="Verdana" w:hAnsi="Verdana" w:cs="Verdana"/>
          <w:sz w:val="18"/>
          <w:szCs w:val="18"/>
        </w:rPr>
      </w:pPr>
      <w:r w:rsidRPr="00D41086">
        <w:rPr>
          <w:rFonts w:ascii="Verdana" w:eastAsia="Verdana" w:hAnsi="Verdana" w:cs="Verdana"/>
          <w:sz w:val="18"/>
          <w:szCs w:val="18"/>
        </w:rPr>
        <w:t>Pasiūla abiejuose miestuose ir vėl sumažėjo. Vilniuje ji vėl nusileido žemiau 4 000 ribos ir praėjusio mėnesio gale siekė 3 947 (mėnesiu anksčiau – 4 026). Taip įvyko todėl, kad asortimentą papildė tik du nauji projektai arba jų etapai – viso 184 butai.</w:t>
      </w:r>
    </w:p>
    <w:p w14:paraId="321B56B8" w14:textId="77777777" w:rsidR="00D41086" w:rsidRPr="00D41086" w:rsidRDefault="00D41086" w:rsidP="00D41086">
      <w:pPr>
        <w:pBdr>
          <w:bottom w:val="single" w:sz="8" w:space="1" w:color="FFC000"/>
        </w:pBdr>
        <w:rPr>
          <w:rFonts w:ascii="Verdana" w:eastAsia="Verdana" w:hAnsi="Verdana" w:cs="Verdana"/>
          <w:sz w:val="18"/>
          <w:szCs w:val="18"/>
        </w:rPr>
      </w:pPr>
      <w:r w:rsidRPr="00D41086">
        <w:rPr>
          <w:rFonts w:ascii="Verdana" w:eastAsia="Verdana" w:hAnsi="Verdana" w:cs="Verdana"/>
          <w:sz w:val="18"/>
          <w:szCs w:val="18"/>
        </w:rPr>
        <w:lastRenderedPageBreak/>
        <w:t>Todėl pasiūla mažėjo beveik visuose sostinės būsto segmentuose: ekonominės – 2 proc., iki 1 446, prestižinės ir liukso – beveik vienodai, po 5 proc.; atitinkamai, iki 201 ir 308. Vienintelis vidutinio segmento aruodas augo ir lapkričio pabaigoje siekė 1 992 vnt.</w:t>
      </w:r>
    </w:p>
    <w:p w14:paraId="216E9D70" w14:textId="5DDAB0C0" w:rsidR="00657348" w:rsidRPr="00557811" w:rsidRDefault="00D41086" w:rsidP="00D41086">
      <w:pPr>
        <w:pBdr>
          <w:bottom w:val="single" w:sz="8" w:space="1" w:color="FFC000"/>
        </w:pBdr>
        <w:rPr>
          <w:rFonts w:ascii="Verdana" w:eastAsia="Verdana" w:hAnsi="Verdana" w:cs="Verdana"/>
          <w:sz w:val="18"/>
          <w:szCs w:val="18"/>
        </w:rPr>
      </w:pPr>
      <w:r w:rsidRPr="00D41086">
        <w:rPr>
          <w:rFonts w:ascii="Verdana" w:eastAsia="Verdana" w:hAnsi="Verdana" w:cs="Verdana"/>
          <w:sz w:val="18"/>
          <w:szCs w:val="18"/>
        </w:rPr>
        <w:t>Kaune naujų projektų nebuvo nei vieno jau antrą mėnesį iš eilės. Pirkėjai čia renkasi tik iš 1 107 būstų, nors mėnesiu anksčiau galėjo rinktis iš 1 281. Ekonominiame segmente būstų sandėlį šiame mieste sudaro 415, vidutinį – 520, prestižinį – 172. Liukso klasės projektų Kaune „Citus“ analitikai kol kas nefiksuoja.</w:t>
      </w:r>
    </w:p>
    <w:p w14:paraId="180AD7AB" w14:textId="4321D3D6" w:rsidR="00341E5B" w:rsidRPr="00557811" w:rsidRDefault="00A55F5D" w:rsidP="00986489">
      <w:pPr>
        <w:pBdr>
          <w:bottom w:val="single" w:sz="8" w:space="1" w:color="FFC000"/>
        </w:pBdr>
        <w:jc w:val="center"/>
        <w:rPr>
          <w:rFonts w:ascii="Verdana" w:eastAsia="Verdana" w:hAnsi="Verdana" w:cs="Verdana"/>
          <w:sz w:val="18"/>
          <w:szCs w:val="18"/>
        </w:rPr>
      </w:pPr>
      <w:r w:rsidRPr="00A55F5D">
        <w:rPr>
          <w:rFonts w:ascii="Verdana" w:eastAsia="Verdana" w:hAnsi="Verdana" w:cs="Verdana"/>
          <w:sz w:val="18"/>
          <w:szCs w:val="18"/>
        </w:rPr>
        <w:drawing>
          <wp:inline distT="0" distB="0" distL="0" distR="0" wp14:anchorId="03C88E3D" wp14:editId="7EBD21F0">
            <wp:extent cx="6480175" cy="2765425"/>
            <wp:effectExtent l="0" t="0" r="0" b="3175"/>
            <wp:docPr id="8" name="Picture 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11"/>
                    <a:stretch>
                      <a:fillRect/>
                    </a:stretch>
                  </pic:blipFill>
                  <pic:spPr>
                    <a:xfrm>
                      <a:off x="0" y="0"/>
                      <a:ext cx="6480175" cy="2765425"/>
                    </a:xfrm>
                    <a:prstGeom prst="rect">
                      <a:avLst/>
                    </a:prstGeom>
                  </pic:spPr>
                </pic:pic>
              </a:graphicData>
            </a:graphic>
          </wp:inline>
        </w:drawing>
      </w:r>
    </w:p>
    <w:p w14:paraId="14CC92DC" w14:textId="77777777" w:rsidR="00063F99" w:rsidRPr="00557811" w:rsidRDefault="00063F99" w:rsidP="00063F99">
      <w:pPr>
        <w:pBdr>
          <w:bottom w:val="single" w:sz="8" w:space="1" w:color="FFC000"/>
        </w:pBdr>
        <w:jc w:val="right"/>
        <w:rPr>
          <w:rFonts w:ascii="Verdana" w:eastAsia="Verdana" w:hAnsi="Verdana" w:cs="Verdana"/>
          <w:i/>
          <w:iCs/>
          <w:sz w:val="15"/>
          <w:szCs w:val="15"/>
        </w:rPr>
      </w:pPr>
      <w:r w:rsidRPr="00557811">
        <w:rPr>
          <w:rFonts w:ascii="Verdana" w:eastAsia="Verdana" w:hAnsi="Verdana" w:cs="Verdana"/>
          <w:i/>
          <w:iCs/>
          <w:sz w:val="15"/>
          <w:szCs w:val="15"/>
        </w:rPr>
        <w:t xml:space="preserve">Grafikas nr. </w:t>
      </w:r>
      <w:r>
        <w:rPr>
          <w:rFonts w:ascii="Verdana" w:eastAsia="Verdana" w:hAnsi="Verdana" w:cs="Verdana"/>
          <w:i/>
          <w:iCs/>
          <w:sz w:val="15"/>
          <w:szCs w:val="15"/>
        </w:rPr>
        <w:t>4</w:t>
      </w:r>
      <w:r w:rsidRPr="00557811">
        <w:rPr>
          <w:rFonts w:ascii="Verdana" w:eastAsia="Verdana" w:hAnsi="Verdana" w:cs="Verdana"/>
          <w:i/>
          <w:iCs/>
          <w:sz w:val="15"/>
          <w:szCs w:val="15"/>
        </w:rPr>
        <w:t xml:space="preserve">: </w:t>
      </w:r>
      <w:r w:rsidRPr="00623B06">
        <w:rPr>
          <w:rFonts w:ascii="Verdana" w:eastAsia="Verdana" w:hAnsi="Verdana" w:cs="Verdana"/>
          <w:i/>
          <w:iCs/>
          <w:sz w:val="15"/>
          <w:szCs w:val="15"/>
        </w:rPr>
        <w:t>Pasiūlos dinamika Vilniaus ir Kauno būsto rinkose 2020–2022 m. („Citus“ duom.)</w:t>
      </w:r>
    </w:p>
    <w:p w14:paraId="4371688E" w14:textId="77777777" w:rsidR="004A53C4" w:rsidRPr="00557811" w:rsidRDefault="004A53C4" w:rsidP="00657348">
      <w:pPr>
        <w:pBdr>
          <w:bottom w:val="single" w:sz="8" w:space="1" w:color="FFC000"/>
        </w:pBdr>
        <w:rPr>
          <w:rFonts w:ascii="Verdana" w:hAnsi="Verdana"/>
          <w:sz w:val="18"/>
          <w:szCs w:val="20"/>
        </w:rPr>
      </w:pPr>
    </w:p>
    <w:p w14:paraId="75AE99DB" w14:textId="77777777" w:rsidR="004137F3" w:rsidRPr="00557811" w:rsidRDefault="004137F3" w:rsidP="0081024D">
      <w:pPr>
        <w:spacing w:after="100" w:afterAutospacing="1"/>
        <w:contextualSpacing/>
        <w:mirrorIndents/>
        <w:outlineLvl w:val="0"/>
        <w:rPr>
          <w:rFonts w:ascii="Verdana" w:hAnsi="Verdana" w:cstheme="majorHAnsi"/>
          <w:b/>
          <w:sz w:val="18"/>
          <w:szCs w:val="18"/>
          <w:shd w:val="clear" w:color="auto" w:fill="FFFFFF"/>
        </w:rPr>
      </w:pPr>
    </w:p>
    <w:p w14:paraId="3187DF5B" w14:textId="77777777" w:rsidR="0081024D" w:rsidRPr="00557811" w:rsidRDefault="0081024D" w:rsidP="0081024D">
      <w:pPr>
        <w:spacing w:after="100" w:afterAutospacing="1"/>
        <w:contextualSpacing/>
        <w:mirrorIndents/>
        <w:outlineLvl w:val="0"/>
        <w:rPr>
          <w:rFonts w:ascii="Verdana" w:hAnsi="Verdana" w:cs="Open Sans Light"/>
          <w:b/>
          <w:sz w:val="15"/>
          <w:szCs w:val="15"/>
          <w:shd w:val="clear" w:color="auto" w:fill="FFFFFF"/>
        </w:rPr>
      </w:pPr>
      <w:r w:rsidRPr="00557811">
        <w:rPr>
          <w:rFonts w:ascii="Verdana" w:hAnsi="Verdana" w:cs="Open Sans Light"/>
          <w:b/>
          <w:sz w:val="15"/>
          <w:szCs w:val="15"/>
          <w:shd w:val="clear" w:color="auto" w:fill="FFFFFF"/>
        </w:rPr>
        <w:t xml:space="preserve">Daugiau informacijos: </w:t>
      </w:r>
    </w:p>
    <w:p w14:paraId="475253FD" w14:textId="686F5081" w:rsidR="00481E6F" w:rsidRPr="00557811" w:rsidRDefault="0081024D">
      <w:pPr>
        <w:jc w:val="left"/>
        <w:rPr>
          <w:rFonts w:ascii="Verdana" w:hAnsi="Verdana" w:cs="Open Sans Light"/>
          <w:color w:val="3B3838" w:themeColor="background2" w:themeShade="40"/>
          <w:sz w:val="15"/>
          <w:szCs w:val="15"/>
          <w:lang w:eastAsia="lt-LT"/>
        </w:rPr>
      </w:pPr>
      <w:r w:rsidRPr="00557811">
        <w:rPr>
          <w:rFonts w:ascii="Verdana" w:hAnsi="Verdana" w:cs="Open Sans Light"/>
          <w:sz w:val="15"/>
          <w:szCs w:val="15"/>
          <w:lang w:eastAsia="lt-LT"/>
        </w:rPr>
        <w:t>Rytas Stalnionis</w:t>
      </w:r>
      <w:r w:rsidRPr="00557811">
        <w:rPr>
          <w:rFonts w:ascii="Verdana" w:hAnsi="Verdana" w:cs="Open Sans Light"/>
          <w:sz w:val="15"/>
          <w:szCs w:val="15"/>
          <w:lang w:eastAsia="lt-LT"/>
        </w:rPr>
        <w:br/>
        <w:t>Komunikacijos vadovas</w:t>
      </w:r>
      <w:r w:rsidRPr="00557811">
        <w:rPr>
          <w:rFonts w:ascii="Verdana" w:hAnsi="Verdana" w:cs="Open Sans Light"/>
          <w:sz w:val="15"/>
          <w:szCs w:val="15"/>
          <w:lang w:eastAsia="lt-LT"/>
        </w:rPr>
        <w:br/>
        <w:t>Tel.: +370 614 01829</w:t>
      </w:r>
      <w:r w:rsidRPr="00557811">
        <w:rPr>
          <w:rFonts w:ascii="Verdana" w:hAnsi="Verdana" w:cs="Open Sans Light"/>
          <w:sz w:val="15"/>
          <w:szCs w:val="15"/>
          <w:lang w:eastAsia="lt-LT"/>
        </w:rPr>
        <w:br/>
        <w:t xml:space="preserve">El. paštas </w:t>
      </w:r>
      <w:hyperlink r:id="rId12" w:history="1">
        <w:r w:rsidRPr="00557811">
          <w:rPr>
            <w:rStyle w:val="Hyperlink"/>
            <w:rFonts w:ascii="Verdana" w:hAnsi="Verdana" w:cs="Open Sans Light"/>
            <w:b/>
            <w:color w:val="3B3838" w:themeColor="background2" w:themeShade="40"/>
            <w:sz w:val="15"/>
            <w:szCs w:val="15"/>
            <w:u w:val="none"/>
            <w:lang w:eastAsia="lt-LT"/>
          </w:rPr>
          <w:t>rytas.stalnionis@citus.lt</w:t>
        </w:r>
      </w:hyperlink>
      <w:r w:rsidRPr="00557811">
        <w:rPr>
          <w:rFonts w:ascii="Verdana" w:hAnsi="Verdana" w:cs="Open Sans Light"/>
          <w:sz w:val="15"/>
          <w:szCs w:val="15"/>
          <w:lang w:eastAsia="lt-LT"/>
        </w:rPr>
        <w:br/>
      </w:r>
      <w:hyperlink r:id="rId13" w:history="1">
        <w:r w:rsidRPr="00557811">
          <w:rPr>
            <w:rStyle w:val="Hyperlink"/>
            <w:rFonts w:ascii="Verdana" w:hAnsi="Verdana" w:cs="Open Sans Light"/>
            <w:b/>
            <w:color w:val="3B3838" w:themeColor="background2" w:themeShade="40"/>
            <w:sz w:val="15"/>
            <w:szCs w:val="15"/>
            <w:u w:val="none"/>
            <w:lang w:eastAsia="lt-LT"/>
          </w:rPr>
          <w:t>www.citus.lt</w:t>
        </w:r>
      </w:hyperlink>
    </w:p>
    <w:sectPr w:rsidR="00481E6F" w:rsidRPr="00557811" w:rsidSect="00960106">
      <w:headerReference w:type="default" r:id="rId14"/>
      <w:pgSz w:w="11906" w:h="16838"/>
      <w:pgMar w:top="1418" w:right="567" w:bottom="567" w:left="1134"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11A7CB" w14:textId="77777777" w:rsidR="00955DC8" w:rsidRDefault="00955DC8" w:rsidP="00404A94">
      <w:pPr>
        <w:spacing w:after="0"/>
      </w:pPr>
      <w:r>
        <w:separator/>
      </w:r>
    </w:p>
  </w:endnote>
  <w:endnote w:type="continuationSeparator" w:id="0">
    <w:p w14:paraId="0FF8CAE9" w14:textId="77777777" w:rsidR="00955DC8" w:rsidRDefault="00955DC8" w:rsidP="00404A94">
      <w:pPr>
        <w:spacing w:after="0"/>
      </w:pPr>
      <w:r>
        <w:continuationSeparator/>
      </w:r>
    </w:p>
  </w:endnote>
  <w:endnote w:type="continuationNotice" w:id="1">
    <w:p w14:paraId="7BA36769" w14:textId="77777777" w:rsidR="00955DC8" w:rsidRDefault="00955DC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00022FF" w:usb1="C000205B" w:usb2="00000009" w:usb3="00000000" w:csb0="000001DF" w:csb1="00000000"/>
  </w:font>
  <w:font w:name="Verdana">
    <w:panose1 w:val="020B0604030504040204"/>
    <w:charset w:val="00"/>
    <w:family w:val="swiss"/>
    <w:pitch w:val="variable"/>
    <w:sig w:usb0="A10006FF" w:usb1="4000205B" w:usb2="00000010" w:usb3="00000000" w:csb0="0000019F" w:csb1="00000000"/>
  </w:font>
  <w:font w:name="Open Sans Light">
    <w:panose1 w:val="020B0306030504020204"/>
    <w:charset w:val="00"/>
    <w:family w:val="swiss"/>
    <w:pitch w:val="variable"/>
    <w:sig w:usb0="E00002EF" w:usb1="4000205B" w:usb2="00000028"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5467D0" w14:textId="77777777" w:rsidR="00955DC8" w:rsidRDefault="00955DC8" w:rsidP="00404A94">
      <w:pPr>
        <w:spacing w:after="0"/>
      </w:pPr>
      <w:r>
        <w:separator/>
      </w:r>
    </w:p>
  </w:footnote>
  <w:footnote w:type="continuationSeparator" w:id="0">
    <w:p w14:paraId="330BE06D" w14:textId="77777777" w:rsidR="00955DC8" w:rsidRDefault="00955DC8" w:rsidP="00404A94">
      <w:pPr>
        <w:spacing w:after="0"/>
      </w:pPr>
      <w:r>
        <w:continuationSeparator/>
      </w:r>
    </w:p>
  </w:footnote>
  <w:footnote w:type="continuationNotice" w:id="1">
    <w:p w14:paraId="401E778C" w14:textId="77777777" w:rsidR="00955DC8" w:rsidRDefault="00955DC8">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832CD" w14:textId="66366189" w:rsidR="00E46A19" w:rsidRPr="00E46A19" w:rsidRDefault="00F84055" w:rsidP="00E46A19">
    <w:pPr>
      <w:spacing w:after="0"/>
      <w:jc w:val="left"/>
      <w:rPr>
        <w:rFonts w:ascii="Times New Roman" w:eastAsia="Times New Roman" w:hAnsi="Times New Roman" w:cs="Times New Roman"/>
        <w:sz w:val="24"/>
        <w:szCs w:val="24"/>
        <w:lang w:val="en-US"/>
      </w:rPr>
    </w:pPr>
    <w:r>
      <w:rPr>
        <w:noProof/>
        <w:lang w:val="en-US"/>
      </w:rPr>
      <w:drawing>
        <wp:anchor distT="0" distB="0" distL="114300" distR="114300" simplePos="0" relativeHeight="251658240" behindDoc="0" locked="0" layoutInCell="1" allowOverlap="1" wp14:anchorId="124E77E4" wp14:editId="669F2F81">
          <wp:simplePos x="0" y="0"/>
          <wp:positionH relativeFrom="margin">
            <wp:posOffset>3810</wp:posOffset>
          </wp:positionH>
          <wp:positionV relativeFrom="paragraph">
            <wp:posOffset>-349413</wp:posOffset>
          </wp:positionV>
          <wp:extent cx="6468745" cy="534532"/>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6468745" cy="534532"/>
                  </a:xfrm>
                  <a:prstGeom prst="rect">
                    <a:avLst/>
                  </a:prstGeom>
                </pic:spPr>
              </pic:pic>
            </a:graphicData>
          </a:graphic>
          <wp14:sizeRelH relativeFrom="margin">
            <wp14:pctWidth>0</wp14:pctWidth>
          </wp14:sizeRelH>
          <wp14:sizeRelV relativeFrom="margin">
            <wp14:pctHeight>0</wp14:pctHeight>
          </wp14:sizeRelV>
        </wp:anchor>
      </w:drawing>
    </w:r>
    <w:r w:rsidR="00E46A19" w:rsidRPr="00E46A19">
      <w:rPr>
        <w:rFonts w:ascii="Times New Roman" w:eastAsia="Times New Roman" w:hAnsi="Times New Roman" w:cs="Times New Roman"/>
        <w:sz w:val="24"/>
        <w:szCs w:val="24"/>
        <w:lang w:val="en-US"/>
      </w:rPr>
      <w:fldChar w:fldCharType="begin"/>
    </w:r>
    <w:r w:rsidR="00E46A19" w:rsidRPr="00E46A19">
      <w:rPr>
        <w:rFonts w:ascii="Times New Roman" w:eastAsia="Times New Roman" w:hAnsi="Times New Roman" w:cs="Times New Roman"/>
        <w:sz w:val="24"/>
        <w:szCs w:val="24"/>
        <w:lang w:val="en-US"/>
      </w:rPr>
      <w:instrText xml:space="preserve"> INCLUDEPICTURE "http://lntpa.lt/wp-content/themes/lntpa-front/img/logo.png" \* MERGEFORMATINET </w:instrText>
    </w:r>
    <w:r w:rsidR="00E46A19" w:rsidRPr="00E46A19">
      <w:rPr>
        <w:rFonts w:ascii="Times New Roman" w:eastAsia="Times New Roman" w:hAnsi="Times New Roman" w:cs="Times New Roman"/>
        <w:sz w:val="24"/>
        <w:szCs w:val="24"/>
        <w:lang w:val="en-US"/>
      </w:rPr>
      <w:fldChar w:fldCharType="end"/>
    </w:r>
  </w:p>
  <w:p w14:paraId="1FC68457" w14:textId="67EF6659" w:rsidR="00404A94" w:rsidRDefault="00404A94">
    <w:pPr>
      <w:pStyle w:val="Header"/>
    </w:pPr>
  </w:p>
  <w:p w14:paraId="69503709" w14:textId="0F2DF9DD" w:rsidR="00404A94" w:rsidRDefault="00404A94">
    <w:pPr>
      <w:pStyle w:val="Header"/>
    </w:pPr>
  </w:p>
  <w:p w14:paraId="10703575" w14:textId="77777777" w:rsidR="00404A94" w:rsidRDefault="00404A9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829A3"/>
    <w:multiLevelType w:val="multilevel"/>
    <w:tmpl w:val="0920846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B881B0B"/>
    <w:multiLevelType w:val="hybridMultilevel"/>
    <w:tmpl w:val="E8325F64"/>
    <w:lvl w:ilvl="0" w:tplc="1F22B208">
      <w:start w:val="1"/>
      <w:numFmt w:val="bullet"/>
      <w:lvlText w:val=""/>
      <w:lvlJc w:val="left"/>
      <w:pPr>
        <w:ind w:left="720" w:hanging="360"/>
      </w:pPr>
      <w:rPr>
        <w:rFonts w:ascii="Symbol" w:hAnsi="Symbol" w:hint="default"/>
        <w:color w:val="FFC000"/>
      </w:rPr>
    </w:lvl>
    <w:lvl w:ilvl="1" w:tplc="1646BB9A">
      <w:start w:val="1"/>
      <w:numFmt w:val="bullet"/>
      <w:lvlText w:val="–"/>
      <w:lvlJc w:val="left"/>
      <w:pPr>
        <w:ind w:left="1440" w:hanging="360"/>
      </w:pPr>
      <w:rPr>
        <w:rFonts w:ascii="Courier New" w:hAnsi="Courier New" w:hint="default"/>
        <w:color w:val="FFC000"/>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CB9357A"/>
    <w:multiLevelType w:val="hybridMultilevel"/>
    <w:tmpl w:val="EB2801C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100B3517"/>
    <w:multiLevelType w:val="hybridMultilevel"/>
    <w:tmpl w:val="9D044534"/>
    <w:lvl w:ilvl="0" w:tplc="41663E14">
      <w:start w:val="1"/>
      <w:numFmt w:val="decimal"/>
      <w:lvlText w:val="%1."/>
      <w:lvlJc w:val="left"/>
      <w:pPr>
        <w:ind w:left="720" w:hanging="360"/>
      </w:pPr>
      <w:rPr>
        <w:b/>
        <w:bCs/>
        <w:color w:val="FFC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DC2E1C"/>
    <w:multiLevelType w:val="hybridMultilevel"/>
    <w:tmpl w:val="2220A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334606"/>
    <w:multiLevelType w:val="hybridMultilevel"/>
    <w:tmpl w:val="09CC2A08"/>
    <w:lvl w:ilvl="0" w:tplc="0D6892BA">
      <w:start w:val="1"/>
      <w:numFmt w:val="bullet"/>
      <w:lvlText w:val=""/>
      <w:lvlJc w:val="left"/>
      <w:pPr>
        <w:ind w:left="720" w:hanging="360"/>
      </w:pPr>
      <w:rPr>
        <w:rFonts w:ascii="Symbol" w:hAnsi="Symbol"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E81308"/>
    <w:multiLevelType w:val="hybridMultilevel"/>
    <w:tmpl w:val="A65A76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EF69C9"/>
    <w:multiLevelType w:val="hybridMultilevel"/>
    <w:tmpl w:val="C484736A"/>
    <w:lvl w:ilvl="0" w:tplc="0D6892BA">
      <w:start w:val="1"/>
      <w:numFmt w:val="bullet"/>
      <w:lvlText w:val=""/>
      <w:lvlJc w:val="left"/>
      <w:pPr>
        <w:ind w:left="720" w:hanging="360"/>
      </w:pPr>
      <w:rPr>
        <w:rFonts w:ascii="Symbol" w:hAnsi="Symbol" w:hint="default"/>
        <w:color w:val="FFC000"/>
      </w:rPr>
    </w:lvl>
    <w:lvl w:ilvl="1" w:tplc="0A98A6C2">
      <w:start w:val="1"/>
      <w:numFmt w:val="bullet"/>
      <w:lvlText w:val=""/>
      <w:lvlJc w:val="left"/>
      <w:pPr>
        <w:ind w:left="1440" w:hanging="360"/>
      </w:pPr>
      <w:rPr>
        <w:rFonts w:ascii="Symbol" w:hAnsi="Symbol" w:hint="default"/>
        <w:color w:val="808080" w:themeColor="background1" w:themeShade="8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7AD5E54"/>
    <w:multiLevelType w:val="hybridMultilevel"/>
    <w:tmpl w:val="C5E21E66"/>
    <w:lvl w:ilvl="0" w:tplc="75082596">
      <w:start w:val="1"/>
      <w:numFmt w:val="bullet"/>
      <w:lvlText w:val=""/>
      <w:lvlJc w:val="left"/>
      <w:pPr>
        <w:ind w:left="720" w:hanging="360"/>
      </w:pPr>
      <w:rPr>
        <w:rFonts w:ascii="Symbol" w:hAnsi="Symbol" w:hint="default"/>
        <w:color w:val="DAA6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52D4C5A"/>
    <w:multiLevelType w:val="hybridMultilevel"/>
    <w:tmpl w:val="810E674E"/>
    <w:lvl w:ilvl="0" w:tplc="A600C59C">
      <w:start w:val="1"/>
      <w:numFmt w:val="bullet"/>
      <w:lvlText w:val=""/>
      <w:lvlJc w:val="left"/>
      <w:pPr>
        <w:ind w:left="720" w:hanging="360"/>
      </w:pPr>
      <w:rPr>
        <w:rFonts w:ascii="Symbol" w:hAnsi="Symbol" w:hint="default"/>
        <w:color w:val="FFC000" w:themeColor="accent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46805A2"/>
    <w:multiLevelType w:val="multilevel"/>
    <w:tmpl w:val="0920846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8C451EE"/>
    <w:multiLevelType w:val="hybridMultilevel"/>
    <w:tmpl w:val="DE96BAE4"/>
    <w:lvl w:ilvl="0" w:tplc="69E2A17A">
      <w:start w:val="1"/>
      <w:numFmt w:val="decimal"/>
      <w:lvlText w:val="%1."/>
      <w:lvlJc w:val="left"/>
      <w:pPr>
        <w:ind w:left="720" w:hanging="360"/>
      </w:pPr>
      <w:rPr>
        <w:rFonts w:hint="default"/>
        <w:b/>
        <w:bCs/>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18618A"/>
    <w:multiLevelType w:val="hybridMultilevel"/>
    <w:tmpl w:val="4A286D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30B0F3E"/>
    <w:multiLevelType w:val="hybridMultilevel"/>
    <w:tmpl w:val="E272EB22"/>
    <w:lvl w:ilvl="0" w:tplc="0D6892BA">
      <w:start w:val="1"/>
      <w:numFmt w:val="bullet"/>
      <w:lvlText w:val=""/>
      <w:lvlJc w:val="left"/>
      <w:pPr>
        <w:ind w:left="720" w:hanging="360"/>
      </w:pPr>
      <w:rPr>
        <w:rFonts w:ascii="Symbol" w:hAnsi="Symbol"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3133CF1"/>
    <w:multiLevelType w:val="hybridMultilevel"/>
    <w:tmpl w:val="316091A4"/>
    <w:lvl w:ilvl="0" w:tplc="C5AE4714">
      <w:start w:val="1"/>
      <w:numFmt w:val="bullet"/>
      <w:lvlText w:val=""/>
      <w:lvlJc w:val="left"/>
      <w:pPr>
        <w:ind w:left="720" w:hanging="360"/>
      </w:pPr>
      <w:rPr>
        <w:rFonts w:ascii="Symbol" w:hAnsi="Symbol"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3D13D46"/>
    <w:multiLevelType w:val="hybridMultilevel"/>
    <w:tmpl w:val="C4F2F01C"/>
    <w:lvl w:ilvl="0" w:tplc="EEA60D74">
      <w:start w:val="1"/>
      <w:numFmt w:val="bullet"/>
      <w:lvlText w:val=""/>
      <w:lvlJc w:val="left"/>
      <w:pPr>
        <w:ind w:left="720" w:hanging="360"/>
      </w:pPr>
      <w:rPr>
        <w:rFonts w:ascii="Symbol" w:hAnsi="Symbol" w:hint="default"/>
        <w:color w:val="FCD010"/>
        <w:sz w:val="28"/>
      </w:rPr>
    </w:lvl>
    <w:lvl w:ilvl="1" w:tplc="EEB2CD12">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4AB7931"/>
    <w:multiLevelType w:val="hybridMultilevel"/>
    <w:tmpl w:val="4488A3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DFC5BC5"/>
    <w:multiLevelType w:val="hybridMultilevel"/>
    <w:tmpl w:val="8D44F542"/>
    <w:lvl w:ilvl="0" w:tplc="8E18CB84">
      <w:start w:val="1"/>
      <w:numFmt w:val="bullet"/>
      <w:lvlText w:val=""/>
      <w:lvlJc w:val="left"/>
      <w:pPr>
        <w:ind w:left="720" w:hanging="360"/>
      </w:pPr>
      <w:rPr>
        <w:rFonts w:ascii="Symbol" w:hAnsi="Symbol"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5F77060"/>
    <w:multiLevelType w:val="hybridMultilevel"/>
    <w:tmpl w:val="D3D65EC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15:restartNumberingAfterBreak="0">
    <w:nsid w:val="664B2005"/>
    <w:multiLevelType w:val="hybridMultilevel"/>
    <w:tmpl w:val="6F72ECA2"/>
    <w:lvl w:ilvl="0" w:tplc="69E2A17A">
      <w:start w:val="1"/>
      <w:numFmt w:val="decimal"/>
      <w:lvlText w:val="%1."/>
      <w:lvlJc w:val="left"/>
      <w:pPr>
        <w:ind w:left="720" w:hanging="360"/>
      </w:pPr>
      <w:rPr>
        <w:rFonts w:hint="default"/>
        <w:b/>
        <w:bCs/>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AC72A64"/>
    <w:multiLevelType w:val="hybridMultilevel"/>
    <w:tmpl w:val="F9085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E1022CA"/>
    <w:multiLevelType w:val="hybridMultilevel"/>
    <w:tmpl w:val="C91CD8B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2" w15:restartNumberingAfterBreak="0">
    <w:nsid w:val="6F5F6A06"/>
    <w:multiLevelType w:val="hybridMultilevel"/>
    <w:tmpl w:val="60481A9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15:restartNumberingAfterBreak="0">
    <w:nsid w:val="704841F9"/>
    <w:multiLevelType w:val="hybridMultilevel"/>
    <w:tmpl w:val="3F9A5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58A7BB9"/>
    <w:multiLevelType w:val="hybridMultilevel"/>
    <w:tmpl w:val="691CC364"/>
    <w:lvl w:ilvl="0" w:tplc="639606BC">
      <w:start w:val="1"/>
      <w:numFmt w:val="bullet"/>
      <w:lvlText w:val=""/>
      <w:lvlJc w:val="left"/>
      <w:pPr>
        <w:ind w:left="720" w:hanging="360"/>
      </w:pPr>
      <w:rPr>
        <w:rFonts w:ascii="Symbol" w:hAnsi="Symbol"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F7F7F18"/>
    <w:multiLevelType w:val="hybridMultilevel"/>
    <w:tmpl w:val="41D4E442"/>
    <w:lvl w:ilvl="0" w:tplc="75082596">
      <w:start w:val="1"/>
      <w:numFmt w:val="bullet"/>
      <w:lvlText w:val=""/>
      <w:lvlJc w:val="left"/>
      <w:pPr>
        <w:ind w:left="720" w:hanging="360"/>
      </w:pPr>
      <w:rPr>
        <w:rFonts w:ascii="Symbol" w:hAnsi="Symbol" w:hint="default"/>
        <w:color w:val="DAA60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630751201">
    <w:abstractNumId w:val="2"/>
  </w:num>
  <w:num w:numId="2" w16cid:durableId="1565750052">
    <w:abstractNumId w:val="21"/>
  </w:num>
  <w:num w:numId="3" w16cid:durableId="1815903907">
    <w:abstractNumId w:val="22"/>
  </w:num>
  <w:num w:numId="4" w16cid:durableId="1561406862">
    <w:abstractNumId w:val="25"/>
  </w:num>
  <w:num w:numId="5" w16cid:durableId="321006177">
    <w:abstractNumId w:val="18"/>
  </w:num>
  <w:num w:numId="6" w16cid:durableId="503938402">
    <w:abstractNumId w:val="16"/>
  </w:num>
  <w:num w:numId="7" w16cid:durableId="1758016345">
    <w:abstractNumId w:val="14"/>
  </w:num>
  <w:num w:numId="8" w16cid:durableId="2074308771">
    <w:abstractNumId w:val="8"/>
  </w:num>
  <w:num w:numId="9" w16cid:durableId="263540259">
    <w:abstractNumId w:val="17"/>
  </w:num>
  <w:num w:numId="10" w16cid:durableId="1759860241">
    <w:abstractNumId w:val="6"/>
  </w:num>
  <w:num w:numId="11" w16cid:durableId="813330766">
    <w:abstractNumId w:val="19"/>
  </w:num>
  <w:num w:numId="12" w16cid:durableId="1478958565">
    <w:abstractNumId w:val="11"/>
  </w:num>
  <w:num w:numId="13" w16cid:durableId="574709329">
    <w:abstractNumId w:val="24"/>
  </w:num>
  <w:num w:numId="14" w16cid:durableId="29310045">
    <w:abstractNumId w:val="3"/>
  </w:num>
  <w:num w:numId="15" w16cid:durableId="1947807562">
    <w:abstractNumId w:val="1"/>
  </w:num>
  <w:num w:numId="16" w16cid:durableId="2101025905">
    <w:abstractNumId w:val="20"/>
  </w:num>
  <w:num w:numId="17" w16cid:durableId="394011149">
    <w:abstractNumId w:val="23"/>
  </w:num>
  <w:num w:numId="18" w16cid:durableId="1758165198">
    <w:abstractNumId w:val="4"/>
  </w:num>
  <w:num w:numId="19" w16cid:durableId="836648520">
    <w:abstractNumId w:val="9"/>
  </w:num>
  <w:num w:numId="20" w16cid:durableId="120078200">
    <w:abstractNumId w:val="13"/>
  </w:num>
  <w:num w:numId="21" w16cid:durableId="562251221">
    <w:abstractNumId w:val="5"/>
  </w:num>
  <w:num w:numId="22" w16cid:durableId="1653556973">
    <w:abstractNumId w:val="7"/>
  </w:num>
  <w:num w:numId="23" w16cid:durableId="303893639">
    <w:abstractNumId w:val="12"/>
  </w:num>
  <w:num w:numId="24" w16cid:durableId="1997344683">
    <w:abstractNumId w:val="15"/>
  </w:num>
  <w:num w:numId="25" w16cid:durableId="1493328608">
    <w:abstractNumId w:val="0"/>
  </w:num>
  <w:num w:numId="26" w16cid:durableId="141061524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1296"/>
  <w:hyphenationZone w:val="396"/>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BC6"/>
    <w:rsid w:val="00001CEF"/>
    <w:rsid w:val="00003B21"/>
    <w:rsid w:val="000102C2"/>
    <w:rsid w:val="00010448"/>
    <w:rsid w:val="000108A2"/>
    <w:rsid w:val="00011977"/>
    <w:rsid w:val="00013672"/>
    <w:rsid w:val="00014E39"/>
    <w:rsid w:val="0001721B"/>
    <w:rsid w:val="0002086F"/>
    <w:rsid w:val="000217A6"/>
    <w:rsid w:val="000220B2"/>
    <w:rsid w:val="000221C9"/>
    <w:rsid w:val="00024A94"/>
    <w:rsid w:val="00026800"/>
    <w:rsid w:val="00026C07"/>
    <w:rsid w:val="00031AB6"/>
    <w:rsid w:val="000337FF"/>
    <w:rsid w:val="00034DE4"/>
    <w:rsid w:val="00035DFA"/>
    <w:rsid w:val="000402B6"/>
    <w:rsid w:val="00041FD0"/>
    <w:rsid w:val="0004556B"/>
    <w:rsid w:val="00045CD6"/>
    <w:rsid w:val="000465CD"/>
    <w:rsid w:val="00046EBB"/>
    <w:rsid w:val="00050130"/>
    <w:rsid w:val="00052F47"/>
    <w:rsid w:val="00053E05"/>
    <w:rsid w:val="0005705C"/>
    <w:rsid w:val="00057C81"/>
    <w:rsid w:val="0006162D"/>
    <w:rsid w:val="00063F99"/>
    <w:rsid w:val="00065A74"/>
    <w:rsid w:val="00066E9C"/>
    <w:rsid w:val="00071C5C"/>
    <w:rsid w:val="00075B5D"/>
    <w:rsid w:val="0007783D"/>
    <w:rsid w:val="00077B19"/>
    <w:rsid w:val="00077E4B"/>
    <w:rsid w:val="00082253"/>
    <w:rsid w:val="00086589"/>
    <w:rsid w:val="00087E40"/>
    <w:rsid w:val="0009095D"/>
    <w:rsid w:val="00091988"/>
    <w:rsid w:val="00093117"/>
    <w:rsid w:val="00095090"/>
    <w:rsid w:val="00095A7F"/>
    <w:rsid w:val="0009618E"/>
    <w:rsid w:val="00097BCF"/>
    <w:rsid w:val="000A348C"/>
    <w:rsid w:val="000A3BCC"/>
    <w:rsid w:val="000B415E"/>
    <w:rsid w:val="000B6652"/>
    <w:rsid w:val="000C466A"/>
    <w:rsid w:val="000D3793"/>
    <w:rsid w:val="000D52B0"/>
    <w:rsid w:val="000D5408"/>
    <w:rsid w:val="000D6181"/>
    <w:rsid w:val="000D7996"/>
    <w:rsid w:val="000E0278"/>
    <w:rsid w:val="000E2549"/>
    <w:rsid w:val="000E412F"/>
    <w:rsid w:val="000E76EF"/>
    <w:rsid w:val="000F316C"/>
    <w:rsid w:val="000F349B"/>
    <w:rsid w:val="000F3861"/>
    <w:rsid w:val="000F67CF"/>
    <w:rsid w:val="000F6D77"/>
    <w:rsid w:val="0010074C"/>
    <w:rsid w:val="00100E5F"/>
    <w:rsid w:val="001019A3"/>
    <w:rsid w:val="00110172"/>
    <w:rsid w:val="00110A4F"/>
    <w:rsid w:val="00112445"/>
    <w:rsid w:val="00113719"/>
    <w:rsid w:val="00113E0A"/>
    <w:rsid w:val="0011478A"/>
    <w:rsid w:val="001168FC"/>
    <w:rsid w:val="00120A16"/>
    <w:rsid w:val="00123A5A"/>
    <w:rsid w:val="00127DAE"/>
    <w:rsid w:val="001301F8"/>
    <w:rsid w:val="00131EEE"/>
    <w:rsid w:val="00135A25"/>
    <w:rsid w:val="00143194"/>
    <w:rsid w:val="001448B0"/>
    <w:rsid w:val="00144B4C"/>
    <w:rsid w:val="001461B5"/>
    <w:rsid w:val="0014782B"/>
    <w:rsid w:val="0014782E"/>
    <w:rsid w:val="00154127"/>
    <w:rsid w:val="00155BAD"/>
    <w:rsid w:val="001562E0"/>
    <w:rsid w:val="00156834"/>
    <w:rsid w:val="00157C43"/>
    <w:rsid w:val="0016042B"/>
    <w:rsid w:val="00162248"/>
    <w:rsid w:val="001625E1"/>
    <w:rsid w:val="00166160"/>
    <w:rsid w:val="0016653B"/>
    <w:rsid w:val="001669D3"/>
    <w:rsid w:val="00170EDF"/>
    <w:rsid w:val="001763B9"/>
    <w:rsid w:val="001808C3"/>
    <w:rsid w:val="00183163"/>
    <w:rsid w:val="001842DA"/>
    <w:rsid w:val="001923F6"/>
    <w:rsid w:val="0019298F"/>
    <w:rsid w:val="00194A2D"/>
    <w:rsid w:val="001958A7"/>
    <w:rsid w:val="00195958"/>
    <w:rsid w:val="001A10C9"/>
    <w:rsid w:val="001A17DD"/>
    <w:rsid w:val="001A4310"/>
    <w:rsid w:val="001A559F"/>
    <w:rsid w:val="001A607B"/>
    <w:rsid w:val="001A7C57"/>
    <w:rsid w:val="001B4202"/>
    <w:rsid w:val="001B7400"/>
    <w:rsid w:val="001B7B47"/>
    <w:rsid w:val="001C08A4"/>
    <w:rsid w:val="001C5DAE"/>
    <w:rsid w:val="001C6006"/>
    <w:rsid w:val="001D2FE9"/>
    <w:rsid w:val="001D4D1A"/>
    <w:rsid w:val="001E3644"/>
    <w:rsid w:val="001E720E"/>
    <w:rsid w:val="001E7680"/>
    <w:rsid w:val="001F08A7"/>
    <w:rsid w:val="001F14EC"/>
    <w:rsid w:val="001F695C"/>
    <w:rsid w:val="001F7CF5"/>
    <w:rsid w:val="00204913"/>
    <w:rsid w:val="00205E76"/>
    <w:rsid w:val="0021114B"/>
    <w:rsid w:val="00213309"/>
    <w:rsid w:val="0021336A"/>
    <w:rsid w:val="00214349"/>
    <w:rsid w:val="002155CF"/>
    <w:rsid w:val="00220DA2"/>
    <w:rsid w:val="00221860"/>
    <w:rsid w:val="00225476"/>
    <w:rsid w:val="00225DC1"/>
    <w:rsid w:val="00226FE4"/>
    <w:rsid w:val="00237177"/>
    <w:rsid w:val="0023765A"/>
    <w:rsid w:val="00241C37"/>
    <w:rsid w:val="00243606"/>
    <w:rsid w:val="002461FF"/>
    <w:rsid w:val="00246B12"/>
    <w:rsid w:val="00247FB5"/>
    <w:rsid w:val="00254D36"/>
    <w:rsid w:val="002550D7"/>
    <w:rsid w:val="002606AC"/>
    <w:rsid w:val="0026093C"/>
    <w:rsid w:val="00260A01"/>
    <w:rsid w:val="0026120A"/>
    <w:rsid w:val="002651DB"/>
    <w:rsid w:val="00265B81"/>
    <w:rsid w:val="00270E92"/>
    <w:rsid w:val="002717F0"/>
    <w:rsid w:val="002745DA"/>
    <w:rsid w:val="002767B8"/>
    <w:rsid w:val="0027680F"/>
    <w:rsid w:val="00281077"/>
    <w:rsid w:val="002836DD"/>
    <w:rsid w:val="00287BF9"/>
    <w:rsid w:val="00290AE9"/>
    <w:rsid w:val="00291878"/>
    <w:rsid w:val="002928DA"/>
    <w:rsid w:val="00296465"/>
    <w:rsid w:val="002A210A"/>
    <w:rsid w:val="002A71A6"/>
    <w:rsid w:val="002A78C2"/>
    <w:rsid w:val="002B0A7D"/>
    <w:rsid w:val="002B1F95"/>
    <w:rsid w:val="002B2462"/>
    <w:rsid w:val="002B74FA"/>
    <w:rsid w:val="002C4127"/>
    <w:rsid w:val="002C51AF"/>
    <w:rsid w:val="002C7B21"/>
    <w:rsid w:val="002D6044"/>
    <w:rsid w:val="002D6660"/>
    <w:rsid w:val="002E1ED9"/>
    <w:rsid w:val="002E41F0"/>
    <w:rsid w:val="002F6589"/>
    <w:rsid w:val="00303A18"/>
    <w:rsid w:val="00303B6E"/>
    <w:rsid w:val="00303E68"/>
    <w:rsid w:val="00313D0E"/>
    <w:rsid w:val="00314491"/>
    <w:rsid w:val="003151C1"/>
    <w:rsid w:val="00321266"/>
    <w:rsid w:val="00322FC8"/>
    <w:rsid w:val="00324AC6"/>
    <w:rsid w:val="00325B7C"/>
    <w:rsid w:val="00325BD6"/>
    <w:rsid w:val="00327A63"/>
    <w:rsid w:val="00330521"/>
    <w:rsid w:val="0033251B"/>
    <w:rsid w:val="00333F2B"/>
    <w:rsid w:val="00334E5B"/>
    <w:rsid w:val="00335334"/>
    <w:rsid w:val="0033705A"/>
    <w:rsid w:val="00341E5B"/>
    <w:rsid w:val="00342741"/>
    <w:rsid w:val="003528EE"/>
    <w:rsid w:val="00352A8C"/>
    <w:rsid w:val="00355FF4"/>
    <w:rsid w:val="003675E8"/>
    <w:rsid w:val="0036787E"/>
    <w:rsid w:val="003679FC"/>
    <w:rsid w:val="00367DE5"/>
    <w:rsid w:val="00367F05"/>
    <w:rsid w:val="00372866"/>
    <w:rsid w:val="00372AA1"/>
    <w:rsid w:val="003737ED"/>
    <w:rsid w:val="0037405F"/>
    <w:rsid w:val="0037583C"/>
    <w:rsid w:val="00381E63"/>
    <w:rsid w:val="00384377"/>
    <w:rsid w:val="003860BB"/>
    <w:rsid w:val="00386C56"/>
    <w:rsid w:val="00394693"/>
    <w:rsid w:val="00394BC2"/>
    <w:rsid w:val="003A0367"/>
    <w:rsid w:val="003A560E"/>
    <w:rsid w:val="003A6246"/>
    <w:rsid w:val="003B0ADE"/>
    <w:rsid w:val="003B3E96"/>
    <w:rsid w:val="003B625B"/>
    <w:rsid w:val="003C013C"/>
    <w:rsid w:val="003C3D91"/>
    <w:rsid w:val="003C4B93"/>
    <w:rsid w:val="003C7566"/>
    <w:rsid w:val="003C7CFB"/>
    <w:rsid w:val="003D0D73"/>
    <w:rsid w:val="003D75DF"/>
    <w:rsid w:val="003E04C6"/>
    <w:rsid w:val="003E4F45"/>
    <w:rsid w:val="003E5444"/>
    <w:rsid w:val="003F3DC5"/>
    <w:rsid w:val="003F49B2"/>
    <w:rsid w:val="003F74BD"/>
    <w:rsid w:val="0040467E"/>
    <w:rsid w:val="00404A94"/>
    <w:rsid w:val="00406519"/>
    <w:rsid w:val="00406A4D"/>
    <w:rsid w:val="004137F3"/>
    <w:rsid w:val="0041524B"/>
    <w:rsid w:val="004167A6"/>
    <w:rsid w:val="00417E64"/>
    <w:rsid w:val="00421F7F"/>
    <w:rsid w:val="00422232"/>
    <w:rsid w:val="00424D80"/>
    <w:rsid w:val="00425D31"/>
    <w:rsid w:val="00432D54"/>
    <w:rsid w:val="00434A91"/>
    <w:rsid w:val="004361FB"/>
    <w:rsid w:val="00436EAA"/>
    <w:rsid w:val="0044207B"/>
    <w:rsid w:val="00442D9B"/>
    <w:rsid w:val="00446BAD"/>
    <w:rsid w:val="004521F4"/>
    <w:rsid w:val="00456048"/>
    <w:rsid w:val="004561FB"/>
    <w:rsid w:val="00456AEB"/>
    <w:rsid w:val="00456B11"/>
    <w:rsid w:val="00460A41"/>
    <w:rsid w:val="00462396"/>
    <w:rsid w:val="0046628B"/>
    <w:rsid w:val="00470D62"/>
    <w:rsid w:val="00470EBC"/>
    <w:rsid w:val="00481E6F"/>
    <w:rsid w:val="00483C7E"/>
    <w:rsid w:val="00484D06"/>
    <w:rsid w:val="00485130"/>
    <w:rsid w:val="00485D5F"/>
    <w:rsid w:val="004903D9"/>
    <w:rsid w:val="004926A3"/>
    <w:rsid w:val="00493D6F"/>
    <w:rsid w:val="004945C5"/>
    <w:rsid w:val="0049757B"/>
    <w:rsid w:val="00497789"/>
    <w:rsid w:val="004A0601"/>
    <w:rsid w:val="004A0657"/>
    <w:rsid w:val="004A1BC6"/>
    <w:rsid w:val="004A1FE0"/>
    <w:rsid w:val="004A2E5C"/>
    <w:rsid w:val="004A53C4"/>
    <w:rsid w:val="004B0357"/>
    <w:rsid w:val="004B1657"/>
    <w:rsid w:val="004B2E9F"/>
    <w:rsid w:val="004B3050"/>
    <w:rsid w:val="004B330C"/>
    <w:rsid w:val="004B5144"/>
    <w:rsid w:val="004C1C98"/>
    <w:rsid w:val="004C50BE"/>
    <w:rsid w:val="004C6BD1"/>
    <w:rsid w:val="004D12DC"/>
    <w:rsid w:val="004D26A1"/>
    <w:rsid w:val="004D53FF"/>
    <w:rsid w:val="004D6814"/>
    <w:rsid w:val="004E33F6"/>
    <w:rsid w:val="004E41B8"/>
    <w:rsid w:val="004E79F4"/>
    <w:rsid w:val="004F0336"/>
    <w:rsid w:val="004F42AE"/>
    <w:rsid w:val="004F686D"/>
    <w:rsid w:val="00501572"/>
    <w:rsid w:val="00504427"/>
    <w:rsid w:val="00505F74"/>
    <w:rsid w:val="005060EE"/>
    <w:rsid w:val="00506E6C"/>
    <w:rsid w:val="00507972"/>
    <w:rsid w:val="00510ED1"/>
    <w:rsid w:val="005132FC"/>
    <w:rsid w:val="00513301"/>
    <w:rsid w:val="00517DBB"/>
    <w:rsid w:val="00520004"/>
    <w:rsid w:val="005206CE"/>
    <w:rsid w:val="00520B0F"/>
    <w:rsid w:val="00520D5A"/>
    <w:rsid w:val="0052199B"/>
    <w:rsid w:val="00521CCA"/>
    <w:rsid w:val="00523406"/>
    <w:rsid w:val="00523E56"/>
    <w:rsid w:val="00530D5D"/>
    <w:rsid w:val="00532C4E"/>
    <w:rsid w:val="00537458"/>
    <w:rsid w:val="00540FF7"/>
    <w:rsid w:val="00543DC7"/>
    <w:rsid w:val="005443C4"/>
    <w:rsid w:val="00544BDC"/>
    <w:rsid w:val="005513CF"/>
    <w:rsid w:val="00552CB2"/>
    <w:rsid w:val="00555F6D"/>
    <w:rsid w:val="00557811"/>
    <w:rsid w:val="0056026A"/>
    <w:rsid w:val="00563C5B"/>
    <w:rsid w:val="00565AFB"/>
    <w:rsid w:val="00565E38"/>
    <w:rsid w:val="00566805"/>
    <w:rsid w:val="00571125"/>
    <w:rsid w:val="00573510"/>
    <w:rsid w:val="005779FB"/>
    <w:rsid w:val="005813BF"/>
    <w:rsid w:val="005821A3"/>
    <w:rsid w:val="005923D2"/>
    <w:rsid w:val="0059761B"/>
    <w:rsid w:val="005B4250"/>
    <w:rsid w:val="005B4ECA"/>
    <w:rsid w:val="005B581E"/>
    <w:rsid w:val="005B72AA"/>
    <w:rsid w:val="005C4B50"/>
    <w:rsid w:val="005C5D60"/>
    <w:rsid w:val="005C5F9A"/>
    <w:rsid w:val="005D217D"/>
    <w:rsid w:val="005D31BF"/>
    <w:rsid w:val="005D3309"/>
    <w:rsid w:val="005E0572"/>
    <w:rsid w:val="005E2169"/>
    <w:rsid w:val="005E2C18"/>
    <w:rsid w:val="005E735C"/>
    <w:rsid w:val="005F0B05"/>
    <w:rsid w:val="005F181F"/>
    <w:rsid w:val="005F1E13"/>
    <w:rsid w:val="005F261A"/>
    <w:rsid w:val="005F2BD8"/>
    <w:rsid w:val="005F46CB"/>
    <w:rsid w:val="0060051A"/>
    <w:rsid w:val="00600E05"/>
    <w:rsid w:val="006036D2"/>
    <w:rsid w:val="006037F6"/>
    <w:rsid w:val="00603985"/>
    <w:rsid w:val="006070B0"/>
    <w:rsid w:val="00610A79"/>
    <w:rsid w:val="00615BB4"/>
    <w:rsid w:val="00621B4D"/>
    <w:rsid w:val="00621CDF"/>
    <w:rsid w:val="00622C70"/>
    <w:rsid w:val="00623B06"/>
    <w:rsid w:val="00630575"/>
    <w:rsid w:val="006358DB"/>
    <w:rsid w:val="006513A2"/>
    <w:rsid w:val="0065284C"/>
    <w:rsid w:val="00654878"/>
    <w:rsid w:val="00654BB0"/>
    <w:rsid w:val="00657348"/>
    <w:rsid w:val="00657BF0"/>
    <w:rsid w:val="0066182B"/>
    <w:rsid w:val="006735D4"/>
    <w:rsid w:val="00674A31"/>
    <w:rsid w:val="00680B49"/>
    <w:rsid w:val="00683A11"/>
    <w:rsid w:val="00691A54"/>
    <w:rsid w:val="00692802"/>
    <w:rsid w:val="00693835"/>
    <w:rsid w:val="00693E03"/>
    <w:rsid w:val="00694533"/>
    <w:rsid w:val="00694DFF"/>
    <w:rsid w:val="00696470"/>
    <w:rsid w:val="00697869"/>
    <w:rsid w:val="006A4568"/>
    <w:rsid w:val="006A4646"/>
    <w:rsid w:val="006B06DB"/>
    <w:rsid w:val="006B1830"/>
    <w:rsid w:val="006B338F"/>
    <w:rsid w:val="006B3831"/>
    <w:rsid w:val="006B5CDC"/>
    <w:rsid w:val="006C19D2"/>
    <w:rsid w:val="006C4175"/>
    <w:rsid w:val="006C4633"/>
    <w:rsid w:val="006C49A5"/>
    <w:rsid w:val="006C74FA"/>
    <w:rsid w:val="006D0EC6"/>
    <w:rsid w:val="006D39D0"/>
    <w:rsid w:val="006D3E44"/>
    <w:rsid w:val="006D4B4C"/>
    <w:rsid w:val="006D6C9D"/>
    <w:rsid w:val="006D7E50"/>
    <w:rsid w:val="006E0599"/>
    <w:rsid w:val="006E230C"/>
    <w:rsid w:val="006E26E4"/>
    <w:rsid w:val="006E35E2"/>
    <w:rsid w:val="006E39DC"/>
    <w:rsid w:val="006E58B8"/>
    <w:rsid w:val="006F09BA"/>
    <w:rsid w:val="006F2080"/>
    <w:rsid w:val="006F3C1A"/>
    <w:rsid w:val="006F4687"/>
    <w:rsid w:val="006F5DBE"/>
    <w:rsid w:val="006F69CB"/>
    <w:rsid w:val="006F79C3"/>
    <w:rsid w:val="006F7F14"/>
    <w:rsid w:val="00702B38"/>
    <w:rsid w:val="00702BF0"/>
    <w:rsid w:val="00704AB3"/>
    <w:rsid w:val="00707BC9"/>
    <w:rsid w:val="00712CF8"/>
    <w:rsid w:val="0071363A"/>
    <w:rsid w:val="00713A4A"/>
    <w:rsid w:val="00713F37"/>
    <w:rsid w:val="007266ED"/>
    <w:rsid w:val="007279F8"/>
    <w:rsid w:val="007303AB"/>
    <w:rsid w:val="007315DB"/>
    <w:rsid w:val="00735474"/>
    <w:rsid w:val="00741F1E"/>
    <w:rsid w:val="007509C5"/>
    <w:rsid w:val="00753D8D"/>
    <w:rsid w:val="00753FA3"/>
    <w:rsid w:val="00756C8C"/>
    <w:rsid w:val="00757D4C"/>
    <w:rsid w:val="00760250"/>
    <w:rsid w:val="00763DD7"/>
    <w:rsid w:val="00770ED4"/>
    <w:rsid w:val="007829A4"/>
    <w:rsid w:val="00785F60"/>
    <w:rsid w:val="00791659"/>
    <w:rsid w:val="00794B88"/>
    <w:rsid w:val="007966AF"/>
    <w:rsid w:val="007A2CE0"/>
    <w:rsid w:val="007A495C"/>
    <w:rsid w:val="007B13A2"/>
    <w:rsid w:val="007B256D"/>
    <w:rsid w:val="007B27AC"/>
    <w:rsid w:val="007B2BD1"/>
    <w:rsid w:val="007C0CD4"/>
    <w:rsid w:val="007C13ED"/>
    <w:rsid w:val="007C3050"/>
    <w:rsid w:val="007C6ADC"/>
    <w:rsid w:val="007D2622"/>
    <w:rsid w:val="007D3BBF"/>
    <w:rsid w:val="007D49DA"/>
    <w:rsid w:val="007D51A4"/>
    <w:rsid w:val="007D794E"/>
    <w:rsid w:val="007E2DB6"/>
    <w:rsid w:val="007E5EDA"/>
    <w:rsid w:val="007E7C89"/>
    <w:rsid w:val="007F27B4"/>
    <w:rsid w:val="007F44B6"/>
    <w:rsid w:val="00801573"/>
    <w:rsid w:val="00801973"/>
    <w:rsid w:val="0080252A"/>
    <w:rsid w:val="008051CA"/>
    <w:rsid w:val="00806C2E"/>
    <w:rsid w:val="00807144"/>
    <w:rsid w:val="0081024D"/>
    <w:rsid w:val="00817506"/>
    <w:rsid w:val="008215FC"/>
    <w:rsid w:val="00831F03"/>
    <w:rsid w:val="00836A3B"/>
    <w:rsid w:val="00837766"/>
    <w:rsid w:val="00842C68"/>
    <w:rsid w:val="008433E0"/>
    <w:rsid w:val="00850D6A"/>
    <w:rsid w:val="0085695D"/>
    <w:rsid w:val="0086223C"/>
    <w:rsid w:val="00863131"/>
    <w:rsid w:val="0086360F"/>
    <w:rsid w:val="008658A9"/>
    <w:rsid w:val="00865CD1"/>
    <w:rsid w:val="008717F9"/>
    <w:rsid w:val="00884BEA"/>
    <w:rsid w:val="00884E16"/>
    <w:rsid w:val="00884F8D"/>
    <w:rsid w:val="0088682D"/>
    <w:rsid w:val="00887A29"/>
    <w:rsid w:val="008907BC"/>
    <w:rsid w:val="0089359F"/>
    <w:rsid w:val="00893B1D"/>
    <w:rsid w:val="00894140"/>
    <w:rsid w:val="00895458"/>
    <w:rsid w:val="00897D47"/>
    <w:rsid w:val="008A0FF8"/>
    <w:rsid w:val="008A492F"/>
    <w:rsid w:val="008A5604"/>
    <w:rsid w:val="008A5AA2"/>
    <w:rsid w:val="008A6983"/>
    <w:rsid w:val="008A7B09"/>
    <w:rsid w:val="008B203A"/>
    <w:rsid w:val="008B250C"/>
    <w:rsid w:val="008B2625"/>
    <w:rsid w:val="008B3A9B"/>
    <w:rsid w:val="008B4941"/>
    <w:rsid w:val="008B5D7E"/>
    <w:rsid w:val="008B763F"/>
    <w:rsid w:val="008C5160"/>
    <w:rsid w:val="008D49ED"/>
    <w:rsid w:val="008E0EC4"/>
    <w:rsid w:val="008F0257"/>
    <w:rsid w:val="008F1B1C"/>
    <w:rsid w:val="009005B7"/>
    <w:rsid w:val="009020C5"/>
    <w:rsid w:val="00903BE2"/>
    <w:rsid w:val="00910EA0"/>
    <w:rsid w:val="009142FD"/>
    <w:rsid w:val="00917209"/>
    <w:rsid w:val="009177FF"/>
    <w:rsid w:val="00921E3D"/>
    <w:rsid w:val="00925201"/>
    <w:rsid w:val="00931956"/>
    <w:rsid w:val="00937C07"/>
    <w:rsid w:val="009413F5"/>
    <w:rsid w:val="00946F98"/>
    <w:rsid w:val="009547AA"/>
    <w:rsid w:val="00955DC8"/>
    <w:rsid w:val="0095647C"/>
    <w:rsid w:val="00957439"/>
    <w:rsid w:val="00960106"/>
    <w:rsid w:val="009650CC"/>
    <w:rsid w:val="00970829"/>
    <w:rsid w:val="009724D2"/>
    <w:rsid w:val="00974732"/>
    <w:rsid w:val="009771C2"/>
    <w:rsid w:val="009779CF"/>
    <w:rsid w:val="00980027"/>
    <w:rsid w:val="009806F0"/>
    <w:rsid w:val="009817F4"/>
    <w:rsid w:val="0098308A"/>
    <w:rsid w:val="00985735"/>
    <w:rsid w:val="0098620D"/>
    <w:rsid w:val="00986489"/>
    <w:rsid w:val="009A16F5"/>
    <w:rsid w:val="009A232C"/>
    <w:rsid w:val="009A2922"/>
    <w:rsid w:val="009B0042"/>
    <w:rsid w:val="009B2D5C"/>
    <w:rsid w:val="009B3D5C"/>
    <w:rsid w:val="009C3EEC"/>
    <w:rsid w:val="009C691B"/>
    <w:rsid w:val="009C77B5"/>
    <w:rsid w:val="009D0730"/>
    <w:rsid w:val="009D1895"/>
    <w:rsid w:val="009D207E"/>
    <w:rsid w:val="009D3716"/>
    <w:rsid w:val="009D7ECD"/>
    <w:rsid w:val="009E0761"/>
    <w:rsid w:val="009E2C26"/>
    <w:rsid w:val="009E4FFA"/>
    <w:rsid w:val="009E5019"/>
    <w:rsid w:val="009E73D1"/>
    <w:rsid w:val="009F1670"/>
    <w:rsid w:val="009F20EB"/>
    <w:rsid w:val="00A01F35"/>
    <w:rsid w:val="00A03270"/>
    <w:rsid w:val="00A03DB5"/>
    <w:rsid w:val="00A06EFE"/>
    <w:rsid w:val="00A10B3E"/>
    <w:rsid w:val="00A116DB"/>
    <w:rsid w:val="00A164C2"/>
    <w:rsid w:val="00A176A9"/>
    <w:rsid w:val="00A20FBE"/>
    <w:rsid w:val="00A2224C"/>
    <w:rsid w:val="00A267E4"/>
    <w:rsid w:val="00A26B62"/>
    <w:rsid w:val="00A32059"/>
    <w:rsid w:val="00A32904"/>
    <w:rsid w:val="00A3362F"/>
    <w:rsid w:val="00A33942"/>
    <w:rsid w:val="00A3564F"/>
    <w:rsid w:val="00A40CF6"/>
    <w:rsid w:val="00A41E3C"/>
    <w:rsid w:val="00A47158"/>
    <w:rsid w:val="00A50143"/>
    <w:rsid w:val="00A5593A"/>
    <w:rsid w:val="00A55D2D"/>
    <w:rsid w:val="00A55F5D"/>
    <w:rsid w:val="00A56C20"/>
    <w:rsid w:val="00A56D8F"/>
    <w:rsid w:val="00A63B80"/>
    <w:rsid w:val="00A650C1"/>
    <w:rsid w:val="00A672FF"/>
    <w:rsid w:val="00A7200A"/>
    <w:rsid w:val="00A7439C"/>
    <w:rsid w:val="00A7507E"/>
    <w:rsid w:val="00A772E4"/>
    <w:rsid w:val="00A839CF"/>
    <w:rsid w:val="00A84EE8"/>
    <w:rsid w:val="00A87ABE"/>
    <w:rsid w:val="00A946F4"/>
    <w:rsid w:val="00A947C2"/>
    <w:rsid w:val="00A957D3"/>
    <w:rsid w:val="00A97094"/>
    <w:rsid w:val="00A97D97"/>
    <w:rsid w:val="00AA1C0D"/>
    <w:rsid w:val="00AA3616"/>
    <w:rsid w:val="00AA4A54"/>
    <w:rsid w:val="00AA5D8E"/>
    <w:rsid w:val="00AB40A7"/>
    <w:rsid w:val="00AC0302"/>
    <w:rsid w:val="00AC05A6"/>
    <w:rsid w:val="00AC0A4D"/>
    <w:rsid w:val="00AC2350"/>
    <w:rsid w:val="00AC2A2F"/>
    <w:rsid w:val="00AC6222"/>
    <w:rsid w:val="00AC6390"/>
    <w:rsid w:val="00AD2FA9"/>
    <w:rsid w:val="00AD535F"/>
    <w:rsid w:val="00AD5C5D"/>
    <w:rsid w:val="00AE203D"/>
    <w:rsid w:val="00AE213F"/>
    <w:rsid w:val="00AE3477"/>
    <w:rsid w:val="00AE55EF"/>
    <w:rsid w:val="00AE732E"/>
    <w:rsid w:val="00AF22CC"/>
    <w:rsid w:val="00AF4241"/>
    <w:rsid w:val="00AF4993"/>
    <w:rsid w:val="00B013BC"/>
    <w:rsid w:val="00B02232"/>
    <w:rsid w:val="00B04DC3"/>
    <w:rsid w:val="00B076AC"/>
    <w:rsid w:val="00B119A9"/>
    <w:rsid w:val="00B15278"/>
    <w:rsid w:val="00B174B8"/>
    <w:rsid w:val="00B2270A"/>
    <w:rsid w:val="00B2295E"/>
    <w:rsid w:val="00B277DD"/>
    <w:rsid w:val="00B27DE4"/>
    <w:rsid w:val="00B35AB5"/>
    <w:rsid w:val="00B360C4"/>
    <w:rsid w:val="00B41BA4"/>
    <w:rsid w:val="00B43EAB"/>
    <w:rsid w:val="00B5040F"/>
    <w:rsid w:val="00B51CC8"/>
    <w:rsid w:val="00B555A7"/>
    <w:rsid w:val="00B65EEC"/>
    <w:rsid w:val="00B72F56"/>
    <w:rsid w:val="00B80C12"/>
    <w:rsid w:val="00B83385"/>
    <w:rsid w:val="00B83DD8"/>
    <w:rsid w:val="00B86F54"/>
    <w:rsid w:val="00B9195D"/>
    <w:rsid w:val="00B95304"/>
    <w:rsid w:val="00B963CE"/>
    <w:rsid w:val="00B968CF"/>
    <w:rsid w:val="00BA081A"/>
    <w:rsid w:val="00BA3D1E"/>
    <w:rsid w:val="00BB0E21"/>
    <w:rsid w:val="00BB179D"/>
    <w:rsid w:val="00BC11CA"/>
    <w:rsid w:val="00BC156A"/>
    <w:rsid w:val="00BC2F69"/>
    <w:rsid w:val="00BC6BF2"/>
    <w:rsid w:val="00BD112C"/>
    <w:rsid w:val="00BD128F"/>
    <w:rsid w:val="00BD1F5B"/>
    <w:rsid w:val="00BD29F7"/>
    <w:rsid w:val="00BD4423"/>
    <w:rsid w:val="00BD49CD"/>
    <w:rsid w:val="00BD7051"/>
    <w:rsid w:val="00BD7562"/>
    <w:rsid w:val="00BD776E"/>
    <w:rsid w:val="00BE0D7D"/>
    <w:rsid w:val="00BE1217"/>
    <w:rsid w:val="00BE37B5"/>
    <w:rsid w:val="00BE49C7"/>
    <w:rsid w:val="00BF66E8"/>
    <w:rsid w:val="00BF6C8D"/>
    <w:rsid w:val="00BF75C5"/>
    <w:rsid w:val="00C00B7B"/>
    <w:rsid w:val="00C01111"/>
    <w:rsid w:val="00C02510"/>
    <w:rsid w:val="00C02907"/>
    <w:rsid w:val="00C040E2"/>
    <w:rsid w:val="00C04933"/>
    <w:rsid w:val="00C05F75"/>
    <w:rsid w:val="00C15006"/>
    <w:rsid w:val="00C24D14"/>
    <w:rsid w:val="00C260DE"/>
    <w:rsid w:val="00C26BD3"/>
    <w:rsid w:val="00C3182E"/>
    <w:rsid w:val="00C323F7"/>
    <w:rsid w:val="00C35436"/>
    <w:rsid w:val="00C35C67"/>
    <w:rsid w:val="00C35E01"/>
    <w:rsid w:val="00C362D6"/>
    <w:rsid w:val="00C4327A"/>
    <w:rsid w:val="00C45830"/>
    <w:rsid w:val="00C47F23"/>
    <w:rsid w:val="00C53617"/>
    <w:rsid w:val="00C550F3"/>
    <w:rsid w:val="00C56448"/>
    <w:rsid w:val="00C62BD4"/>
    <w:rsid w:val="00C63339"/>
    <w:rsid w:val="00C64B78"/>
    <w:rsid w:val="00C64D11"/>
    <w:rsid w:val="00C66589"/>
    <w:rsid w:val="00C66812"/>
    <w:rsid w:val="00C66ADE"/>
    <w:rsid w:val="00C66C39"/>
    <w:rsid w:val="00C66D1C"/>
    <w:rsid w:val="00C71704"/>
    <w:rsid w:val="00C72420"/>
    <w:rsid w:val="00C72B84"/>
    <w:rsid w:val="00C7669D"/>
    <w:rsid w:val="00C80631"/>
    <w:rsid w:val="00C810B6"/>
    <w:rsid w:val="00C81133"/>
    <w:rsid w:val="00C8253F"/>
    <w:rsid w:val="00C836A4"/>
    <w:rsid w:val="00C85F9B"/>
    <w:rsid w:val="00C86307"/>
    <w:rsid w:val="00C91C0C"/>
    <w:rsid w:val="00C91E29"/>
    <w:rsid w:val="00C94E9B"/>
    <w:rsid w:val="00C969C6"/>
    <w:rsid w:val="00CA0D1B"/>
    <w:rsid w:val="00CA3743"/>
    <w:rsid w:val="00CA37C9"/>
    <w:rsid w:val="00CA686E"/>
    <w:rsid w:val="00CA6904"/>
    <w:rsid w:val="00CB0D9F"/>
    <w:rsid w:val="00CB2394"/>
    <w:rsid w:val="00CB3B74"/>
    <w:rsid w:val="00CB51C5"/>
    <w:rsid w:val="00CB5564"/>
    <w:rsid w:val="00CC131F"/>
    <w:rsid w:val="00CC4416"/>
    <w:rsid w:val="00CC49F1"/>
    <w:rsid w:val="00CC7484"/>
    <w:rsid w:val="00CD404D"/>
    <w:rsid w:val="00CD5701"/>
    <w:rsid w:val="00CD6DC7"/>
    <w:rsid w:val="00CE1705"/>
    <w:rsid w:val="00CE1A05"/>
    <w:rsid w:val="00CE4595"/>
    <w:rsid w:val="00CE6E3B"/>
    <w:rsid w:val="00CE7411"/>
    <w:rsid w:val="00CF104C"/>
    <w:rsid w:val="00CF1B7B"/>
    <w:rsid w:val="00CF38B3"/>
    <w:rsid w:val="00CF3BC9"/>
    <w:rsid w:val="00D0132C"/>
    <w:rsid w:val="00D04B9C"/>
    <w:rsid w:val="00D11B81"/>
    <w:rsid w:val="00D12772"/>
    <w:rsid w:val="00D127D3"/>
    <w:rsid w:val="00D15DAC"/>
    <w:rsid w:val="00D15E93"/>
    <w:rsid w:val="00D17CBB"/>
    <w:rsid w:val="00D20461"/>
    <w:rsid w:val="00D206D7"/>
    <w:rsid w:val="00D22C3A"/>
    <w:rsid w:val="00D24808"/>
    <w:rsid w:val="00D27EC9"/>
    <w:rsid w:val="00D325F5"/>
    <w:rsid w:val="00D32987"/>
    <w:rsid w:val="00D374E8"/>
    <w:rsid w:val="00D40E2E"/>
    <w:rsid w:val="00D40FF7"/>
    <w:rsid w:val="00D41086"/>
    <w:rsid w:val="00D421A2"/>
    <w:rsid w:val="00D51528"/>
    <w:rsid w:val="00D51CA0"/>
    <w:rsid w:val="00D520C4"/>
    <w:rsid w:val="00D534B4"/>
    <w:rsid w:val="00D551D4"/>
    <w:rsid w:val="00D60262"/>
    <w:rsid w:val="00D63A62"/>
    <w:rsid w:val="00D65422"/>
    <w:rsid w:val="00D66C07"/>
    <w:rsid w:val="00D70298"/>
    <w:rsid w:val="00D707DC"/>
    <w:rsid w:val="00D71199"/>
    <w:rsid w:val="00D72072"/>
    <w:rsid w:val="00D724DC"/>
    <w:rsid w:val="00D76249"/>
    <w:rsid w:val="00D8184D"/>
    <w:rsid w:val="00D82BB5"/>
    <w:rsid w:val="00D82CD1"/>
    <w:rsid w:val="00D842F5"/>
    <w:rsid w:val="00D84472"/>
    <w:rsid w:val="00D849C1"/>
    <w:rsid w:val="00D92261"/>
    <w:rsid w:val="00D945D0"/>
    <w:rsid w:val="00D9490B"/>
    <w:rsid w:val="00DA2733"/>
    <w:rsid w:val="00DA3E3F"/>
    <w:rsid w:val="00DB1AB1"/>
    <w:rsid w:val="00DB7E8A"/>
    <w:rsid w:val="00DC1814"/>
    <w:rsid w:val="00DC4CF5"/>
    <w:rsid w:val="00DC654A"/>
    <w:rsid w:val="00DC71B8"/>
    <w:rsid w:val="00DD0CF5"/>
    <w:rsid w:val="00DD18E0"/>
    <w:rsid w:val="00DD38A0"/>
    <w:rsid w:val="00DD5769"/>
    <w:rsid w:val="00DE4429"/>
    <w:rsid w:val="00DF0FE8"/>
    <w:rsid w:val="00E00E93"/>
    <w:rsid w:val="00E01261"/>
    <w:rsid w:val="00E04E81"/>
    <w:rsid w:val="00E05446"/>
    <w:rsid w:val="00E12364"/>
    <w:rsid w:val="00E12FA2"/>
    <w:rsid w:val="00E13EF4"/>
    <w:rsid w:val="00E15DFC"/>
    <w:rsid w:val="00E1630D"/>
    <w:rsid w:val="00E237FE"/>
    <w:rsid w:val="00E32615"/>
    <w:rsid w:val="00E3467D"/>
    <w:rsid w:val="00E43461"/>
    <w:rsid w:val="00E45B46"/>
    <w:rsid w:val="00E46A19"/>
    <w:rsid w:val="00E47039"/>
    <w:rsid w:val="00E51DC7"/>
    <w:rsid w:val="00E56C86"/>
    <w:rsid w:val="00E6157E"/>
    <w:rsid w:val="00E670B4"/>
    <w:rsid w:val="00E67146"/>
    <w:rsid w:val="00E67618"/>
    <w:rsid w:val="00E6770B"/>
    <w:rsid w:val="00E70D9D"/>
    <w:rsid w:val="00E71928"/>
    <w:rsid w:val="00E72D73"/>
    <w:rsid w:val="00E760F4"/>
    <w:rsid w:val="00E81E63"/>
    <w:rsid w:val="00E86406"/>
    <w:rsid w:val="00E86D17"/>
    <w:rsid w:val="00E96641"/>
    <w:rsid w:val="00EA1E73"/>
    <w:rsid w:val="00EB0A2B"/>
    <w:rsid w:val="00EB2378"/>
    <w:rsid w:val="00EB40F6"/>
    <w:rsid w:val="00EB5804"/>
    <w:rsid w:val="00EB6C9D"/>
    <w:rsid w:val="00EB764E"/>
    <w:rsid w:val="00EB7CDD"/>
    <w:rsid w:val="00EC02BF"/>
    <w:rsid w:val="00EC5A00"/>
    <w:rsid w:val="00ED16A5"/>
    <w:rsid w:val="00ED2E4F"/>
    <w:rsid w:val="00ED56EF"/>
    <w:rsid w:val="00EE4AAF"/>
    <w:rsid w:val="00EF115F"/>
    <w:rsid w:val="00EF4703"/>
    <w:rsid w:val="00EF4982"/>
    <w:rsid w:val="00EF58E3"/>
    <w:rsid w:val="00F015B1"/>
    <w:rsid w:val="00F02E4A"/>
    <w:rsid w:val="00F03373"/>
    <w:rsid w:val="00F05251"/>
    <w:rsid w:val="00F100D8"/>
    <w:rsid w:val="00F12D55"/>
    <w:rsid w:val="00F14041"/>
    <w:rsid w:val="00F17269"/>
    <w:rsid w:val="00F20925"/>
    <w:rsid w:val="00F23F6A"/>
    <w:rsid w:val="00F25B9C"/>
    <w:rsid w:val="00F26C9E"/>
    <w:rsid w:val="00F27A39"/>
    <w:rsid w:val="00F27ACC"/>
    <w:rsid w:val="00F30134"/>
    <w:rsid w:val="00F33B91"/>
    <w:rsid w:val="00F33BF9"/>
    <w:rsid w:val="00F371C2"/>
    <w:rsid w:val="00F41B58"/>
    <w:rsid w:val="00F42DBE"/>
    <w:rsid w:val="00F42F77"/>
    <w:rsid w:val="00F466A8"/>
    <w:rsid w:val="00F512A2"/>
    <w:rsid w:val="00F54667"/>
    <w:rsid w:val="00F54FBB"/>
    <w:rsid w:val="00F550E3"/>
    <w:rsid w:val="00F62BA9"/>
    <w:rsid w:val="00F6334E"/>
    <w:rsid w:val="00F65740"/>
    <w:rsid w:val="00F70A61"/>
    <w:rsid w:val="00F71A4B"/>
    <w:rsid w:val="00F723A0"/>
    <w:rsid w:val="00F73F69"/>
    <w:rsid w:val="00F77B12"/>
    <w:rsid w:val="00F84055"/>
    <w:rsid w:val="00F85010"/>
    <w:rsid w:val="00F853B6"/>
    <w:rsid w:val="00F86C2A"/>
    <w:rsid w:val="00F96161"/>
    <w:rsid w:val="00F96475"/>
    <w:rsid w:val="00FA1B7B"/>
    <w:rsid w:val="00FA268B"/>
    <w:rsid w:val="00FA2B8C"/>
    <w:rsid w:val="00FA5FA5"/>
    <w:rsid w:val="00FA7010"/>
    <w:rsid w:val="00FB2857"/>
    <w:rsid w:val="00FB4266"/>
    <w:rsid w:val="00FB632A"/>
    <w:rsid w:val="00FC765B"/>
    <w:rsid w:val="00FD3BF5"/>
    <w:rsid w:val="00FD3F21"/>
    <w:rsid w:val="00FD6EB5"/>
    <w:rsid w:val="00FE2311"/>
    <w:rsid w:val="00FE289C"/>
    <w:rsid w:val="00FE55C7"/>
    <w:rsid w:val="00FE585C"/>
    <w:rsid w:val="00FE7C0A"/>
    <w:rsid w:val="00FF10C7"/>
    <w:rsid w:val="00FF3B94"/>
    <w:rsid w:val="00FF6F15"/>
  </w:rsids>
  <m:mathPr>
    <m:mathFont m:val="Cambria Math"/>
    <m:brkBin m:val="before"/>
    <m:brkBinSub m:val="--"/>
    <m:smallFrac m:val="0"/>
    <m:dispDef/>
    <m:lMargin m:val="0"/>
    <m:rMargin m:val="0"/>
    <m:defJc m:val="centerGroup"/>
    <m:wrapIndent m:val="1440"/>
    <m:intLim m:val="subSup"/>
    <m:naryLim m:val="undOvr"/>
  </m:mathPr>
  <w:themeFontLang w:val="lt-L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4C44C5"/>
  <w15:chartTrackingRefBased/>
  <w15:docId w15:val="{43652DDC-6E8D-4437-B700-28B5B0043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Light" w:eastAsiaTheme="minorHAnsi" w:hAnsi="Calibri Light" w:cstheme="minorBidi"/>
        <w:sz w:val="22"/>
        <w:szCs w:val="22"/>
        <w:lang w:val="lt-LT" w:eastAsia="en-US"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26BD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E55C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2A71A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7A39"/>
    <w:pPr>
      <w:ind w:left="720"/>
      <w:contextualSpacing/>
    </w:pPr>
  </w:style>
  <w:style w:type="character" w:styleId="CommentReference">
    <w:name w:val="annotation reference"/>
    <w:basedOn w:val="DefaultParagraphFont"/>
    <w:uiPriority w:val="99"/>
    <w:semiHidden/>
    <w:unhideWhenUsed/>
    <w:rsid w:val="00CB5564"/>
    <w:rPr>
      <w:sz w:val="16"/>
      <w:szCs w:val="16"/>
    </w:rPr>
  </w:style>
  <w:style w:type="paragraph" w:styleId="CommentText">
    <w:name w:val="annotation text"/>
    <w:basedOn w:val="Normal"/>
    <w:link w:val="CommentTextChar"/>
    <w:uiPriority w:val="99"/>
    <w:semiHidden/>
    <w:unhideWhenUsed/>
    <w:rsid w:val="00CB5564"/>
    <w:rPr>
      <w:sz w:val="20"/>
      <w:szCs w:val="20"/>
    </w:rPr>
  </w:style>
  <w:style w:type="character" w:customStyle="1" w:styleId="CommentTextChar">
    <w:name w:val="Comment Text Char"/>
    <w:basedOn w:val="DefaultParagraphFont"/>
    <w:link w:val="CommentText"/>
    <w:uiPriority w:val="99"/>
    <w:semiHidden/>
    <w:rsid w:val="00CB5564"/>
    <w:rPr>
      <w:sz w:val="20"/>
      <w:szCs w:val="20"/>
    </w:rPr>
  </w:style>
  <w:style w:type="paragraph" w:styleId="CommentSubject">
    <w:name w:val="annotation subject"/>
    <w:basedOn w:val="CommentText"/>
    <w:next w:val="CommentText"/>
    <w:link w:val="CommentSubjectChar"/>
    <w:uiPriority w:val="99"/>
    <w:semiHidden/>
    <w:unhideWhenUsed/>
    <w:rsid w:val="00CB5564"/>
    <w:rPr>
      <w:b/>
      <w:bCs/>
    </w:rPr>
  </w:style>
  <w:style w:type="character" w:customStyle="1" w:styleId="CommentSubjectChar">
    <w:name w:val="Comment Subject Char"/>
    <w:basedOn w:val="CommentTextChar"/>
    <w:link w:val="CommentSubject"/>
    <w:uiPriority w:val="99"/>
    <w:semiHidden/>
    <w:rsid w:val="00CB5564"/>
    <w:rPr>
      <w:b/>
      <w:bCs/>
      <w:sz w:val="20"/>
      <w:szCs w:val="20"/>
    </w:rPr>
  </w:style>
  <w:style w:type="paragraph" w:styleId="BalloonText">
    <w:name w:val="Balloon Text"/>
    <w:basedOn w:val="Normal"/>
    <w:link w:val="BalloonTextChar"/>
    <w:uiPriority w:val="99"/>
    <w:semiHidden/>
    <w:unhideWhenUsed/>
    <w:rsid w:val="00CB5564"/>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5564"/>
    <w:rPr>
      <w:rFonts w:ascii="Segoe UI" w:hAnsi="Segoe UI" w:cs="Segoe UI"/>
      <w:sz w:val="18"/>
      <w:szCs w:val="18"/>
    </w:rPr>
  </w:style>
  <w:style w:type="paragraph" w:styleId="Header">
    <w:name w:val="header"/>
    <w:basedOn w:val="Normal"/>
    <w:link w:val="HeaderChar"/>
    <w:uiPriority w:val="99"/>
    <w:unhideWhenUsed/>
    <w:rsid w:val="00404A94"/>
    <w:pPr>
      <w:tabs>
        <w:tab w:val="center" w:pos="4819"/>
        <w:tab w:val="right" w:pos="9638"/>
      </w:tabs>
      <w:spacing w:after="0"/>
    </w:pPr>
  </w:style>
  <w:style w:type="character" w:customStyle="1" w:styleId="HeaderChar">
    <w:name w:val="Header Char"/>
    <w:basedOn w:val="DefaultParagraphFont"/>
    <w:link w:val="Header"/>
    <w:uiPriority w:val="99"/>
    <w:rsid w:val="00404A94"/>
  </w:style>
  <w:style w:type="paragraph" w:styleId="Footer">
    <w:name w:val="footer"/>
    <w:basedOn w:val="Normal"/>
    <w:link w:val="FooterChar"/>
    <w:uiPriority w:val="99"/>
    <w:unhideWhenUsed/>
    <w:rsid w:val="00404A94"/>
    <w:pPr>
      <w:tabs>
        <w:tab w:val="center" w:pos="4819"/>
        <w:tab w:val="right" w:pos="9638"/>
      </w:tabs>
      <w:spacing w:after="0"/>
    </w:pPr>
  </w:style>
  <w:style w:type="character" w:customStyle="1" w:styleId="FooterChar">
    <w:name w:val="Footer Char"/>
    <w:basedOn w:val="DefaultParagraphFont"/>
    <w:link w:val="Footer"/>
    <w:uiPriority w:val="99"/>
    <w:rsid w:val="00404A94"/>
  </w:style>
  <w:style w:type="character" w:styleId="Hyperlink">
    <w:name w:val="Hyperlink"/>
    <w:uiPriority w:val="99"/>
    <w:unhideWhenUsed/>
    <w:rsid w:val="00404A94"/>
    <w:rPr>
      <w:color w:val="0563C1"/>
      <w:u w:val="single"/>
    </w:rPr>
  </w:style>
  <w:style w:type="character" w:customStyle="1" w:styleId="UnresolvedMention1">
    <w:name w:val="Unresolved Mention1"/>
    <w:basedOn w:val="DefaultParagraphFont"/>
    <w:uiPriority w:val="99"/>
    <w:semiHidden/>
    <w:unhideWhenUsed/>
    <w:rsid w:val="00FC765B"/>
    <w:rPr>
      <w:color w:val="808080"/>
      <w:shd w:val="clear" w:color="auto" w:fill="E6E6E6"/>
    </w:rPr>
  </w:style>
  <w:style w:type="character" w:customStyle="1" w:styleId="Heading1Char">
    <w:name w:val="Heading 1 Char"/>
    <w:basedOn w:val="DefaultParagraphFont"/>
    <w:link w:val="Heading1"/>
    <w:uiPriority w:val="9"/>
    <w:rsid w:val="00C26BD3"/>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E55C7"/>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FE55C7"/>
    <w:rPr>
      <w:color w:val="954F72" w:themeColor="followedHyperlink"/>
      <w:u w:val="single"/>
    </w:rPr>
  </w:style>
  <w:style w:type="character" w:styleId="Strong">
    <w:name w:val="Strong"/>
    <w:basedOn w:val="DefaultParagraphFont"/>
    <w:uiPriority w:val="22"/>
    <w:qFormat/>
    <w:rsid w:val="007B27AC"/>
    <w:rPr>
      <w:b/>
      <w:bCs/>
    </w:rPr>
  </w:style>
  <w:style w:type="character" w:customStyle="1" w:styleId="Heading3Char">
    <w:name w:val="Heading 3 Char"/>
    <w:basedOn w:val="DefaultParagraphFont"/>
    <w:link w:val="Heading3"/>
    <w:uiPriority w:val="9"/>
    <w:semiHidden/>
    <w:rsid w:val="002A71A6"/>
    <w:rPr>
      <w:rFonts w:asciiTheme="majorHAnsi" w:eastAsiaTheme="majorEastAsia" w:hAnsiTheme="majorHAnsi" w:cstheme="majorBidi"/>
      <w:color w:val="1F3763" w:themeColor="accent1" w:themeShade="7F"/>
      <w:sz w:val="24"/>
      <w:szCs w:val="24"/>
    </w:rPr>
  </w:style>
  <w:style w:type="paragraph" w:styleId="FootnoteText">
    <w:name w:val="footnote text"/>
    <w:basedOn w:val="Normal"/>
    <w:link w:val="FootnoteTextChar"/>
    <w:uiPriority w:val="99"/>
    <w:semiHidden/>
    <w:unhideWhenUsed/>
    <w:rsid w:val="00456AEB"/>
    <w:pPr>
      <w:spacing w:after="0"/>
    </w:pPr>
    <w:rPr>
      <w:sz w:val="20"/>
      <w:szCs w:val="20"/>
    </w:rPr>
  </w:style>
  <w:style w:type="character" w:customStyle="1" w:styleId="FootnoteTextChar">
    <w:name w:val="Footnote Text Char"/>
    <w:basedOn w:val="DefaultParagraphFont"/>
    <w:link w:val="FootnoteText"/>
    <w:uiPriority w:val="99"/>
    <w:semiHidden/>
    <w:rsid w:val="00456AEB"/>
    <w:rPr>
      <w:sz w:val="20"/>
      <w:szCs w:val="20"/>
    </w:rPr>
  </w:style>
  <w:style w:type="character" w:styleId="FootnoteReference">
    <w:name w:val="footnote reference"/>
    <w:basedOn w:val="DefaultParagraphFont"/>
    <w:uiPriority w:val="99"/>
    <w:semiHidden/>
    <w:unhideWhenUsed/>
    <w:rsid w:val="00456AEB"/>
    <w:rPr>
      <w:vertAlign w:val="superscript"/>
    </w:rPr>
  </w:style>
  <w:style w:type="character" w:styleId="UnresolvedMention">
    <w:name w:val="Unresolved Mention"/>
    <w:basedOn w:val="DefaultParagraphFont"/>
    <w:uiPriority w:val="99"/>
    <w:semiHidden/>
    <w:unhideWhenUsed/>
    <w:rsid w:val="004521F4"/>
    <w:rPr>
      <w:color w:val="605E5C"/>
      <w:shd w:val="clear" w:color="auto" w:fill="E1DFDD"/>
    </w:rPr>
  </w:style>
  <w:style w:type="paragraph" w:styleId="Revision">
    <w:name w:val="Revision"/>
    <w:hidden/>
    <w:uiPriority w:val="99"/>
    <w:semiHidden/>
    <w:rsid w:val="00831F03"/>
    <w:pPr>
      <w:spacing w:after="0"/>
      <w:jc w:val="left"/>
    </w:pPr>
  </w:style>
  <w:style w:type="paragraph" w:styleId="Title">
    <w:name w:val="Title"/>
    <w:basedOn w:val="Normal"/>
    <w:next w:val="Normal"/>
    <w:link w:val="TitleChar"/>
    <w:uiPriority w:val="10"/>
    <w:qFormat/>
    <w:rsid w:val="005923D2"/>
    <w:pPr>
      <w:keepNext/>
      <w:keepLines/>
      <w:spacing w:after="60" w:line="276" w:lineRule="auto"/>
      <w:jc w:val="left"/>
    </w:pPr>
    <w:rPr>
      <w:rFonts w:ascii="Arial" w:eastAsia="Arial" w:hAnsi="Arial" w:cs="Arial"/>
      <w:sz w:val="52"/>
      <w:szCs w:val="52"/>
      <w:lang w:val="lt" w:eastAsia="en-GB"/>
    </w:rPr>
  </w:style>
  <w:style w:type="character" w:customStyle="1" w:styleId="TitleChar">
    <w:name w:val="Title Char"/>
    <w:basedOn w:val="DefaultParagraphFont"/>
    <w:link w:val="Title"/>
    <w:uiPriority w:val="10"/>
    <w:rsid w:val="005923D2"/>
    <w:rPr>
      <w:rFonts w:ascii="Arial" w:eastAsia="Arial" w:hAnsi="Arial" w:cs="Arial"/>
      <w:sz w:val="52"/>
      <w:szCs w:val="52"/>
      <w:lang w:val="lt"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632143">
      <w:bodyDiv w:val="1"/>
      <w:marLeft w:val="0"/>
      <w:marRight w:val="0"/>
      <w:marTop w:val="0"/>
      <w:marBottom w:val="0"/>
      <w:divBdr>
        <w:top w:val="none" w:sz="0" w:space="0" w:color="auto"/>
        <w:left w:val="none" w:sz="0" w:space="0" w:color="auto"/>
        <w:bottom w:val="none" w:sz="0" w:space="0" w:color="auto"/>
        <w:right w:val="none" w:sz="0" w:space="0" w:color="auto"/>
      </w:divBdr>
    </w:div>
    <w:div w:id="111443435">
      <w:bodyDiv w:val="1"/>
      <w:marLeft w:val="0"/>
      <w:marRight w:val="0"/>
      <w:marTop w:val="0"/>
      <w:marBottom w:val="0"/>
      <w:divBdr>
        <w:top w:val="none" w:sz="0" w:space="0" w:color="auto"/>
        <w:left w:val="none" w:sz="0" w:space="0" w:color="auto"/>
        <w:bottom w:val="none" w:sz="0" w:space="0" w:color="auto"/>
        <w:right w:val="none" w:sz="0" w:space="0" w:color="auto"/>
      </w:divBdr>
    </w:div>
    <w:div w:id="128940501">
      <w:bodyDiv w:val="1"/>
      <w:marLeft w:val="0"/>
      <w:marRight w:val="0"/>
      <w:marTop w:val="0"/>
      <w:marBottom w:val="0"/>
      <w:divBdr>
        <w:top w:val="none" w:sz="0" w:space="0" w:color="auto"/>
        <w:left w:val="none" w:sz="0" w:space="0" w:color="auto"/>
        <w:bottom w:val="none" w:sz="0" w:space="0" w:color="auto"/>
        <w:right w:val="none" w:sz="0" w:space="0" w:color="auto"/>
      </w:divBdr>
    </w:div>
    <w:div w:id="224729685">
      <w:bodyDiv w:val="1"/>
      <w:marLeft w:val="0"/>
      <w:marRight w:val="0"/>
      <w:marTop w:val="0"/>
      <w:marBottom w:val="0"/>
      <w:divBdr>
        <w:top w:val="none" w:sz="0" w:space="0" w:color="auto"/>
        <w:left w:val="none" w:sz="0" w:space="0" w:color="auto"/>
        <w:bottom w:val="none" w:sz="0" w:space="0" w:color="auto"/>
        <w:right w:val="none" w:sz="0" w:space="0" w:color="auto"/>
      </w:divBdr>
    </w:div>
    <w:div w:id="293368950">
      <w:bodyDiv w:val="1"/>
      <w:marLeft w:val="0"/>
      <w:marRight w:val="0"/>
      <w:marTop w:val="0"/>
      <w:marBottom w:val="0"/>
      <w:divBdr>
        <w:top w:val="none" w:sz="0" w:space="0" w:color="auto"/>
        <w:left w:val="none" w:sz="0" w:space="0" w:color="auto"/>
        <w:bottom w:val="none" w:sz="0" w:space="0" w:color="auto"/>
        <w:right w:val="none" w:sz="0" w:space="0" w:color="auto"/>
      </w:divBdr>
    </w:div>
    <w:div w:id="350497648">
      <w:bodyDiv w:val="1"/>
      <w:marLeft w:val="0"/>
      <w:marRight w:val="0"/>
      <w:marTop w:val="0"/>
      <w:marBottom w:val="0"/>
      <w:divBdr>
        <w:top w:val="none" w:sz="0" w:space="0" w:color="auto"/>
        <w:left w:val="none" w:sz="0" w:space="0" w:color="auto"/>
        <w:bottom w:val="none" w:sz="0" w:space="0" w:color="auto"/>
        <w:right w:val="none" w:sz="0" w:space="0" w:color="auto"/>
      </w:divBdr>
    </w:div>
    <w:div w:id="527522939">
      <w:bodyDiv w:val="1"/>
      <w:marLeft w:val="0"/>
      <w:marRight w:val="0"/>
      <w:marTop w:val="0"/>
      <w:marBottom w:val="0"/>
      <w:divBdr>
        <w:top w:val="none" w:sz="0" w:space="0" w:color="auto"/>
        <w:left w:val="none" w:sz="0" w:space="0" w:color="auto"/>
        <w:bottom w:val="none" w:sz="0" w:space="0" w:color="auto"/>
        <w:right w:val="none" w:sz="0" w:space="0" w:color="auto"/>
      </w:divBdr>
    </w:div>
    <w:div w:id="563570940">
      <w:bodyDiv w:val="1"/>
      <w:marLeft w:val="0"/>
      <w:marRight w:val="0"/>
      <w:marTop w:val="0"/>
      <w:marBottom w:val="0"/>
      <w:divBdr>
        <w:top w:val="none" w:sz="0" w:space="0" w:color="auto"/>
        <w:left w:val="none" w:sz="0" w:space="0" w:color="auto"/>
        <w:bottom w:val="none" w:sz="0" w:space="0" w:color="auto"/>
        <w:right w:val="none" w:sz="0" w:space="0" w:color="auto"/>
      </w:divBdr>
    </w:div>
    <w:div w:id="655304003">
      <w:bodyDiv w:val="1"/>
      <w:marLeft w:val="0"/>
      <w:marRight w:val="0"/>
      <w:marTop w:val="0"/>
      <w:marBottom w:val="0"/>
      <w:divBdr>
        <w:top w:val="none" w:sz="0" w:space="0" w:color="auto"/>
        <w:left w:val="none" w:sz="0" w:space="0" w:color="auto"/>
        <w:bottom w:val="none" w:sz="0" w:space="0" w:color="auto"/>
        <w:right w:val="none" w:sz="0" w:space="0" w:color="auto"/>
      </w:divBdr>
    </w:div>
    <w:div w:id="662926648">
      <w:bodyDiv w:val="1"/>
      <w:marLeft w:val="0"/>
      <w:marRight w:val="0"/>
      <w:marTop w:val="0"/>
      <w:marBottom w:val="0"/>
      <w:divBdr>
        <w:top w:val="none" w:sz="0" w:space="0" w:color="auto"/>
        <w:left w:val="none" w:sz="0" w:space="0" w:color="auto"/>
        <w:bottom w:val="none" w:sz="0" w:space="0" w:color="auto"/>
        <w:right w:val="none" w:sz="0" w:space="0" w:color="auto"/>
      </w:divBdr>
    </w:div>
    <w:div w:id="694162171">
      <w:bodyDiv w:val="1"/>
      <w:marLeft w:val="0"/>
      <w:marRight w:val="0"/>
      <w:marTop w:val="0"/>
      <w:marBottom w:val="0"/>
      <w:divBdr>
        <w:top w:val="none" w:sz="0" w:space="0" w:color="auto"/>
        <w:left w:val="none" w:sz="0" w:space="0" w:color="auto"/>
        <w:bottom w:val="none" w:sz="0" w:space="0" w:color="auto"/>
        <w:right w:val="none" w:sz="0" w:space="0" w:color="auto"/>
      </w:divBdr>
    </w:div>
    <w:div w:id="704986985">
      <w:bodyDiv w:val="1"/>
      <w:marLeft w:val="0"/>
      <w:marRight w:val="0"/>
      <w:marTop w:val="0"/>
      <w:marBottom w:val="0"/>
      <w:divBdr>
        <w:top w:val="none" w:sz="0" w:space="0" w:color="auto"/>
        <w:left w:val="none" w:sz="0" w:space="0" w:color="auto"/>
        <w:bottom w:val="none" w:sz="0" w:space="0" w:color="auto"/>
        <w:right w:val="none" w:sz="0" w:space="0" w:color="auto"/>
      </w:divBdr>
      <w:divsChild>
        <w:div w:id="1152867329">
          <w:marLeft w:val="0"/>
          <w:marRight w:val="0"/>
          <w:marTop w:val="0"/>
          <w:marBottom w:val="0"/>
          <w:divBdr>
            <w:top w:val="none" w:sz="0" w:space="0" w:color="auto"/>
            <w:left w:val="none" w:sz="0" w:space="0" w:color="auto"/>
            <w:bottom w:val="none" w:sz="0" w:space="0" w:color="auto"/>
            <w:right w:val="none" w:sz="0" w:space="0" w:color="auto"/>
          </w:divBdr>
        </w:div>
        <w:div w:id="701594428">
          <w:marLeft w:val="0"/>
          <w:marRight w:val="0"/>
          <w:marTop w:val="0"/>
          <w:marBottom w:val="0"/>
          <w:divBdr>
            <w:top w:val="none" w:sz="0" w:space="0" w:color="auto"/>
            <w:left w:val="none" w:sz="0" w:space="0" w:color="auto"/>
            <w:bottom w:val="none" w:sz="0" w:space="0" w:color="auto"/>
            <w:right w:val="none" w:sz="0" w:space="0" w:color="auto"/>
          </w:divBdr>
        </w:div>
        <w:div w:id="1542129582">
          <w:marLeft w:val="0"/>
          <w:marRight w:val="0"/>
          <w:marTop w:val="0"/>
          <w:marBottom w:val="0"/>
          <w:divBdr>
            <w:top w:val="none" w:sz="0" w:space="0" w:color="auto"/>
            <w:left w:val="none" w:sz="0" w:space="0" w:color="auto"/>
            <w:bottom w:val="none" w:sz="0" w:space="0" w:color="auto"/>
            <w:right w:val="none" w:sz="0" w:space="0" w:color="auto"/>
          </w:divBdr>
        </w:div>
      </w:divsChild>
    </w:div>
    <w:div w:id="710810708">
      <w:bodyDiv w:val="1"/>
      <w:marLeft w:val="0"/>
      <w:marRight w:val="0"/>
      <w:marTop w:val="0"/>
      <w:marBottom w:val="0"/>
      <w:divBdr>
        <w:top w:val="none" w:sz="0" w:space="0" w:color="auto"/>
        <w:left w:val="none" w:sz="0" w:space="0" w:color="auto"/>
        <w:bottom w:val="none" w:sz="0" w:space="0" w:color="auto"/>
        <w:right w:val="none" w:sz="0" w:space="0" w:color="auto"/>
      </w:divBdr>
    </w:div>
    <w:div w:id="786393893">
      <w:bodyDiv w:val="1"/>
      <w:marLeft w:val="0"/>
      <w:marRight w:val="0"/>
      <w:marTop w:val="0"/>
      <w:marBottom w:val="0"/>
      <w:divBdr>
        <w:top w:val="none" w:sz="0" w:space="0" w:color="auto"/>
        <w:left w:val="none" w:sz="0" w:space="0" w:color="auto"/>
        <w:bottom w:val="none" w:sz="0" w:space="0" w:color="auto"/>
        <w:right w:val="none" w:sz="0" w:space="0" w:color="auto"/>
      </w:divBdr>
    </w:div>
    <w:div w:id="810296003">
      <w:bodyDiv w:val="1"/>
      <w:marLeft w:val="0"/>
      <w:marRight w:val="0"/>
      <w:marTop w:val="0"/>
      <w:marBottom w:val="0"/>
      <w:divBdr>
        <w:top w:val="none" w:sz="0" w:space="0" w:color="auto"/>
        <w:left w:val="none" w:sz="0" w:space="0" w:color="auto"/>
        <w:bottom w:val="none" w:sz="0" w:space="0" w:color="auto"/>
        <w:right w:val="none" w:sz="0" w:space="0" w:color="auto"/>
      </w:divBdr>
    </w:div>
    <w:div w:id="814447279">
      <w:bodyDiv w:val="1"/>
      <w:marLeft w:val="0"/>
      <w:marRight w:val="0"/>
      <w:marTop w:val="0"/>
      <w:marBottom w:val="0"/>
      <w:divBdr>
        <w:top w:val="none" w:sz="0" w:space="0" w:color="auto"/>
        <w:left w:val="none" w:sz="0" w:space="0" w:color="auto"/>
        <w:bottom w:val="none" w:sz="0" w:space="0" w:color="auto"/>
        <w:right w:val="none" w:sz="0" w:space="0" w:color="auto"/>
      </w:divBdr>
    </w:div>
    <w:div w:id="831264494">
      <w:bodyDiv w:val="1"/>
      <w:marLeft w:val="0"/>
      <w:marRight w:val="0"/>
      <w:marTop w:val="0"/>
      <w:marBottom w:val="0"/>
      <w:divBdr>
        <w:top w:val="none" w:sz="0" w:space="0" w:color="auto"/>
        <w:left w:val="none" w:sz="0" w:space="0" w:color="auto"/>
        <w:bottom w:val="none" w:sz="0" w:space="0" w:color="auto"/>
        <w:right w:val="none" w:sz="0" w:space="0" w:color="auto"/>
      </w:divBdr>
    </w:div>
    <w:div w:id="880245446">
      <w:bodyDiv w:val="1"/>
      <w:marLeft w:val="0"/>
      <w:marRight w:val="0"/>
      <w:marTop w:val="0"/>
      <w:marBottom w:val="0"/>
      <w:divBdr>
        <w:top w:val="none" w:sz="0" w:space="0" w:color="auto"/>
        <w:left w:val="none" w:sz="0" w:space="0" w:color="auto"/>
        <w:bottom w:val="none" w:sz="0" w:space="0" w:color="auto"/>
        <w:right w:val="none" w:sz="0" w:space="0" w:color="auto"/>
      </w:divBdr>
    </w:div>
    <w:div w:id="913124491">
      <w:bodyDiv w:val="1"/>
      <w:marLeft w:val="0"/>
      <w:marRight w:val="0"/>
      <w:marTop w:val="0"/>
      <w:marBottom w:val="0"/>
      <w:divBdr>
        <w:top w:val="none" w:sz="0" w:space="0" w:color="auto"/>
        <w:left w:val="none" w:sz="0" w:space="0" w:color="auto"/>
        <w:bottom w:val="none" w:sz="0" w:space="0" w:color="auto"/>
        <w:right w:val="none" w:sz="0" w:space="0" w:color="auto"/>
      </w:divBdr>
    </w:div>
    <w:div w:id="920286704">
      <w:bodyDiv w:val="1"/>
      <w:marLeft w:val="0"/>
      <w:marRight w:val="0"/>
      <w:marTop w:val="0"/>
      <w:marBottom w:val="0"/>
      <w:divBdr>
        <w:top w:val="none" w:sz="0" w:space="0" w:color="auto"/>
        <w:left w:val="none" w:sz="0" w:space="0" w:color="auto"/>
        <w:bottom w:val="none" w:sz="0" w:space="0" w:color="auto"/>
        <w:right w:val="none" w:sz="0" w:space="0" w:color="auto"/>
      </w:divBdr>
    </w:div>
    <w:div w:id="965354334">
      <w:bodyDiv w:val="1"/>
      <w:marLeft w:val="0"/>
      <w:marRight w:val="0"/>
      <w:marTop w:val="0"/>
      <w:marBottom w:val="0"/>
      <w:divBdr>
        <w:top w:val="none" w:sz="0" w:space="0" w:color="auto"/>
        <w:left w:val="none" w:sz="0" w:space="0" w:color="auto"/>
        <w:bottom w:val="none" w:sz="0" w:space="0" w:color="auto"/>
        <w:right w:val="none" w:sz="0" w:space="0" w:color="auto"/>
      </w:divBdr>
    </w:div>
    <w:div w:id="1045178166">
      <w:bodyDiv w:val="1"/>
      <w:marLeft w:val="0"/>
      <w:marRight w:val="0"/>
      <w:marTop w:val="0"/>
      <w:marBottom w:val="0"/>
      <w:divBdr>
        <w:top w:val="none" w:sz="0" w:space="0" w:color="auto"/>
        <w:left w:val="none" w:sz="0" w:space="0" w:color="auto"/>
        <w:bottom w:val="none" w:sz="0" w:space="0" w:color="auto"/>
        <w:right w:val="none" w:sz="0" w:space="0" w:color="auto"/>
      </w:divBdr>
    </w:div>
    <w:div w:id="1052076455">
      <w:bodyDiv w:val="1"/>
      <w:marLeft w:val="0"/>
      <w:marRight w:val="0"/>
      <w:marTop w:val="0"/>
      <w:marBottom w:val="0"/>
      <w:divBdr>
        <w:top w:val="none" w:sz="0" w:space="0" w:color="auto"/>
        <w:left w:val="none" w:sz="0" w:space="0" w:color="auto"/>
        <w:bottom w:val="none" w:sz="0" w:space="0" w:color="auto"/>
        <w:right w:val="none" w:sz="0" w:space="0" w:color="auto"/>
      </w:divBdr>
    </w:div>
    <w:div w:id="1240795968">
      <w:bodyDiv w:val="1"/>
      <w:marLeft w:val="0"/>
      <w:marRight w:val="0"/>
      <w:marTop w:val="0"/>
      <w:marBottom w:val="0"/>
      <w:divBdr>
        <w:top w:val="none" w:sz="0" w:space="0" w:color="auto"/>
        <w:left w:val="none" w:sz="0" w:space="0" w:color="auto"/>
        <w:bottom w:val="none" w:sz="0" w:space="0" w:color="auto"/>
        <w:right w:val="none" w:sz="0" w:space="0" w:color="auto"/>
      </w:divBdr>
    </w:div>
    <w:div w:id="1246262532">
      <w:bodyDiv w:val="1"/>
      <w:marLeft w:val="0"/>
      <w:marRight w:val="0"/>
      <w:marTop w:val="0"/>
      <w:marBottom w:val="0"/>
      <w:divBdr>
        <w:top w:val="none" w:sz="0" w:space="0" w:color="auto"/>
        <w:left w:val="none" w:sz="0" w:space="0" w:color="auto"/>
        <w:bottom w:val="none" w:sz="0" w:space="0" w:color="auto"/>
        <w:right w:val="none" w:sz="0" w:space="0" w:color="auto"/>
      </w:divBdr>
    </w:div>
    <w:div w:id="1281767772">
      <w:bodyDiv w:val="1"/>
      <w:marLeft w:val="0"/>
      <w:marRight w:val="0"/>
      <w:marTop w:val="0"/>
      <w:marBottom w:val="0"/>
      <w:divBdr>
        <w:top w:val="none" w:sz="0" w:space="0" w:color="auto"/>
        <w:left w:val="none" w:sz="0" w:space="0" w:color="auto"/>
        <w:bottom w:val="none" w:sz="0" w:space="0" w:color="auto"/>
        <w:right w:val="none" w:sz="0" w:space="0" w:color="auto"/>
      </w:divBdr>
    </w:div>
    <w:div w:id="1417635154">
      <w:bodyDiv w:val="1"/>
      <w:marLeft w:val="0"/>
      <w:marRight w:val="0"/>
      <w:marTop w:val="0"/>
      <w:marBottom w:val="0"/>
      <w:divBdr>
        <w:top w:val="none" w:sz="0" w:space="0" w:color="auto"/>
        <w:left w:val="none" w:sz="0" w:space="0" w:color="auto"/>
        <w:bottom w:val="none" w:sz="0" w:space="0" w:color="auto"/>
        <w:right w:val="none" w:sz="0" w:space="0" w:color="auto"/>
      </w:divBdr>
    </w:div>
    <w:div w:id="1521236123">
      <w:bodyDiv w:val="1"/>
      <w:marLeft w:val="0"/>
      <w:marRight w:val="0"/>
      <w:marTop w:val="0"/>
      <w:marBottom w:val="0"/>
      <w:divBdr>
        <w:top w:val="none" w:sz="0" w:space="0" w:color="auto"/>
        <w:left w:val="none" w:sz="0" w:space="0" w:color="auto"/>
        <w:bottom w:val="none" w:sz="0" w:space="0" w:color="auto"/>
        <w:right w:val="none" w:sz="0" w:space="0" w:color="auto"/>
      </w:divBdr>
    </w:div>
    <w:div w:id="1658923773">
      <w:bodyDiv w:val="1"/>
      <w:marLeft w:val="0"/>
      <w:marRight w:val="0"/>
      <w:marTop w:val="0"/>
      <w:marBottom w:val="0"/>
      <w:divBdr>
        <w:top w:val="none" w:sz="0" w:space="0" w:color="auto"/>
        <w:left w:val="none" w:sz="0" w:space="0" w:color="auto"/>
        <w:bottom w:val="none" w:sz="0" w:space="0" w:color="auto"/>
        <w:right w:val="none" w:sz="0" w:space="0" w:color="auto"/>
      </w:divBdr>
    </w:div>
    <w:div w:id="1659916763">
      <w:bodyDiv w:val="1"/>
      <w:marLeft w:val="0"/>
      <w:marRight w:val="0"/>
      <w:marTop w:val="0"/>
      <w:marBottom w:val="0"/>
      <w:divBdr>
        <w:top w:val="none" w:sz="0" w:space="0" w:color="auto"/>
        <w:left w:val="none" w:sz="0" w:space="0" w:color="auto"/>
        <w:bottom w:val="none" w:sz="0" w:space="0" w:color="auto"/>
        <w:right w:val="none" w:sz="0" w:space="0" w:color="auto"/>
      </w:divBdr>
      <w:divsChild>
        <w:div w:id="576473367">
          <w:marLeft w:val="0"/>
          <w:marRight w:val="0"/>
          <w:marTop w:val="0"/>
          <w:marBottom w:val="0"/>
          <w:divBdr>
            <w:top w:val="none" w:sz="0" w:space="0" w:color="auto"/>
            <w:left w:val="none" w:sz="0" w:space="0" w:color="auto"/>
            <w:bottom w:val="none" w:sz="0" w:space="0" w:color="auto"/>
            <w:right w:val="none" w:sz="0" w:space="0" w:color="auto"/>
          </w:divBdr>
        </w:div>
        <w:div w:id="465700204">
          <w:marLeft w:val="0"/>
          <w:marRight w:val="0"/>
          <w:marTop w:val="0"/>
          <w:marBottom w:val="0"/>
          <w:divBdr>
            <w:top w:val="none" w:sz="0" w:space="0" w:color="auto"/>
            <w:left w:val="none" w:sz="0" w:space="0" w:color="auto"/>
            <w:bottom w:val="none" w:sz="0" w:space="0" w:color="auto"/>
            <w:right w:val="none" w:sz="0" w:space="0" w:color="auto"/>
          </w:divBdr>
        </w:div>
        <w:div w:id="50615462">
          <w:marLeft w:val="0"/>
          <w:marRight w:val="0"/>
          <w:marTop w:val="0"/>
          <w:marBottom w:val="0"/>
          <w:divBdr>
            <w:top w:val="none" w:sz="0" w:space="0" w:color="auto"/>
            <w:left w:val="none" w:sz="0" w:space="0" w:color="auto"/>
            <w:bottom w:val="none" w:sz="0" w:space="0" w:color="auto"/>
            <w:right w:val="none" w:sz="0" w:space="0" w:color="auto"/>
          </w:divBdr>
        </w:div>
        <w:div w:id="349795777">
          <w:marLeft w:val="0"/>
          <w:marRight w:val="0"/>
          <w:marTop w:val="0"/>
          <w:marBottom w:val="0"/>
          <w:divBdr>
            <w:top w:val="none" w:sz="0" w:space="0" w:color="auto"/>
            <w:left w:val="none" w:sz="0" w:space="0" w:color="auto"/>
            <w:bottom w:val="none" w:sz="0" w:space="0" w:color="auto"/>
            <w:right w:val="none" w:sz="0" w:space="0" w:color="auto"/>
          </w:divBdr>
        </w:div>
        <w:div w:id="119232390">
          <w:marLeft w:val="0"/>
          <w:marRight w:val="0"/>
          <w:marTop w:val="0"/>
          <w:marBottom w:val="0"/>
          <w:divBdr>
            <w:top w:val="none" w:sz="0" w:space="0" w:color="auto"/>
            <w:left w:val="none" w:sz="0" w:space="0" w:color="auto"/>
            <w:bottom w:val="none" w:sz="0" w:space="0" w:color="auto"/>
            <w:right w:val="none" w:sz="0" w:space="0" w:color="auto"/>
          </w:divBdr>
        </w:div>
        <w:div w:id="1278217950">
          <w:marLeft w:val="0"/>
          <w:marRight w:val="0"/>
          <w:marTop w:val="0"/>
          <w:marBottom w:val="0"/>
          <w:divBdr>
            <w:top w:val="none" w:sz="0" w:space="0" w:color="auto"/>
            <w:left w:val="none" w:sz="0" w:space="0" w:color="auto"/>
            <w:bottom w:val="none" w:sz="0" w:space="0" w:color="auto"/>
            <w:right w:val="none" w:sz="0" w:space="0" w:color="auto"/>
          </w:divBdr>
        </w:div>
        <w:div w:id="1469398164">
          <w:marLeft w:val="0"/>
          <w:marRight w:val="0"/>
          <w:marTop w:val="0"/>
          <w:marBottom w:val="0"/>
          <w:divBdr>
            <w:top w:val="none" w:sz="0" w:space="0" w:color="auto"/>
            <w:left w:val="none" w:sz="0" w:space="0" w:color="auto"/>
            <w:bottom w:val="none" w:sz="0" w:space="0" w:color="auto"/>
            <w:right w:val="none" w:sz="0" w:space="0" w:color="auto"/>
          </w:divBdr>
        </w:div>
        <w:div w:id="120344250">
          <w:marLeft w:val="0"/>
          <w:marRight w:val="0"/>
          <w:marTop w:val="0"/>
          <w:marBottom w:val="0"/>
          <w:divBdr>
            <w:top w:val="none" w:sz="0" w:space="0" w:color="auto"/>
            <w:left w:val="none" w:sz="0" w:space="0" w:color="auto"/>
            <w:bottom w:val="none" w:sz="0" w:space="0" w:color="auto"/>
            <w:right w:val="none" w:sz="0" w:space="0" w:color="auto"/>
          </w:divBdr>
        </w:div>
        <w:div w:id="1602569846">
          <w:marLeft w:val="0"/>
          <w:marRight w:val="0"/>
          <w:marTop w:val="0"/>
          <w:marBottom w:val="0"/>
          <w:divBdr>
            <w:top w:val="none" w:sz="0" w:space="0" w:color="auto"/>
            <w:left w:val="none" w:sz="0" w:space="0" w:color="auto"/>
            <w:bottom w:val="none" w:sz="0" w:space="0" w:color="auto"/>
            <w:right w:val="none" w:sz="0" w:space="0" w:color="auto"/>
          </w:divBdr>
        </w:div>
        <w:div w:id="1213543567">
          <w:marLeft w:val="0"/>
          <w:marRight w:val="0"/>
          <w:marTop w:val="0"/>
          <w:marBottom w:val="0"/>
          <w:divBdr>
            <w:top w:val="none" w:sz="0" w:space="0" w:color="auto"/>
            <w:left w:val="none" w:sz="0" w:space="0" w:color="auto"/>
            <w:bottom w:val="none" w:sz="0" w:space="0" w:color="auto"/>
            <w:right w:val="none" w:sz="0" w:space="0" w:color="auto"/>
          </w:divBdr>
        </w:div>
      </w:divsChild>
    </w:div>
    <w:div w:id="1704329974">
      <w:bodyDiv w:val="1"/>
      <w:marLeft w:val="0"/>
      <w:marRight w:val="0"/>
      <w:marTop w:val="0"/>
      <w:marBottom w:val="0"/>
      <w:divBdr>
        <w:top w:val="none" w:sz="0" w:space="0" w:color="auto"/>
        <w:left w:val="none" w:sz="0" w:space="0" w:color="auto"/>
        <w:bottom w:val="none" w:sz="0" w:space="0" w:color="auto"/>
        <w:right w:val="none" w:sz="0" w:space="0" w:color="auto"/>
      </w:divBdr>
    </w:div>
    <w:div w:id="1714694457">
      <w:bodyDiv w:val="1"/>
      <w:marLeft w:val="0"/>
      <w:marRight w:val="0"/>
      <w:marTop w:val="0"/>
      <w:marBottom w:val="0"/>
      <w:divBdr>
        <w:top w:val="none" w:sz="0" w:space="0" w:color="auto"/>
        <w:left w:val="none" w:sz="0" w:space="0" w:color="auto"/>
        <w:bottom w:val="none" w:sz="0" w:space="0" w:color="auto"/>
        <w:right w:val="none" w:sz="0" w:space="0" w:color="auto"/>
      </w:divBdr>
    </w:div>
    <w:div w:id="1761638098">
      <w:bodyDiv w:val="1"/>
      <w:marLeft w:val="0"/>
      <w:marRight w:val="0"/>
      <w:marTop w:val="0"/>
      <w:marBottom w:val="0"/>
      <w:divBdr>
        <w:top w:val="none" w:sz="0" w:space="0" w:color="auto"/>
        <w:left w:val="none" w:sz="0" w:space="0" w:color="auto"/>
        <w:bottom w:val="none" w:sz="0" w:space="0" w:color="auto"/>
        <w:right w:val="none" w:sz="0" w:space="0" w:color="auto"/>
      </w:divBdr>
    </w:div>
    <w:div w:id="1790661542">
      <w:bodyDiv w:val="1"/>
      <w:marLeft w:val="0"/>
      <w:marRight w:val="0"/>
      <w:marTop w:val="0"/>
      <w:marBottom w:val="0"/>
      <w:divBdr>
        <w:top w:val="none" w:sz="0" w:space="0" w:color="auto"/>
        <w:left w:val="none" w:sz="0" w:space="0" w:color="auto"/>
        <w:bottom w:val="none" w:sz="0" w:space="0" w:color="auto"/>
        <w:right w:val="none" w:sz="0" w:space="0" w:color="auto"/>
      </w:divBdr>
    </w:div>
    <w:div w:id="1849366871">
      <w:bodyDiv w:val="1"/>
      <w:marLeft w:val="0"/>
      <w:marRight w:val="0"/>
      <w:marTop w:val="0"/>
      <w:marBottom w:val="0"/>
      <w:divBdr>
        <w:top w:val="none" w:sz="0" w:space="0" w:color="auto"/>
        <w:left w:val="none" w:sz="0" w:space="0" w:color="auto"/>
        <w:bottom w:val="none" w:sz="0" w:space="0" w:color="auto"/>
        <w:right w:val="none" w:sz="0" w:space="0" w:color="auto"/>
      </w:divBdr>
    </w:div>
    <w:div w:id="1894121767">
      <w:bodyDiv w:val="1"/>
      <w:marLeft w:val="0"/>
      <w:marRight w:val="0"/>
      <w:marTop w:val="0"/>
      <w:marBottom w:val="0"/>
      <w:divBdr>
        <w:top w:val="none" w:sz="0" w:space="0" w:color="auto"/>
        <w:left w:val="none" w:sz="0" w:space="0" w:color="auto"/>
        <w:bottom w:val="none" w:sz="0" w:space="0" w:color="auto"/>
        <w:right w:val="none" w:sz="0" w:space="0" w:color="auto"/>
      </w:divBdr>
    </w:div>
    <w:div w:id="1912344832">
      <w:bodyDiv w:val="1"/>
      <w:marLeft w:val="0"/>
      <w:marRight w:val="0"/>
      <w:marTop w:val="0"/>
      <w:marBottom w:val="0"/>
      <w:divBdr>
        <w:top w:val="none" w:sz="0" w:space="0" w:color="auto"/>
        <w:left w:val="none" w:sz="0" w:space="0" w:color="auto"/>
        <w:bottom w:val="none" w:sz="0" w:space="0" w:color="auto"/>
        <w:right w:val="none" w:sz="0" w:space="0" w:color="auto"/>
      </w:divBdr>
    </w:div>
    <w:div w:id="1913730746">
      <w:bodyDiv w:val="1"/>
      <w:marLeft w:val="0"/>
      <w:marRight w:val="0"/>
      <w:marTop w:val="0"/>
      <w:marBottom w:val="0"/>
      <w:divBdr>
        <w:top w:val="none" w:sz="0" w:space="0" w:color="auto"/>
        <w:left w:val="none" w:sz="0" w:space="0" w:color="auto"/>
        <w:bottom w:val="none" w:sz="0" w:space="0" w:color="auto"/>
        <w:right w:val="none" w:sz="0" w:space="0" w:color="auto"/>
      </w:divBdr>
    </w:div>
    <w:div w:id="1918856953">
      <w:bodyDiv w:val="1"/>
      <w:marLeft w:val="0"/>
      <w:marRight w:val="0"/>
      <w:marTop w:val="0"/>
      <w:marBottom w:val="0"/>
      <w:divBdr>
        <w:top w:val="none" w:sz="0" w:space="0" w:color="auto"/>
        <w:left w:val="none" w:sz="0" w:space="0" w:color="auto"/>
        <w:bottom w:val="none" w:sz="0" w:space="0" w:color="auto"/>
        <w:right w:val="none" w:sz="0" w:space="0" w:color="auto"/>
      </w:divBdr>
    </w:div>
    <w:div w:id="1933123333">
      <w:bodyDiv w:val="1"/>
      <w:marLeft w:val="0"/>
      <w:marRight w:val="0"/>
      <w:marTop w:val="0"/>
      <w:marBottom w:val="0"/>
      <w:divBdr>
        <w:top w:val="none" w:sz="0" w:space="0" w:color="auto"/>
        <w:left w:val="none" w:sz="0" w:space="0" w:color="auto"/>
        <w:bottom w:val="none" w:sz="0" w:space="0" w:color="auto"/>
        <w:right w:val="none" w:sz="0" w:space="0" w:color="auto"/>
      </w:divBdr>
    </w:div>
    <w:div w:id="1965429675">
      <w:bodyDiv w:val="1"/>
      <w:marLeft w:val="0"/>
      <w:marRight w:val="0"/>
      <w:marTop w:val="0"/>
      <w:marBottom w:val="0"/>
      <w:divBdr>
        <w:top w:val="none" w:sz="0" w:space="0" w:color="auto"/>
        <w:left w:val="none" w:sz="0" w:space="0" w:color="auto"/>
        <w:bottom w:val="none" w:sz="0" w:space="0" w:color="auto"/>
        <w:right w:val="none" w:sz="0" w:space="0" w:color="auto"/>
      </w:divBdr>
    </w:div>
    <w:div w:id="2031681597">
      <w:bodyDiv w:val="1"/>
      <w:marLeft w:val="0"/>
      <w:marRight w:val="0"/>
      <w:marTop w:val="0"/>
      <w:marBottom w:val="0"/>
      <w:divBdr>
        <w:top w:val="none" w:sz="0" w:space="0" w:color="auto"/>
        <w:left w:val="none" w:sz="0" w:space="0" w:color="auto"/>
        <w:bottom w:val="none" w:sz="0" w:space="0" w:color="auto"/>
        <w:right w:val="none" w:sz="0" w:space="0" w:color="auto"/>
      </w:divBdr>
    </w:div>
    <w:div w:id="2054888788">
      <w:bodyDiv w:val="1"/>
      <w:marLeft w:val="0"/>
      <w:marRight w:val="0"/>
      <w:marTop w:val="0"/>
      <w:marBottom w:val="0"/>
      <w:divBdr>
        <w:top w:val="none" w:sz="0" w:space="0" w:color="auto"/>
        <w:left w:val="none" w:sz="0" w:space="0" w:color="auto"/>
        <w:bottom w:val="none" w:sz="0" w:space="0" w:color="auto"/>
        <w:right w:val="none" w:sz="0" w:space="0" w:color="auto"/>
      </w:divBdr>
    </w:div>
    <w:div w:id="2075470255">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citus.l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rytas.stalnionis@citus.l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EC8714-A1BD-2142-95D5-582952AB38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865</Words>
  <Characters>4932</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5786</CharactersWithSpaces>
  <SharedDoc>false</SharedDoc>
  <HLinks>
    <vt:vector size="12" baseType="variant">
      <vt:variant>
        <vt:i4>786454</vt:i4>
      </vt:variant>
      <vt:variant>
        <vt:i4>3</vt:i4>
      </vt:variant>
      <vt:variant>
        <vt:i4>0</vt:i4>
      </vt:variant>
      <vt:variant>
        <vt:i4>5</vt:i4>
      </vt:variant>
      <vt:variant>
        <vt:lpwstr>http://www.citus.lt/</vt:lpwstr>
      </vt:variant>
      <vt:variant>
        <vt:lpwstr/>
      </vt:variant>
      <vt:variant>
        <vt:i4>7012376</vt:i4>
      </vt:variant>
      <vt:variant>
        <vt:i4>0</vt:i4>
      </vt:variant>
      <vt:variant>
        <vt:i4>0</vt:i4>
      </vt:variant>
      <vt:variant>
        <vt:i4>5</vt:i4>
      </vt:variant>
      <vt:variant>
        <vt:lpwstr>mailto:rytas.stalnionis@citus.lt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Rytas</dc:creator>
  <cp:keywords/>
  <dc:description/>
  <cp:lastModifiedBy>Rytas Stalnionis | Citus</cp:lastModifiedBy>
  <cp:revision>4</cp:revision>
  <cp:lastPrinted>2018-09-12T07:36:00Z</cp:lastPrinted>
  <dcterms:created xsi:type="dcterms:W3CDTF">2022-12-01T12:15:00Z</dcterms:created>
  <dcterms:modified xsi:type="dcterms:W3CDTF">2022-12-01T12:25:00Z</dcterms:modified>
</cp:coreProperties>
</file>