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BA67E" w14:textId="122FA30F" w:rsidR="0016625F" w:rsidRDefault="0016625F" w:rsidP="00A35885"/>
    <w:p w14:paraId="25F7B82A" w14:textId="77777777" w:rsidR="001F50B2" w:rsidRDefault="001F50B2" w:rsidP="00A448CE">
      <w:pPr>
        <w:spacing w:after="150" w:line="330" w:lineRule="atLeast"/>
        <w:rPr>
          <w:rFonts w:ascii="Segoe UI" w:eastAsia="Times New Roman" w:hAnsi="Segoe UI" w:cs="Segoe UI"/>
          <w:b/>
          <w:bCs/>
          <w:color w:val="24292F"/>
          <w:sz w:val="23"/>
          <w:szCs w:val="23"/>
          <w:lang w:eastAsia="lt-LT"/>
        </w:rPr>
      </w:pPr>
    </w:p>
    <w:p w14:paraId="20F0FC51" w14:textId="5538D41B" w:rsidR="001F50B2" w:rsidRDefault="001F50B2" w:rsidP="00960325">
      <w:pPr>
        <w:spacing w:after="150" w:line="330" w:lineRule="atLeast"/>
        <w:ind w:left="2880" w:firstLine="720"/>
        <w:rPr>
          <w:rFonts w:ascii="Segoe UI" w:eastAsia="Times New Roman" w:hAnsi="Segoe UI" w:cs="Segoe UI"/>
          <w:b/>
          <w:bCs/>
          <w:color w:val="24292F"/>
          <w:sz w:val="23"/>
          <w:szCs w:val="23"/>
          <w:lang w:eastAsia="lt-LT"/>
        </w:rPr>
      </w:pPr>
      <w:r>
        <w:rPr>
          <w:rFonts w:ascii="Segoe UI" w:eastAsia="Times New Roman" w:hAnsi="Segoe UI" w:cs="Segoe UI"/>
          <w:b/>
          <w:bCs/>
          <w:color w:val="24292F"/>
          <w:sz w:val="23"/>
          <w:szCs w:val="23"/>
          <w:lang w:eastAsia="lt-LT"/>
        </w:rPr>
        <w:t>PRANEŠIMAS ŽINIASKLAIDAI</w:t>
      </w:r>
    </w:p>
    <w:p w14:paraId="4B5A8510" w14:textId="77777777" w:rsidR="001F50B2" w:rsidRDefault="001F50B2" w:rsidP="00A448CE">
      <w:pPr>
        <w:spacing w:after="150" w:line="330" w:lineRule="atLeast"/>
        <w:rPr>
          <w:rFonts w:ascii="Segoe UI" w:eastAsia="Times New Roman" w:hAnsi="Segoe UI" w:cs="Segoe UI"/>
          <w:b/>
          <w:bCs/>
          <w:color w:val="24292F"/>
          <w:sz w:val="23"/>
          <w:szCs w:val="23"/>
          <w:lang w:eastAsia="lt-LT"/>
        </w:rPr>
      </w:pPr>
    </w:p>
    <w:p w14:paraId="5CD0FA63" w14:textId="14FFC7F2" w:rsidR="00A448CE" w:rsidRPr="00960325" w:rsidRDefault="00A448CE" w:rsidP="00A448CE">
      <w:pPr>
        <w:spacing w:after="150" w:line="330" w:lineRule="atLeast"/>
        <w:rPr>
          <w:rFonts w:ascii="Segoe UI" w:eastAsia="Times New Roman" w:hAnsi="Segoe UI" w:cs="Segoe UI"/>
          <w:color w:val="24292F"/>
          <w:sz w:val="23"/>
          <w:szCs w:val="23"/>
          <w:lang w:val="en-US" w:eastAsia="lt-LT"/>
        </w:rPr>
      </w:pPr>
      <w:r w:rsidRPr="00221DBD">
        <w:rPr>
          <w:rFonts w:ascii="Segoe UI" w:eastAsia="Times New Roman" w:hAnsi="Segoe UI" w:cs="Segoe UI"/>
          <w:b/>
          <w:bCs/>
          <w:color w:val="24292F"/>
          <w:sz w:val="23"/>
          <w:szCs w:val="23"/>
          <w:lang w:eastAsia="lt-LT"/>
        </w:rPr>
        <w:t>Data:</w:t>
      </w:r>
      <w:r w:rsidRPr="00221DBD">
        <w:rPr>
          <w:rFonts w:ascii="Segoe UI" w:eastAsia="Times New Roman" w:hAnsi="Segoe UI" w:cs="Segoe UI"/>
          <w:color w:val="24292F"/>
          <w:sz w:val="23"/>
          <w:szCs w:val="23"/>
          <w:lang w:eastAsia="lt-LT"/>
        </w:rPr>
        <w:t xml:space="preserve"> 2023 m. </w:t>
      </w:r>
      <w:r w:rsidR="00A52DC0">
        <w:rPr>
          <w:rFonts w:ascii="Segoe UI" w:eastAsia="Times New Roman" w:hAnsi="Segoe UI" w:cs="Segoe UI"/>
          <w:color w:val="24292F"/>
          <w:sz w:val="23"/>
          <w:szCs w:val="23"/>
          <w:lang w:eastAsia="lt-LT"/>
        </w:rPr>
        <w:t xml:space="preserve">spalio mėn. </w:t>
      </w:r>
      <w:r w:rsidR="00960325">
        <w:rPr>
          <w:rFonts w:ascii="Segoe UI" w:eastAsia="Times New Roman" w:hAnsi="Segoe UI" w:cs="Segoe UI"/>
          <w:color w:val="24292F"/>
          <w:sz w:val="23"/>
          <w:szCs w:val="23"/>
          <w:lang w:eastAsia="lt-LT"/>
        </w:rPr>
        <w:t>3</w:t>
      </w:r>
      <w:r w:rsidR="00F721D3">
        <w:rPr>
          <w:rFonts w:ascii="Segoe UI" w:eastAsia="Times New Roman" w:hAnsi="Segoe UI" w:cs="Segoe UI"/>
          <w:color w:val="24292F"/>
          <w:sz w:val="23"/>
          <w:szCs w:val="23"/>
          <w:lang w:eastAsia="lt-LT"/>
        </w:rPr>
        <w:t xml:space="preserve"> d.</w:t>
      </w:r>
    </w:p>
    <w:p w14:paraId="6510559C" w14:textId="3E87792F" w:rsidR="005D552B" w:rsidRDefault="005D552B" w:rsidP="00A448CE">
      <w:pPr>
        <w:spacing w:after="150" w:line="330" w:lineRule="atLeast"/>
        <w:rPr>
          <w:rFonts w:ascii="Segoe UI" w:eastAsia="Times New Roman" w:hAnsi="Segoe UI" w:cs="Segoe UI"/>
          <w:color w:val="24292F"/>
          <w:sz w:val="23"/>
          <w:szCs w:val="23"/>
          <w:lang w:eastAsia="lt-LT"/>
        </w:rPr>
      </w:pPr>
      <w:r>
        <w:rPr>
          <w:rFonts w:ascii="Segoe UI" w:eastAsia="Times New Roman" w:hAnsi="Segoe UI" w:cs="Segoe UI"/>
          <w:color w:val="24292F"/>
          <w:sz w:val="23"/>
          <w:szCs w:val="23"/>
          <w:lang w:eastAsia="lt-LT"/>
        </w:rPr>
        <w:t>Vilnius</w:t>
      </w:r>
    </w:p>
    <w:p w14:paraId="1C2F083C" w14:textId="65DBBFD4" w:rsidR="004C2457" w:rsidRDefault="004C2457" w:rsidP="00082F67">
      <w:pPr>
        <w:pStyle w:val="Heading1"/>
        <w:shd w:val="clear" w:color="auto" w:fill="FFFFFF"/>
        <w:spacing w:before="0" w:beforeAutospacing="0" w:after="225" w:afterAutospacing="0"/>
        <w:jc w:val="both"/>
        <w:rPr>
          <w:rFonts w:ascii="Segoe UI" w:hAnsi="Segoe UI" w:cs="Segoe UI"/>
          <w:color w:val="24292F"/>
          <w:sz w:val="23"/>
          <w:szCs w:val="23"/>
        </w:rPr>
      </w:pPr>
      <w:r w:rsidRPr="004C2457">
        <w:rPr>
          <w:rFonts w:ascii="Segoe UI" w:hAnsi="Segoe UI" w:cs="Segoe UI"/>
          <w:color w:val="24292F"/>
          <w:sz w:val="23"/>
          <w:szCs w:val="23"/>
        </w:rPr>
        <w:t>„Nter Asset Manag</w:t>
      </w:r>
      <w:r w:rsidR="00E94001">
        <w:rPr>
          <w:rFonts w:ascii="Segoe UI" w:hAnsi="Segoe UI" w:cs="Segoe UI"/>
          <w:color w:val="24292F"/>
          <w:sz w:val="23"/>
          <w:szCs w:val="23"/>
        </w:rPr>
        <w:t>e</w:t>
      </w:r>
      <w:r w:rsidRPr="004C2457">
        <w:rPr>
          <w:rFonts w:ascii="Segoe UI" w:hAnsi="Segoe UI" w:cs="Segoe UI"/>
          <w:color w:val="24292F"/>
          <w:sz w:val="23"/>
          <w:szCs w:val="23"/>
        </w:rPr>
        <w:t>ment“ savo NT projektų portfelį papildė 1 ha ploto sklypu su statiniais prestižiniame Vilniaus rajone</w:t>
      </w:r>
    </w:p>
    <w:p w14:paraId="6192AAB9" w14:textId="1FA7A2E2" w:rsidR="00A448CE" w:rsidRPr="00AC15CE" w:rsidRDefault="004C2457" w:rsidP="00486787">
      <w:pPr>
        <w:pStyle w:val="NormalWeb"/>
        <w:shd w:val="clear" w:color="auto" w:fill="FFFFFF"/>
        <w:spacing w:before="0" w:beforeAutospacing="0" w:after="375" w:afterAutospacing="0" w:line="276" w:lineRule="auto"/>
        <w:jc w:val="both"/>
        <w:rPr>
          <w:rFonts w:ascii="Segoe UI" w:hAnsi="Segoe UI" w:cs="Segoe UI"/>
          <w:b/>
          <w:bCs/>
          <w:color w:val="24292F"/>
          <w:sz w:val="23"/>
          <w:szCs w:val="23"/>
        </w:rPr>
      </w:pPr>
      <w:r w:rsidRPr="004C2457">
        <w:rPr>
          <w:rFonts w:ascii="Segoe UI" w:hAnsi="Segoe UI" w:cs="Segoe UI"/>
          <w:b/>
          <w:bCs/>
          <w:color w:val="24292F"/>
          <w:sz w:val="23"/>
          <w:szCs w:val="23"/>
        </w:rPr>
        <w:t>Turto valdymo bendrovė „Nter Asset Manag</w:t>
      </w:r>
      <w:r w:rsidR="00E94001">
        <w:rPr>
          <w:rFonts w:ascii="Segoe UI" w:hAnsi="Segoe UI" w:cs="Segoe UI"/>
          <w:b/>
          <w:bCs/>
          <w:color w:val="24292F"/>
          <w:sz w:val="23"/>
          <w:szCs w:val="23"/>
        </w:rPr>
        <w:t>e</w:t>
      </w:r>
      <w:r w:rsidRPr="004C2457">
        <w:rPr>
          <w:rFonts w:ascii="Segoe UI" w:hAnsi="Segoe UI" w:cs="Segoe UI"/>
          <w:b/>
          <w:bCs/>
          <w:color w:val="24292F"/>
          <w:sz w:val="23"/>
          <w:szCs w:val="23"/>
        </w:rPr>
        <w:t>ment“ įsigijo 1,03 ha ploto sklypą su buvusios gydyklos ir kitais statiniais prestižiniame Vilniaus Antakalnio rajone, adresu P. Širvio g. 5. Įsigijimo sandorį ir būsimą sklypo vystymą didžiąja dalimi finansuoja „Šiaulių bankas“.</w:t>
      </w:r>
      <w:r>
        <w:rPr>
          <w:rFonts w:ascii="Segoe UI" w:hAnsi="Segoe UI" w:cs="Segoe UI"/>
          <w:b/>
          <w:bCs/>
          <w:color w:val="24292F"/>
          <w:sz w:val="23"/>
          <w:szCs w:val="23"/>
        </w:rPr>
        <w:t xml:space="preserve"> </w:t>
      </w:r>
      <w:r w:rsidRPr="004C2457">
        <w:rPr>
          <w:rFonts w:ascii="Segoe UI" w:hAnsi="Segoe UI" w:cs="Segoe UI"/>
          <w:b/>
          <w:bCs/>
          <w:color w:val="24292F"/>
          <w:sz w:val="23"/>
          <w:szCs w:val="23"/>
        </w:rPr>
        <w:t>Šio sandorio vertė neatskleidžiama.</w:t>
      </w:r>
    </w:p>
    <w:p w14:paraId="082FABE1" w14:textId="77777777" w:rsidR="00056E06" w:rsidRDefault="00056E06" w:rsidP="00486787">
      <w:pPr>
        <w:pStyle w:val="NormalWeb"/>
        <w:shd w:val="clear" w:color="auto" w:fill="FFFFFF"/>
        <w:spacing w:before="0" w:beforeAutospacing="0" w:after="375" w:afterAutospacing="0" w:line="276" w:lineRule="auto"/>
        <w:jc w:val="both"/>
        <w:rPr>
          <w:rFonts w:ascii="Segoe UI" w:hAnsi="Segoe UI" w:cs="Segoe UI"/>
          <w:color w:val="24292F"/>
          <w:sz w:val="23"/>
          <w:szCs w:val="23"/>
        </w:rPr>
      </w:pPr>
      <w:r w:rsidRPr="00056E06">
        <w:rPr>
          <w:rFonts w:ascii="Segoe UI" w:hAnsi="Segoe UI" w:cs="Segoe UI"/>
          <w:color w:val="24292F"/>
          <w:sz w:val="23"/>
          <w:szCs w:val="23"/>
        </w:rPr>
        <w:t xml:space="preserve">Patrauklioje vietoje – šalia Šveicarijos miško parko – esančio sklypo pastatų kompleksą sudaro beveik 2 tūkst. kv. m ploto buvusi gydykla, 307 kv. m ploto administracinis pastatas, apie 290 kv. m ploto ūkinis pastatas ir kiti ūkinės–techninės paskirties statiniai. Dauguma sklype esančių pastatų yra nusidėvėję, dalis jų įtraukti į Kultūros vertybių registrą. </w:t>
      </w:r>
    </w:p>
    <w:p w14:paraId="7BB3881E" w14:textId="2FE49663" w:rsidR="00481B7B" w:rsidRDefault="00056E06" w:rsidP="00486787">
      <w:pPr>
        <w:pStyle w:val="NormalWeb"/>
        <w:shd w:val="clear" w:color="auto" w:fill="FFFFFF"/>
        <w:spacing w:before="0" w:beforeAutospacing="0" w:after="375" w:afterAutospacing="0" w:line="276" w:lineRule="auto"/>
        <w:jc w:val="both"/>
        <w:rPr>
          <w:rFonts w:ascii="Segoe UI" w:hAnsi="Segoe UI" w:cs="Segoe UI"/>
          <w:color w:val="24292F"/>
          <w:sz w:val="23"/>
          <w:szCs w:val="23"/>
        </w:rPr>
      </w:pPr>
      <w:r w:rsidRPr="00056E06">
        <w:rPr>
          <w:rFonts w:ascii="Segoe UI" w:hAnsi="Segoe UI" w:cs="Segoe UI"/>
          <w:color w:val="24292F"/>
          <w:sz w:val="23"/>
          <w:szCs w:val="23"/>
        </w:rPr>
        <w:t xml:space="preserve">Sklypas P. Širvio gatvėje patenka į intensyvaus užstatymo gyvenamąją zoną, kurioje galima vystyti  gyvenamosios, visuomeninės ar komercinės paskirties nekilnojamojo turto projektus. Konkretus užstatymo projektas bus patvirtintas po detalios sklypo ir aplinkinės teritorijos galimybių studijos. </w:t>
      </w:r>
    </w:p>
    <w:p w14:paraId="1F40FAF9" w14:textId="3CE274C4" w:rsidR="00056E06" w:rsidRDefault="00056E06" w:rsidP="00486787">
      <w:pPr>
        <w:pStyle w:val="NormalWeb"/>
        <w:shd w:val="clear" w:color="auto" w:fill="FFFFFF"/>
        <w:spacing w:before="0" w:beforeAutospacing="0" w:after="375" w:afterAutospacing="0" w:line="276" w:lineRule="auto"/>
        <w:jc w:val="both"/>
        <w:rPr>
          <w:rFonts w:ascii="Segoe UI" w:hAnsi="Segoe UI" w:cs="Segoe UI"/>
          <w:color w:val="24292F"/>
          <w:sz w:val="23"/>
          <w:szCs w:val="23"/>
        </w:rPr>
      </w:pPr>
      <w:r w:rsidRPr="00056E06">
        <w:rPr>
          <w:rFonts w:ascii="Segoe UI" w:hAnsi="Segoe UI" w:cs="Segoe UI"/>
          <w:color w:val="24292F"/>
          <w:sz w:val="23"/>
          <w:szCs w:val="23"/>
        </w:rPr>
        <w:t xml:space="preserve">„Įsigytas sklypas atitinka mūsų investavimo strategiją ir tikslus. Jis yra puikioje lokacijoje – viename patraukliausių Vilniaus rajonų, šalia žaliųjų erdvių ir išplėtotos miesto infrastruktūros. Džiaugiamės savo nekilnojamojo turto vystymo portfelį papildę dar viena investicija, o projekto įgyvendinimui pritraukę papildomą banko finansavimą“, – sako bendrovės „Nter Asset Management“ nekilnojamojo turto investicijų vadovė Rosita Kucevičienė. </w:t>
      </w:r>
    </w:p>
    <w:p w14:paraId="15387E25" w14:textId="68A8615C" w:rsidR="00056E06" w:rsidRDefault="00056E06" w:rsidP="00486787">
      <w:pPr>
        <w:pStyle w:val="NormalWeb"/>
        <w:shd w:val="clear" w:color="auto" w:fill="FFFFFF"/>
        <w:spacing w:before="0" w:beforeAutospacing="0" w:after="375" w:afterAutospacing="0" w:line="276" w:lineRule="auto"/>
        <w:jc w:val="both"/>
        <w:rPr>
          <w:rFonts w:ascii="Segoe UI" w:hAnsi="Segoe UI" w:cs="Segoe UI"/>
          <w:color w:val="24292F"/>
          <w:sz w:val="23"/>
          <w:szCs w:val="23"/>
        </w:rPr>
      </w:pPr>
      <w:r w:rsidRPr="00056E06">
        <w:rPr>
          <w:rFonts w:ascii="Segoe UI" w:hAnsi="Segoe UI" w:cs="Segoe UI"/>
          <w:color w:val="24292F"/>
          <w:sz w:val="23"/>
          <w:szCs w:val="23"/>
        </w:rPr>
        <w:t>Anot R. Kucevičienės, sklype bus siekiama įgyvendinti išskirtinį, miestui ir jo gyventojams vertę kuriantį, projektą. Planuojant, kaip geriausiai panaudoti teritoriją, bus atsižvelgta į vietos kraštovaizdžio ir miesto rajono infrastruktūros ypatumus bei bendruomenės lūkesčius. R. Kucevičienės teigimu, per daugiau nei 20 veiklos metų „Nter Asset Manag</w:t>
      </w:r>
      <w:r w:rsidR="00E94001">
        <w:rPr>
          <w:rFonts w:ascii="Segoe UI" w:hAnsi="Segoe UI" w:cs="Segoe UI"/>
          <w:color w:val="24292F"/>
          <w:sz w:val="23"/>
          <w:szCs w:val="23"/>
        </w:rPr>
        <w:t>e</w:t>
      </w:r>
      <w:r w:rsidRPr="00056E06">
        <w:rPr>
          <w:rFonts w:ascii="Segoe UI" w:hAnsi="Segoe UI" w:cs="Segoe UI"/>
          <w:color w:val="24292F"/>
          <w:sz w:val="23"/>
          <w:szCs w:val="23"/>
        </w:rPr>
        <w:t xml:space="preserve">ment“ </w:t>
      </w:r>
      <w:r w:rsidR="00917888">
        <w:rPr>
          <w:rFonts w:ascii="Segoe UI" w:hAnsi="Segoe UI" w:cs="Segoe UI"/>
          <w:color w:val="24292F"/>
          <w:sz w:val="23"/>
          <w:szCs w:val="23"/>
        </w:rPr>
        <w:t xml:space="preserve">komanda </w:t>
      </w:r>
      <w:r w:rsidRPr="00056E06">
        <w:rPr>
          <w:rFonts w:ascii="Segoe UI" w:hAnsi="Segoe UI" w:cs="Segoe UI"/>
          <w:color w:val="24292F"/>
          <w:sz w:val="23"/>
          <w:szCs w:val="23"/>
        </w:rPr>
        <w:t xml:space="preserve">yra sukaupusi daug ekspertinių žinių ir patirties įgyvendinant kompleksinius, sudėtingus projektus – įskaitant teritorijų su įvairios paskirties statiniais, integruojant saugomus kultūros paveldo objektus – plėtojimą. </w:t>
      </w:r>
    </w:p>
    <w:p w14:paraId="54B76E55" w14:textId="66B626CC" w:rsidR="00056E06" w:rsidRDefault="00056E06" w:rsidP="00486787">
      <w:pPr>
        <w:pStyle w:val="NormalWeb"/>
        <w:shd w:val="clear" w:color="auto" w:fill="FFFFFF"/>
        <w:spacing w:before="0" w:beforeAutospacing="0" w:after="375" w:afterAutospacing="0" w:line="276" w:lineRule="auto"/>
        <w:jc w:val="both"/>
        <w:rPr>
          <w:rFonts w:ascii="Segoe UI" w:hAnsi="Segoe UI" w:cs="Segoe UI"/>
          <w:color w:val="24292F"/>
          <w:sz w:val="23"/>
          <w:szCs w:val="23"/>
        </w:rPr>
      </w:pPr>
      <w:r w:rsidRPr="00056E06">
        <w:rPr>
          <w:rFonts w:ascii="Segoe UI" w:hAnsi="Segoe UI" w:cs="Segoe UI"/>
          <w:color w:val="24292F"/>
          <w:sz w:val="23"/>
          <w:szCs w:val="23"/>
        </w:rPr>
        <w:lastRenderedPageBreak/>
        <w:t>Pagal savo veiklos strategiją „Nter Asset Manag</w:t>
      </w:r>
      <w:r w:rsidR="00E94001">
        <w:rPr>
          <w:rFonts w:ascii="Segoe UI" w:hAnsi="Segoe UI" w:cs="Segoe UI"/>
          <w:color w:val="24292F"/>
          <w:sz w:val="23"/>
          <w:szCs w:val="23"/>
        </w:rPr>
        <w:t>e</w:t>
      </w:r>
      <w:r w:rsidRPr="00056E06">
        <w:rPr>
          <w:rFonts w:ascii="Segoe UI" w:hAnsi="Segoe UI" w:cs="Segoe UI"/>
          <w:color w:val="24292F"/>
          <w:sz w:val="23"/>
          <w:szCs w:val="23"/>
        </w:rPr>
        <w:t>ment“ siekia pritraukti investicijas trijose turto klasėse – nekilnojamojo turto, privačios skolos ir privataus kapitalo. Bendrovės nekilnojamojo turto portfelį sudaro nuomos pajamas generuojantys ir per projekto vystymą vertę kuriantys objektai. Bendrovė investuoja į įvairios paskirties nekilnojamojo turto objektus ir teritorijų konversijos projektus skirtinguose jų etapuose.</w:t>
      </w:r>
      <w:r>
        <w:rPr>
          <w:rFonts w:ascii="Segoe UI" w:hAnsi="Segoe UI" w:cs="Segoe UI"/>
          <w:color w:val="24292F"/>
          <w:sz w:val="23"/>
          <w:szCs w:val="23"/>
        </w:rPr>
        <w:t xml:space="preserve"> </w:t>
      </w:r>
    </w:p>
    <w:p w14:paraId="2E0CB829" w14:textId="77777777" w:rsidR="00E259E9" w:rsidRPr="001C6F8E" w:rsidRDefault="00E259E9" w:rsidP="00486787">
      <w:pPr>
        <w:spacing w:before="300" w:after="300"/>
        <w:rPr>
          <w:rFonts w:ascii="Segoe UI" w:eastAsia="Times New Roman" w:hAnsi="Segoe UI" w:cs="Segoe UI"/>
          <w:color w:val="24292F"/>
          <w:sz w:val="23"/>
          <w:szCs w:val="23"/>
          <w:lang w:eastAsia="en-GB"/>
        </w:rPr>
      </w:pPr>
      <w:r w:rsidRPr="001C6F8E">
        <w:rPr>
          <w:rFonts w:ascii="Segoe UI" w:eastAsia="Times New Roman" w:hAnsi="Segoe UI" w:cs="Segoe UI"/>
          <w:color w:val="24292F"/>
          <w:sz w:val="23"/>
          <w:szCs w:val="23"/>
          <w:lang w:eastAsia="en-GB"/>
        </w:rPr>
        <w:t xml:space="preserve">Apie ,,Nter Asset Management“ </w:t>
      </w:r>
    </w:p>
    <w:p w14:paraId="3901D935" w14:textId="77777777" w:rsidR="00E259E9" w:rsidRPr="00E259E9" w:rsidRDefault="00E259E9" w:rsidP="00486787">
      <w:pPr>
        <w:jc w:val="both"/>
        <w:rPr>
          <w:rFonts w:ascii="Segoe UI" w:eastAsia="Times New Roman" w:hAnsi="Segoe UI" w:cs="Segoe UI"/>
          <w:color w:val="24292F"/>
          <w:sz w:val="23"/>
          <w:szCs w:val="23"/>
          <w:lang w:eastAsia="en-GB"/>
        </w:rPr>
      </w:pPr>
      <w:r w:rsidRPr="00E259E9">
        <w:rPr>
          <w:rFonts w:ascii="Segoe UI" w:eastAsia="Times New Roman" w:hAnsi="Segoe UI" w:cs="Segoe UI"/>
          <w:color w:val="24292F"/>
          <w:sz w:val="23"/>
          <w:szCs w:val="23"/>
          <w:lang w:eastAsia="en-GB"/>
        </w:rPr>
        <w:t>,,Nter Asset Management" Lietuvos banko prižiūrima valdymo įmonė, veiklą vykdanti daugiau nei 20 metų, valdanti 14 investicinių fondų ir bendrovių, iš kurių didžiausią grupę sudaro fondai, veikiantys pagal Informuotiesiems investuotojams skirtų kolektyvinio investavimo subjektų įstatymą, o bendras valdomas turtas – viršija 100 mln. eurų.</w:t>
      </w:r>
    </w:p>
    <w:p w14:paraId="16F697B4" w14:textId="77777777" w:rsidR="00E259E9" w:rsidRPr="00E259E9" w:rsidRDefault="00E259E9" w:rsidP="00486787">
      <w:pPr>
        <w:jc w:val="both"/>
        <w:rPr>
          <w:rFonts w:ascii="Segoe UI" w:eastAsia="Times New Roman" w:hAnsi="Segoe UI" w:cs="Segoe UI"/>
          <w:color w:val="24292F"/>
          <w:sz w:val="23"/>
          <w:szCs w:val="23"/>
          <w:lang w:eastAsia="en-GB"/>
        </w:rPr>
      </w:pPr>
    </w:p>
    <w:p w14:paraId="7A2E0E3C" w14:textId="71AF71F1" w:rsidR="002C133A" w:rsidRDefault="00E259E9" w:rsidP="00621549">
      <w:pPr>
        <w:jc w:val="both"/>
        <w:rPr>
          <w:rFonts w:ascii="Segoe UI" w:eastAsia="Times New Roman" w:hAnsi="Segoe UI" w:cs="Segoe UI"/>
          <w:color w:val="24292F"/>
          <w:sz w:val="23"/>
          <w:szCs w:val="23"/>
          <w:lang w:eastAsia="en-GB"/>
        </w:rPr>
      </w:pPr>
      <w:r w:rsidRPr="00E259E9">
        <w:rPr>
          <w:rFonts w:ascii="Segoe UI" w:eastAsia="Times New Roman" w:hAnsi="Segoe UI" w:cs="Segoe UI"/>
          <w:color w:val="24292F"/>
          <w:sz w:val="23"/>
          <w:szCs w:val="23"/>
          <w:lang w:eastAsia="en-GB"/>
        </w:rPr>
        <w:t>2022 metais ,,Nter Asset Management“ (ankstesnis pavadinimas – ,,Orion Asset Management“)  valdomas turtas išaugo beveik trečdaliu – nuo 84,26 mln. eurų iki 110,43 mln. eurų. Bendrovės veiklos pajamos per metus paaugo 56 proc. iki 1,7 mln. eurų.  Iki 2027 metų ketinama pasiekti 500 mln. eur vertės valdomo turto trijose turto klasėse – privačioje skoloje, privačiame kapitale ir nekilnojamojo turto klasėje. </w:t>
      </w:r>
    </w:p>
    <w:p w14:paraId="31A97C14" w14:textId="77777777" w:rsidR="00621549" w:rsidRPr="00621549" w:rsidRDefault="00621549" w:rsidP="00621549">
      <w:pPr>
        <w:jc w:val="both"/>
        <w:rPr>
          <w:rFonts w:ascii="Segoe UI" w:eastAsia="Times New Roman" w:hAnsi="Segoe UI" w:cs="Segoe UI"/>
          <w:color w:val="24292F"/>
          <w:sz w:val="23"/>
          <w:szCs w:val="23"/>
          <w:lang w:eastAsia="en-GB"/>
        </w:rPr>
      </w:pPr>
    </w:p>
    <w:p w14:paraId="7BA4D8BA" w14:textId="117B17DC" w:rsidR="001C6F8E" w:rsidRDefault="001C6F8E" w:rsidP="00A448CE">
      <w:pPr>
        <w:pStyle w:val="NormalWeb"/>
        <w:shd w:val="clear" w:color="auto" w:fill="FFFFFF"/>
        <w:spacing w:before="0" w:beforeAutospacing="0" w:after="375" w:afterAutospacing="0"/>
        <w:rPr>
          <w:rFonts w:ascii="Segoe UI" w:hAnsi="Segoe UI" w:cs="Segoe UI"/>
          <w:color w:val="24292F"/>
          <w:sz w:val="23"/>
          <w:szCs w:val="23"/>
        </w:rPr>
      </w:pPr>
      <w:r>
        <w:rPr>
          <w:rFonts w:ascii="Segoe UI" w:hAnsi="Segoe UI" w:cs="Segoe UI"/>
          <w:color w:val="24292F"/>
          <w:sz w:val="23"/>
          <w:szCs w:val="23"/>
        </w:rPr>
        <w:t>Daugiau informacijos:</w:t>
      </w:r>
    </w:p>
    <w:p w14:paraId="2713EC4F" w14:textId="7831EBB0" w:rsidR="00ED1E32" w:rsidRPr="00ED1E32" w:rsidRDefault="001C6F8E" w:rsidP="00ED1E32">
      <w:pPr>
        <w:pStyle w:val="NormalWeb"/>
        <w:shd w:val="clear" w:color="auto" w:fill="FFFFFF"/>
        <w:spacing w:before="0" w:beforeAutospacing="0" w:after="375" w:afterAutospacing="0"/>
        <w:rPr>
          <w:rFonts w:ascii="Segoe UI" w:hAnsi="Segoe UI" w:cs="Segoe UI"/>
          <w:color w:val="24292F"/>
          <w:sz w:val="23"/>
          <w:szCs w:val="23"/>
        </w:rPr>
      </w:pPr>
      <w:r>
        <w:rPr>
          <w:rFonts w:ascii="Segoe UI" w:hAnsi="Segoe UI" w:cs="Segoe UI"/>
          <w:color w:val="24292F"/>
          <w:sz w:val="23"/>
          <w:szCs w:val="23"/>
        </w:rPr>
        <w:t>Jūratė Kavaliauskaitė</w:t>
      </w:r>
      <w:r w:rsidR="009B7BD0">
        <w:rPr>
          <w:rFonts w:ascii="Segoe UI" w:hAnsi="Segoe UI" w:cs="Segoe UI"/>
          <w:color w:val="24292F"/>
          <w:sz w:val="23"/>
          <w:szCs w:val="23"/>
        </w:rPr>
        <w:br/>
      </w:r>
      <w:r>
        <w:rPr>
          <w:rFonts w:ascii="Segoe UI" w:hAnsi="Segoe UI" w:cs="Segoe UI"/>
          <w:color w:val="24292F"/>
          <w:sz w:val="23"/>
          <w:szCs w:val="23"/>
        </w:rPr>
        <w:t>Verslo vystymo vadovė</w:t>
      </w:r>
      <w:r w:rsidR="009B7BD0">
        <w:rPr>
          <w:rFonts w:ascii="Segoe UI" w:hAnsi="Segoe UI" w:cs="Segoe UI"/>
          <w:color w:val="24292F"/>
          <w:sz w:val="23"/>
          <w:szCs w:val="23"/>
        </w:rPr>
        <w:br/>
        <w:t xml:space="preserve">el. p. </w:t>
      </w:r>
      <w:hyperlink r:id="rId11" w:history="1">
        <w:r w:rsidR="009B7BD0" w:rsidRPr="00EF6DA5">
          <w:rPr>
            <w:rStyle w:val="Hyperlink"/>
          </w:rPr>
          <w:t>jk@enteram.lt</w:t>
        </w:r>
      </w:hyperlink>
      <w:r w:rsidR="009B7BD0">
        <w:rPr>
          <w:rFonts w:ascii="Segoe UI" w:hAnsi="Segoe UI" w:cs="Segoe UI"/>
          <w:color w:val="24292F"/>
          <w:sz w:val="23"/>
          <w:szCs w:val="23"/>
        </w:rPr>
        <w:br/>
      </w:r>
      <w:r w:rsidR="00ED1E32" w:rsidRPr="00ED1E32">
        <w:rPr>
          <w:rFonts w:ascii="Segoe UI" w:hAnsi="Segoe UI" w:cs="Segoe UI"/>
          <w:color w:val="24292F"/>
          <w:sz w:val="23"/>
          <w:szCs w:val="23"/>
        </w:rPr>
        <w:t>m.  +370 686 48078</w:t>
      </w:r>
    </w:p>
    <w:p w14:paraId="10996CD2" w14:textId="425D56A9" w:rsidR="00533100" w:rsidRPr="001C6F8E" w:rsidRDefault="00533100" w:rsidP="00A448CE">
      <w:pPr>
        <w:pStyle w:val="NormalWeb"/>
        <w:shd w:val="clear" w:color="auto" w:fill="FFFFFF"/>
        <w:spacing w:before="0" w:beforeAutospacing="0" w:after="375" w:afterAutospacing="0"/>
        <w:rPr>
          <w:rFonts w:ascii="Segoe UI" w:hAnsi="Segoe UI" w:cs="Segoe UI"/>
          <w:color w:val="24292F"/>
          <w:sz w:val="23"/>
          <w:szCs w:val="23"/>
          <w:lang w:val="en-US"/>
        </w:rPr>
      </w:pPr>
    </w:p>
    <w:p w14:paraId="385CDE4D" w14:textId="77777777" w:rsidR="003F66FC" w:rsidRDefault="003F66FC" w:rsidP="00A35885"/>
    <w:p w14:paraId="042886A3" w14:textId="77777777" w:rsidR="003F66FC" w:rsidRPr="00A35885" w:rsidRDefault="003F66FC" w:rsidP="00A35885"/>
    <w:sectPr w:rsidR="003F66FC" w:rsidRPr="00A35885" w:rsidSect="009F2FFF">
      <w:headerReference w:type="default" r:id="rId12"/>
      <w:footerReference w:type="default" r:id="rId13"/>
      <w:pgSz w:w="11906" w:h="16838"/>
      <w:pgMar w:top="720" w:right="720" w:bottom="720" w:left="720" w:header="482" w:footer="2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D9E79" w14:textId="77777777" w:rsidR="006F360E" w:rsidRDefault="006F360E" w:rsidP="00DB6590">
      <w:r>
        <w:separator/>
      </w:r>
    </w:p>
  </w:endnote>
  <w:endnote w:type="continuationSeparator" w:id="0">
    <w:p w14:paraId="722CE1F5" w14:textId="77777777" w:rsidR="006F360E" w:rsidRDefault="006F360E" w:rsidP="00DB6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PP Mori">
    <w:altName w:val="Calibri"/>
    <w:panose1 w:val="00000000000000000000"/>
    <w:charset w:val="4D"/>
    <w:family w:val="auto"/>
    <w:notTrueType/>
    <w:pitch w:val="variable"/>
    <w:sig w:usb0="00000007" w:usb1="00000000" w:usb2="00000000" w:usb3="00000000" w:csb0="00000093"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
      <w:tblW w:w="1091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820"/>
      <w:gridCol w:w="2404"/>
    </w:tblGrid>
    <w:tr w:rsidR="0016583A" w:rsidRPr="00B31010" w14:paraId="4C5EB6FE" w14:textId="77777777" w:rsidTr="00D03D18">
      <w:tc>
        <w:tcPr>
          <w:tcW w:w="3686" w:type="dxa"/>
          <w:tcBorders>
            <w:top w:val="nil"/>
            <w:left w:val="nil"/>
            <w:bottom w:val="nil"/>
            <w:right w:val="nil"/>
          </w:tcBorders>
          <w:shd w:val="clear" w:color="auto" w:fill="auto"/>
        </w:tcPr>
        <w:p w14:paraId="6BCF1D12" w14:textId="6EC90CBD" w:rsidR="0016583A" w:rsidRPr="0016583A" w:rsidRDefault="009F2FFF" w:rsidP="00B31010">
          <w:pPr>
            <w:pStyle w:val="Footer"/>
            <w:spacing w:before="240" w:line="360" w:lineRule="auto"/>
            <w:rPr>
              <w:rFonts w:ascii="PP Mori" w:hAnsi="PP Mori"/>
              <w:color w:val="676B7B"/>
              <w:lang w:val="en-US"/>
            </w:rPr>
          </w:pPr>
          <w:r w:rsidRPr="009F2FFF">
            <w:rPr>
              <w:rFonts w:ascii="PP Mori" w:hAnsi="PP Mori"/>
              <w:noProof/>
              <w:color w:val="676B7B"/>
              <w:lang w:val="en-US"/>
            </w:rPr>
            <w:drawing>
              <wp:inline distT="0" distB="0" distL="0" distR="0" wp14:anchorId="31FA9131" wp14:editId="74A0D93E">
                <wp:extent cx="800100" cy="114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00100" cy="114300"/>
                        </a:xfrm>
                        <a:prstGeom prst="rect">
                          <a:avLst/>
                        </a:prstGeom>
                      </pic:spPr>
                    </pic:pic>
                  </a:graphicData>
                </a:graphic>
              </wp:inline>
            </w:drawing>
          </w:r>
        </w:p>
      </w:tc>
      <w:tc>
        <w:tcPr>
          <w:tcW w:w="4820" w:type="dxa"/>
          <w:tcBorders>
            <w:top w:val="nil"/>
            <w:left w:val="nil"/>
            <w:bottom w:val="nil"/>
            <w:right w:val="nil"/>
          </w:tcBorders>
        </w:tcPr>
        <w:p w14:paraId="7175C60D" w14:textId="6F5FB72A" w:rsidR="0016583A" w:rsidRPr="0016583A" w:rsidRDefault="009F2FFF" w:rsidP="00B31010">
          <w:pPr>
            <w:pStyle w:val="Footer"/>
            <w:spacing w:before="240" w:line="360" w:lineRule="auto"/>
            <w:rPr>
              <w:rFonts w:ascii="PP Mori" w:hAnsi="PP Mori"/>
              <w:color w:val="676B7B"/>
              <w:lang w:val="en-US"/>
            </w:rPr>
          </w:pPr>
          <w:r w:rsidRPr="009F2FFF">
            <w:rPr>
              <w:rFonts w:ascii="PP Mori" w:hAnsi="PP Mori"/>
              <w:noProof/>
              <w:color w:val="676B7B"/>
              <w:lang w:val="en-US"/>
            </w:rPr>
            <w:drawing>
              <wp:inline distT="0" distB="0" distL="0" distR="0" wp14:anchorId="4602C82F" wp14:editId="73C68BB6">
                <wp:extent cx="990600" cy="1397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990600" cy="139700"/>
                        </a:xfrm>
                        <a:prstGeom prst="rect">
                          <a:avLst/>
                        </a:prstGeom>
                      </pic:spPr>
                    </pic:pic>
                  </a:graphicData>
                </a:graphic>
              </wp:inline>
            </w:drawing>
          </w:r>
        </w:p>
      </w:tc>
      <w:tc>
        <w:tcPr>
          <w:tcW w:w="2404" w:type="dxa"/>
          <w:tcBorders>
            <w:top w:val="nil"/>
            <w:left w:val="nil"/>
            <w:bottom w:val="nil"/>
            <w:right w:val="nil"/>
          </w:tcBorders>
        </w:tcPr>
        <w:p w14:paraId="693C60E9" w14:textId="0883F723" w:rsidR="0016583A" w:rsidRPr="0016583A" w:rsidRDefault="009F2FFF" w:rsidP="00B31010">
          <w:pPr>
            <w:pStyle w:val="Footer"/>
            <w:spacing w:before="240" w:line="360" w:lineRule="auto"/>
            <w:rPr>
              <w:rFonts w:ascii="PP Mori" w:hAnsi="PP Mori"/>
              <w:color w:val="676B7B"/>
              <w:lang w:val="en-US"/>
            </w:rPr>
          </w:pPr>
          <w:r w:rsidRPr="009F2FFF">
            <w:rPr>
              <w:rFonts w:ascii="PP Mori" w:hAnsi="PP Mori"/>
              <w:noProof/>
              <w:color w:val="676B7B"/>
              <w:lang w:val="en-US"/>
            </w:rPr>
            <w:drawing>
              <wp:inline distT="0" distB="0" distL="0" distR="0" wp14:anchorId="49ACA53F" wp14:editId="7F4C502D">
                <wp:extent cx="889000" cy="114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889000" cy="114300"/>
                        </a:xfrm>
                        <a:prstGeom prst="rect">
                          <a:avLst/>
                        </a:prstGeom>
                      </pic:spPr>
                    </pic:pic>
                  </a:graphicData>
                </a:graphic>
              </wp:inline>
            </w:drawing>
          </w:r>
        </w:p>
      </w:tc>
    </w:tr>
  </w:tbl>
  <w:p w14:paraId="6890BB19" w14:textId="2CEBD2E6" w:rsidR="0016583A" w:rsidRDefault="0016583A" w:rsidP="0016583A">
    <w:pPr>
      <w:tabs>
        <w:tab w:val="left" w:pos="142"/>
        <w:tab w:val="left" w:pos="567"/>
      </w:tabs>
    </w:pPr>
    <w:r>
      <w:rPr>
        <w:rFonts w:ascii="PP Mori" w:hAnsi="PP Mori"/>
        <w:noProof/>
        <w:color w:val="676B7B"/>
        <w:lang w:val="en-US"/>
      </w:rPr>
      <w:drawing>
        <wp:anchor distT="0" distB="0" distL="114300" distR="114300" simplePos="0" relativeHeight="251663360" behindDoc="1" locked="0" layoutInCell="1" allowOverlap="1" wp14:anchorId="0E7ADC33" wp14:editId="0E5C052D">
          <wp:simplePos x="0" y="0"/>
          <wp:positionH relativeFrom="column">
            <wp:posOffset>-502920</wp:posOffset>
          </wp:positionH>
          <wp:positionV relativeFrom="paragraph">
            <wp:posOffset>-393609</wp:posOffset>
          </wp:positionV>
          <wp:extent cx="7619242" cy="1684473"/>
          <wp:effectExtent l="0" t="0" r="1270" b="5080"/>
          <wp:wrapNone/>
          <wp:docPr id="8" name="Picture 8" descr="Graphical user interface, application, Wor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Graphical user interface, application, Word&#10;&#10;Description automatically generated with medium confidence"/>
                  <pic:cNvPicPr/>
                </pic:nvPicPr>
                <pic:blipFill>
                  <a:blip r:embed="rId4">
                    <a:extLst>
                      <a:ext uri="{28A0092B-C50C-407E-A947-70E740481C1C}">
                        <a14:useLocalDpi xmlns:a14="http://schemas.microsoft.com/office/drawing/2010/main" val="0"/>
                      </a:ext>
                    </a:extLst>
                  </a:blip>
                  <a:stretch>
                    <a:fillRect/>
                  </a:stretch>
                </pic:blipFill>
                <pic:spPr>
                  <a:xfrm>
                    <a:off x="0" y="0"/>
                    <a:ext cx="7619242" cy="1684473"/>
                  </a:xfrm>
                  <a:prstGeom prst="rect">
                    <a:avLst/>
                  </a:prstGeom>
                </pic:spPr>
              </pic:pic>
            </a:graphicData>
          </a:graphic>
          <wp14:sizeRelH relativeFrom="page">
            <wp14:pctWidth>0</wp14:pctWidth>
          </wp14:sizeRelH>
          <wp14:sizeRelV relativeFrom="page">
            <wp14:pctHeight>0</wp14:pctHeight>
          </wp14:sizeRelV>
        </wp:anchor>
      </w:drawing>
    </w:r>
  </w:p>
  <w:p w14:paraId="677906F9" w14:textId="30DB9AF2" w:rsidR="005B0972" w:rsidRPr="009F2FFF" w:rsidRDefault="002434E5" w:rsidP="005B0972">
    <w:pPr>
      <w:pStyle w:val="Footer"/>
      <w:rPr>
        <w:rFonts w:ascii="Arial" w:hAnsi="Arial" w:cs="Arial"/>
      </w:rPr>
    </w:pPr>
    <w:r w:rsidRPr="009F2FFF">
      <w:rPr>
        <w:rFonts w:ascii="Arial" w:hAnsi="Arial" w:cs="Arial"/>
      </w:rPr>
      <w:fldChar w:fldCharType="begin"/>
    </w:r>
    <w:r w:rsidRPr="009F2FFF">
      <w:rPr>
        <w:rFonts w:ascii="Arial" w:hAnsi="Arial" w:cs="Arial"/>
      </w:rPr>
      <w:instrText xml:space="preserve"> ASK  \* MERGEFORMAT </w:instrText>
    </w:r>
    <w:r w:rsidRPr="009F2FFF">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4EA4E" w14:textId="77777777" w:rsidR="006F360E" w:rsidRDefault="006F360E" w:rsidP="00DB6590">
      <w:r>
        <w:separator/>
      </w:r>
    </w:p>
  </w:footnote>
  <w:footnote w:type="continuationSeparator" w:id="0">
    <w:p w14:paraId="64889489" w14:textId="77777777" w:rsidR="006F360E" w:rsidRDefault="006F360E" w:rsidP="00DB6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PlainTable4"/>
      <w:tblW w:w="3642" w:type="dxa"/>
      <w:tblInd w:w="-284" w:type="dxa"/>
      <w:tblLook w:val="04A0" w:firstRow="1" w:lastRow="0" w:firstColumn="1" w:lastColumn="0" w:noHBand="0" w:noVBand="1"/>
    </w:tblPr>
    <w:tblGrid>
      <w:gridCol w:w="3642"/>
    </w:tblGrid>
    <w:tr w:rsidR="00A35885" w14:paraId="3C72262B" w14:textId="77777777" w:rsidTr="00A35885">
      <w:trPr>
        <w:cnfStyle w:val="100000000000" w:firstRow="1" w:lastRow="0" w:firstColumn="0" w:lastColumn="0" w:oddVBand="0" w:evenVBand="0" w:oddHBand="0" w:evenHBand="0" w:firstRowFirstColumn="0" w:firstRowLastColumn="0" w:lastRowFirstColumn="0" w:lastRowLastColumn="0"/>
        <w:trHeight w:val="910"/>
      </w:trPr>
      <w:tc>
        <w:tcPr>
          <w:cnfStyle w:val="001000000000" w:firstRow="0" w:lastRow="0" w:firstColumn="1" w:lastColumn="0" w:oddVBand="0" w:evenVBand="0" w:oddHBand="0" w:evenHBand="0" w:firstRowFirstColumn="0" w:firstRowLastColumn="0" w:lastRowFirstColumn="0" w:lastRowLastColumn="0"/>
          <w:tcW w:w="3642" w:type="dxa"/>
          <w:vAlign w:val="bottom"/>
        </w:tcPr>
        <w:p w14:paraId="07B9EA17" w14:textId="35BE658F" w:rsidR="00A35885" w:rsidRDefault="00A35885" w:rsidP="00B671C4">
          <w:pPr>
            <w:pStyle w:val="Header"/>
            <w:tabs>
              <w:tab w:val="left" w:pos="10348"/>
            </w:tabs>
            <w:ind w:left="174" w:firstLine="2"/>
          </w:pPr>
          <w:r>
            <w:rPr>
              <w:noProof/>
            </w:rPr>
            <w:drawing>
              <wp:inline distT="0" distB="0" distL="0" distR="0" wp14:anchorId="644AFFD4" wp14:editId="2C4562E6">
                <wp:extent cx="1955800" cy="774700"/>
                <wp:effectExtent l="0" t="0" r="0" b="0"/>
                <wp:docPr id="5" name="Picture 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Shap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955800" cy="774700"/>
                        </a:xfrm>
                        <a:prstGeom prst="rect">
                          <a:avLst/>
                        </a:prstGeom>
                      </pic:spPr>
                    </pic:pic>
                  </a:graphicData>
                </a:graphic>
              </wp:inline>
            </w:drawing>
          </w:r>
        </w:p>
      </w:tc>
    </w:tr>
  </w:tbl>
  <w:p w14:paraId="64BA9915" w14:textId="7CEB7DDC" w:rsidR="00DB6590" w:rsidRDefault="00DB6590" w:rsidP="00DB6590">
    <w:pPr>
      <w:pStyle w:val="Header"/>
      <w:tabs>
        <w:tab w:val="left" w:pos="10348"/>
      </w:tabs>
    </w:pPr>
    <w:r>
      <w:rPr>
        <w:noProof/>
      </w:rPr>
      <mc:AlternateContent>
        <mc:Choice Requires="wps">
          <w:drawing>
            <wp:anchor distT="0" distB="0" distL="114300" distR="114300" simplePos="0" relativeHeight="251662336" behindDoc="0" locked="0" layoutInCell="1" allowOverlap="1" wp14:anchorId="6C14F0D8" wp14:editId="743A0D40">
              <wp:simplePos x="0" y="0"/>
              <wp:positionH relativeFrom="column">
                <wp:posOffset>2302526</wp:posOffset>
              </wp:positionH>
              <wp:positionV relativeFrom="paragraph">
                <wp:posOffset>175382</wp:posOffset>
              </wp:positionV>
              <wp:extent cx="4288186" cy="0"/>
              <wp:effectExtent l="0" t="12700" r="17145" b="12700"/>
              <wp:wrapNone/>
              <wp:docPr id="13" name="Straight Connector 13"/>
              <wp:cNvGraphicFramePr/>
              <a:graphic xmlns:a="http://schemas.openxmlformats.org/drawingml/2006/main">
                <a:graphicData uri="http://schemas.microsoft.com/office/word/2010/wordprocessingShape">
                  <wps:wsp>
                    <wps:cNvCnPr/>
                    <wps:spPr>
                      <a:xfrm>
                        <a:off x="0" y="0"/>
                        <a:ext cx="4288186" cy="0"/>
                      </a:xfrm>
                      <a:prstGeom prst="line">
                        <a:avLst/>
                      </a:prstGeom>
                      <a:ln w="22225">
                        <a:solidFill>
                          <a:srgbClr val="EFE1E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318438" id="Straight Connector 1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3pt,13.8pt" to="518.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" strokecolor="#efe1e1" strokeweight="1.7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4531E6"/>
    <w:multiLevelType w:val="hybridMultilevel"/>
    <w:tmpl w:val="0032DD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835457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ED8"/>
    <w:rsid w:val="000003B3"/>
    <w:rsid w:val="00046D56"/>
    <w:rsid w:val="00055D69"/>
    <w:rsid w:val="00056E06"/>
    <w:rsid w:val="00060E72"/>
    <w:rsid w:val="00071F6E"/>
    <w:rsid w:val="00082F67"/>
    <w:rsid w:val="000A282D"/>
    <w:rsid w:val="000D0E70"/>
    <w:rsid w:val="000D556F"/>
    <w:rsid w:val="000E27FE"/>
    <w:rsid w:val="00117D95"/>
    <w:rsid w:val="00127397"/>
    <w:rsid w:val="00130B98"/>
    <w:rsid w:val="001621B1"/>
    <w:rsid w:val="00162207"/>
    <w:rsid w:val="0016583A"/>
    <w:rsid w:val="0016625F"/>
    <w:rsid w:val="00171012"/>
    <w:rsid w:val="001C6F8E"/>
    <w:rsid w:val="001F50B2"/>
    <w:rsid w:val="002011AC"/>
    <w:rsid w:val="00211ED8"/>
    <w:rsid w:val="00213ABF"/>
    <w:rsid w:val="00236686"/>
    <w:rsid w:val="002434E5"/>
    <w:rsid w:val="002516A8"/>
    <w:rsid w:val="00253757"/>
    <w:rsid w:val="002764E9"/>
    <w:rsid w:val="002A38A4"/>
    <w:rsid w:val="002B29C5"/>
    <w:rsid w:val="002C133A"/>
    <w:rsid w:val="002C4449"/>
    <w:rsid w:val="002F5DF1"/>
    <w:rsid w:val="00327173"/>
    <w:rsid w:val="003815B8"/>
    <w:rsid w:val="0038194E"/>
    <w:rsid w:val="003871A5"/>
    <w:rsid w:val="003C199C"/>
    <w:rsid w:val="003C52E9"/>
    <w:rsid w:val="003D0076"/>
    <w:rsid w:val="003F66FC"/>
    <w:rsid w:val="00411A06"/>
    <w:rsid w:val="00430C23"/>
    <w:rsid w:val="00433CB8"/>
    <w:rsid w:val="00447D42"/>
    <w:rsid w:val="00470334"/>
    <w:rsid w:val="00481B7B"/>
    <w:rsid w:val="00486787"/>
    <w:rsid w:val="00497AD4"/>
    <w:rsid w:val="004C2457"/>
    <w:rsid w:val="00503C77"/>
    <w:rsid w:val="00533100"/>
    <w:rsid w:val="005647AA"/>
    <w:rsid w:val="00570ADA"/>
    <w:rsid w:val="005B0972"/>
    <w:rsid w:val="005B554E"/>
    <w:rsid w:val="005D552B"/>
    <w:rsid w:val="005D644E"/>
    <w:rsid w:val="005E01FF"/>
    <w:rsid w:val="00621549"/>
    <w:rsid w:val="00626C65"/>
    <w:rsid w:val="00652CB5"/>
    <w:rsid w:val="006935FF"/>
    <w:rsid w:val="006D6FC4"/>
    <w:rsid w:val="006E4415"/>
    <w:rsid w:val="006F360E"/>
    <w:rsid w:val="007003CF"/>
    <w:rsid w:val="00740C39"/>
    <w:rsid w:val="00744A75"/>
    <w:rsid w:val="00770243"/>
    <w:rsid w:val="00780022"/>
    <w:rsid w:val="007A7D90"/>
    <w:rsid w:val="007B7097"/>
    <w:rsid w:val="007C318B"/>
    <w:rsid w:val="00805F1D"/>
    <w:rsid w:val="00806F79"/>
    <w:rsid w:val="0085086E"/>
    <w:rsid w:val="008737B2"/>
    <w:rsid w:val="008D579E"/>
    <w:rsid w:val="00901260"/>
    <w:rsid w:val="0091122F"/>
    <w:rsid w:val="00917888"/>
    <w:rsid w:val="00960325"/>
    <w:rsid w:val="00967191"/>
    <w:rsid w:val="00980CE7"/>
    <w:rsid w:val="009841F8"/>
    <w:rsid w:val="009B4D6A"/>
    <w:rsid w:val="009B4F15"/>
    <w:rsid w:val="009B7BD0"/>
    <w:rsid w:val="009C171B"/>
    <w:rsid w:val="009E4F54"/>
    <w:rsid w:val="009F2FFF"/>
    <w:rsid w:val="009F6884"/>
    <w:rsid w:val="00A0640D"/>
    <w:rsid w:val="00A35885"/>
    <w:rsid w:val="00A376C1"/>
    <w:rsid w:val="00A448CE"/>
    <w:rsid w:val="00A50EE3"/>
    <w:rsid w:val="00A52DC0"/>
    <w:rsid w:val="00A75337"/>
    <w:rsid w:val="00AA25A4"/>
    <w:rsid w:val="00AB303F"/>
    <w:rsid w:val="00AB75DC"/>
    <w:rsid w:val="00AD7298"/>
    <w:rsid w:val="00B0437F"/>
    <w:rsid w:val="00B111AA"/>
    <w:rsid w:val="00B24124"/>
    <w:rsid w:val="00B31010"/>
    <w:rsid w:val="00B60C93"/>
    <w:rsid w:val="00B671C4"/>
    <w:rsid w:val="00B8358F"/>
    <w:rsid w:val="00C20209"/>
    <w:rsid w:val="00C31B9B"/>
    <w:rsid w:val="00C416AD"/>
    <w:rsid w:val="00C64F17"/>
    <w:rsid w:val="00C71BFB"/>
    <w:rsid w:val="00C939D2"/>
    <w:rsid w:val="00CD77B5"/>
    <w:rsid w:val="00CE222F"/>
    <w:rsid w:val="00CE3521"/>
    <w:rsid w:val="00CF2BA9"/>
    <w:rsid w:val="00CF4C91"/>
    <w:rsid w:val="00D03D18"/>
    <w:rsid w:val="00D0453B"/>
    <w:rsid w:val="00D315FB"/>
    <w:rsid w:val="00DA41CE"/>
    <w:rsid w:val="00DA6461"/>
    <w:rsid w:val="00DB6590"/>
    <w:rsid w:val="00DC011C"/>
    <w:rsid w:val="00DE45A6"/>
    <w:rsid w:val="00E20CF1"/>
    <w:rsid w:val="00E22882"/>
    <w:rsid w:val="00E259E9"/>
    <w:rsid w:val="00E51DA6"/>
    <w:rsid w:val="00E56BEB"/>
    <w:rsid w:val="00E70DBF"/>
    <w:rsid w:val="00E83D40"/>
    <w:rsid w:val="00E94001"/>
    <w:rsid w:val="00E9654E"/>
    <w:rsid w:val="00EA1507"/>
    <w:rsid w:val="00EB00E2"/>
    <w:rsid w:val="00EC509E"/>
    <w:rsid w:val="00ED1E32"/>
    <w:rsid w:val="00EE1B7B"/>
    <w:rsid w:val="00EE201A"/>
    <w:rsid w:val="00EE28F2"/>
    <w:rsid w:val="00EE4060"/>
    <w:rsid w:val="00F00ACE"/>
    <w:rsid w:val="00F371FE"/>
    <w:rsid w:val="00F43D19"/>
    <w:rsid w:val="00F524E2"/>
    <w:rsid w:val="00F60E02"/>
    <w:rsid w:val="00F645A8"/>
    <w:rsid w:val="00F6724C"/>
    <w:rsid w:val="00F721D3"/>
    <w:rsid w:val="00FA3296"/>
    <w:rsid w:val="00FB2D87"/>
    <w:rsid w:val="00FE42D1"/>
    <w:rsid w:val="00FF72CF"/>
    <w:rsid w:val="00FF72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56F17"/>
  <w15:chartTrackingRefBased/>
  <w15:docId w15:val="{22BB0809-5FB7-6A41-A44F-2B71CA669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1FF"/>
  </w:style>
  <w:style w:type="paragraph" w:styleId="Heading1">
    <w:name w:val="heading 1"/>
    <w:basedOn w:val="Normal"/>
    <w:link w:val="Heading1Char"/>
    <w:uiPriority w:val="9"/>
    <w:qFormat/>
    <w:rsid w:val="00A448CE"/>
    <w:pPr>
      <w:spacing w:before="100" w:beforeAutospacing="1" w:after="100" w:afterAutospacing="1"/>
      <w:outlineLvl w:val="0"/>
    </w:pPr>
    <w:rPr>
      <w:rFonts w:ascii="Times New Roman" w:eastAsia="Times New Roman" w:hAnsi="Times New Roman" w:cs="Times New Roman"/>
      <w:b/>
      <w:bCs/>
      <w:kern w:val="36"/>
      <w:sz w:val="48"/>
      <w:szCs w:val="48"/>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6590"/>
    <w:pPr>
      <w:tabs>
        <w:tab w:val="center" w:pos="4513"/>
        <w:tab w:val="right" w:pos="9026"/>
      </w:tabs>
    </w:pPr>
  </w:style>
  <w:style w:type="character" w:customStyle="1" w:styleId="HeaderChar">
    <w:name w:val="Header Char"/>
    <w:basedOn w:val="DefaultParagraphFont"/>
    <w:link w:val="Header"/>
    <w:uiPriority w:val="99"/>
    <w:rsid w:val="00DB6590"/>
  </w:style>
  <w:style w:type="paragraph" w:styleId="Footer">
    <w:name w:val="footer"/>
    <w:basedOn w:val="Normal"/>
    <w:link w:val="FooterChar"/>
    <w:uiPriority w:val="99"/>
    <w:unhideWhenUsed/>
    <w:rsid w:val="00DB6590"/>
    <w:pPr>
      <w:tabs>
        <w:tab w:val="center" w:pos="4513"/>
        <w:tab w:val="right" w:pos="9026"/>
      </w:tabs>
    </w:pPr>
  </w:style>
  <w:style w:type="character" w:customStyle="1" w:styleId="FooterChar">
    <w:name w:val="Footer Char"/>
    <w:basedOn w:val="DefaultParagraphFont"/>
    <w:link w:val="Footer"/>
    <w:uiPriority w:val="99"/>
    <w:rsid w:val="00DB6590"/>
  </w:style>
  <w:style w:type="table" w:styleId="TableGrid">
    <w:name w:val="Table Grid"/>
    <w:basedOn w:val="TableNormal"/>
    <w:uiPriority w:val="39"/>
    <w:rsid w:val="00055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85086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805F1D"/>
    <w:pPr>
      <w:spacing w:before="100" w:beforeAutospacing="1" w:after="100" w:afterAutospacing="1"/>
    </w:pPr>
    <w:rPr>
      <w:rFonts w:ascii="Times New Roman" w:eastAsia="Times New Roman" w:hAnsi="Times New Roman" w:cs="Times New Roman"/>
      <w:lang w:eastAsia="en-GB"/>
    </w:rPr>
  </w:style>
  <w:style w:type="table" w:styleId="PlainTable5">
    <w:name w:val="Plain Table 5"/>
    <w:basedOn w:val="TableNormal"/>
    <w:uiPriority w:val="45"/>
    <w:rsid w:val="00E20CF1"/>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3">
    <w:name w:val="Plain Table 3"/>
    <w:basedOn w:val="TableNormal"/>
    <w:uiPriority w:val="43"/>
    <w:rsid w:val="00E20CF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E20CF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A448CE"/>
    <w:rPr>
      <w:rFonts w:ascii="Times New Roman" w:eastAsia="Times New Roman" w:hAnsi="Times New Roman" w:cs="Times New Roman"/>
      <w:b/>
      <w:bCs/>
      <w:kern w:val="36"/>
      <w:sz w:val="48"/>
      <w:szCs w:val="48"/>
      <w:lang w:eastAsia="lt-LT"/>
    </w:rPr>
  </w:style>
  <w:style w:type="character" w:styleId="CommentReference">
    <w:name w:val="annotation reference"/>
    <w:basedOn w:val="DefaultParagraphFont"/>
    <w:uiPriority w:val="99"/>
    <w:semiHidden/>
    <w:unhideWhenUsed/>
    <w:rsid w:val="00A448CE"/>
    <w:rPr>
      <w:sz w:val="16"/>
      <w:szCs w:val="16"/>
    </w:rPr>
  </w:style>
  <w:style w:type="paragraph" w:styleId="CommentText">
    <w:name w:val="annotation text"/>
    <w:basedOn w:val="Normal"/>
    <w:link w:val="CommentTextChar"/>
    <w:uiPriority w:val="99"/>
    <w:unhideWhenUsed/>
    <w:rsid w:val="00A448CE"/>
    <w:pPr>
      <w:spacing w:after="160"/>
    </w:pPr>
    <w:rPr>
      <w:sz w:val="20"/>
      <w:szCs w:val="20"/>
    </w:rPr>
  </w:style>
  <w:style w:type="character" w:customStyle="1" w:styleId="CommentTextChar">
    <w:name w:val="Comment Text Char"/>
    <w:basedOn w:val="DefaultParagraphFont"/>
    <w:link w:val="CommentText"/>
    <w:uiPriority w:val="99"/>
    <w:rsid w:val="00A448CE"/>
    <w:rPr>
      <w:sz w:val="20"/>
      <w:szCs w:val="20"/>
    </w:rPr>
  </w:style>
  <w:style w:type="paragraph" w:styleId="CommentSubject">
    <w:name w:val="annotation subject"/>
    <w:basedOn w:val="CommentText"/>
    <w:next w:val="CommentText"/>
    <w:link w:val="CommentSubjectChar"/>
    <w:uiPriority w:val="99"/>
    <w:semiHidden/>
    <w:unhideWhenUsed/>
    <w:rsid w:val="00E9654E"/>
    <w:pPr>
      <w:spacing w:after="0"/>
    </w:pPr>
    <w:rPr>
      <w:b/>
      <w:bCs/>
    </w:rPr>
  </w:style>
  <w:style w:type="character" w:customStyle="1" w:styleId="CommentSubjectChar">
    <w:name w:val="Comment Subject Char"/>
    <w:basedOn w:val="CommentTextChar"/>
    <w:link w:val="CommentSubject"/>
    <w:uiPriority w:val="99"/>
    <w:semiHidden/>
    <w:rsid w:val="00E9654E"/>
    <w:rPr>
      <w:b/>
      <w:bCs/>
      <w:sz w:val="20"/>
      <w:szCs w:val="20"/>
    </w:rPr>
  </w:style>
  <w:style w:type="paragraph" w:styleId="ListParagraph">
    <w:name w:val="List Paragraph"/>
    <w:basedOn w:val="Normal"/>
    <w:uiPriority w:val="34"/>
    <w:qFormat/>
    <w:rsid w:val="00F524E2"/>
    <w:pPr>
      <w:ind w:left="720"/>
      <w:contextualSpacing/>
    </w:pPr>
  </w:style>
  <w:style w:type="paragraph" w:styleId="Revision">
    <w:name w:val="Revision"/>
    <w:hidden/>
    <w:uiPriority w:val="99"/>
    <w:semiHidden/>
    <w:rsid w:val="002516A8"/>
  </w:style>
  <w:style w:type="character" w:styleId="Hyperlink">
    <w:name w:val="Hyperlink"/>
    <w:basedOn w:val="DefaultParagraphFont"/>
    <w:uiPriority w:val="99"/>
    <w:unhideWhenUsed/>
    <w:rsid w:val="00533100"/>
    <w:rPr>
      <w:color w:val="0563C1" w:themeColor="hyperlink"/>
      <w:u w:val="single"/>
    </w:rPr>
  </w:style>
  <w:style w:type="character" w:styleId="UnresolvedMention">
    <w:name w:val="Unresolved Mention"/>
    <w:basedOn w:val="DefaultParagraphFont"/>
    <w:uiPriority w:val="99"/>
    <w:semiHidden/>
    <w:unhideWhenUsed/>
    <w:rsid w:val="005331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698602">
      <w:bodyDiv w:val="1"/>
      <w:marLeft w:val="0"/>
      <w:marRight w:val="0"/>
      <w:marTop w:val="0"/>
      <w:marBottom w:val="0"/>
      <w:divBdr>
        <w:top w:val="none" w:sz="0" w:space="0" w:color="auto"/>
        <w:left w:val="none" w:sz="0" w:space="0" w:color="auto"/>
        <w:bottom w:val="none" w:sz="0" w:space="0" w:color="auto"/>
        <w:right w:val="none" w:sz="0" w:space="0" w:color="auto"/>
      </w:divBdr>
    </w:div>
    <w:div w:id="1325477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k@enteram.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CA50FFD3B17A469F78010F8E1E7F8F" ma:contentTypeVersion="16" ma:contentTypeDescription="Create a new document." ma:contentTypeScope="" ma:versionID="3b9f65a74a9e2334c7d15f506a50dcfd">
  <xsd:schema xmlns:xsd="http://www.w3.org/2001/XMLSchema" xmlns:xs="http://www.w3.org/2001/XMLSchema" xmlns:p="http://schemas.microsoft.com/office/2006/metadata/properties" xmlns:ns2="35960094-264f-4a05-a396-bc94a5e04139" xmlns:ns3="1fc1c2ce-fd38-4aa3-9263-2b4d229e329f" targetNamespace="http://schemas.microsoft.com/office/2006/metadata/properties" ma:root="true" ma:fieldsID="c61749607cfeac3ea550893d9ad8d171" ns2:_="" ns3:_="">
    <xsd:import namespace="35960094-264f-4a05-a396-bc94a5e04139"/>
    <xsd:import namespace="1fc1c2ce-fd38-4aa3-9263-2b4d229e329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960094-264f-4a05-a396-bc94a5e041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39b13f-dd07-45e3-8e55-8129ffaf0c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c1c2ce-fd38-4aa3-9263-2b4d229e329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581859f-21cf-4ee7-a656-e2f6beaecdf6}" ma:internalName="TaxCatchAll" ma:showField="CatchAllData" ma:web="1fc1c2ce-fd38-4aa3-9263-2b4d229e32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fc1c2ce-fd38-4aa3-9263-2b4d229e329f" xsi:nil="true"/>
    <lcf76f155ced4ddcb4097134ff3c332f xmlns="35960094-264f-4a05-a396-bc94a5e0413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EB25C-6F96-46B4-830A-FC9B39D3A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960094-264f-4a05-a396-bc94a5e04139"/>
    <ds:schemaRef ds:uri="1fc1c2ce-fd38-4aa3-9263-2b4d229e32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DA4308-93B1-42C4-BDA2-14C8AA214DF8}">
  <ds:schemaRefs>
    <ds:schemaRef ds:uri="http://schemas.microsoft.com/office/2006/metadata/properties"/>
    <ds:schemaRef ds:uri="http://schemas.microsoft.com/office/infopath/2007/PartnerControls"/>
    <ds:schemaRef ds:uri="1fc1c2ce-fd38-4aa3-9263-2b4d229e329f"/>
    <ds:schemaRef ds:uri="35960094-264f-4a05-a396-bc94a5e04139"/>
  </ds:schemaRefs>
</ds:datastoreItem>
</file>

<file path=customXml/itemProps3.xml><?xml version="1.0" encoding="utf-8"?>
<ds:datastoreItem xmlns:ds="http://schemas.openxmlformats.org/officeDocument/2006/customXml" ds:itemID="{0FBDBC34-B6C1-4621-B33C-B043FA283A05}">
  <ds:schemaRefs>
    <ds:schemaRef ds:uri="http://schemas.microsoft.com/sharepoint/v3/contenttype/forms"/>
  </ds:schemaRefs>
</ds:datastoreItem>
</file>

<file path=customXml/itemProps4.xml><?xml version="1.0" encoding="utf-8"?>
<ds:datastoreItem xmlns:ds="http://schemas.openxmlformats.org/officeDocument/2006/customXml" ds:itemID="{011716DE-4D26-204C-B985-AAAA958D9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2254</Words>
  <Characters>1286</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Deimante Saulyte</dc:creator>
  <cp:keywords/>
  <dc:description/>
  <cp:lastModifiedBy>Kristina Ratkevičienė</cp:lastModifiedBy>
  <cp:revision>19</cp:revision>
  <cp:lastPrinted>2023-01-09T11:14:00Z</cp:lastPrinted>
  <dcterms:created xsi:type="dcterms:W3CDTF">2023-09-27T13:57:00Z</dcterms:created>
  <dcterms:modified xsi:type="dcterms:W3CDTF">2023-10-02T13:04:00Z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0x010100AACA50FFD3B17A469F78010F8E1E7F8F</vt:lpwstr>
  </property>
  <property fmtid="{D5CDD505-2E9C-101B-9397-08002B2CF9AE}" pid="3" name="MediaServiceImageTags">
    <vt:lpwstr/>
  </property>
</Properties>
</file>