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BD707" w14:textId="30D3A17C" w:rsidR="0015437D" w:rsidRDefault="0015437D" w:rsidP="1BBB294F">
      <w:pPr>
        <w:spacing w:line="270" w:lineRule="exact"/>
        <w:jc w:val="both"/>
        <w:rPr>
          <w:rFonts w:ascii="Arial" w:eastAsia="Arial" w:hAnsi="Arial" w:cs="Arial"/>
          <w:b/>
          <w:bCs/>
          <w:color w:val="000000" w:themeColor="text1"/>
          <w:sz w:val="28"/>
          <w:szCs w:val="28"/>
        </w:rPr>
      </w:pPr>
      <w:r>
        <w:rPr>
          <w:rFonts w:ascii="Arial" w:eastAsia="Arial" w:hAnsi="Arial" w:cs="Arial"/>
          <w:b/>
          <w:bCs/>
          <w:color w:val="000000" w:themeColor="text1"/>
          <w:sz w:val="28"/>
          <w:szCs w:val="28"/>
        </w:rPr>
        <w:t xml:space="preserve">Kas vyksta finansų rinkose? </w:t>
      </w:r>
      <w:r w:rsidR="003E24A5">
        <w:rPr>
          <w:rFonts w:ascii="Arial" w:eastAsia="Arial" w:hAnsi="Arial" w:cs="Arial"/>
          <w:b/>
          <w:bCs/>
          <w:color w:val="000000" w:themeColor="text1"/>
          <w:sz w:val="28"/>
          <w:szCs w:val="28"/>
        </w:rPr>
        <w:t>Lapkričio</w:t>
      </w:r>
      <w:r w:rsidRPr="0015437D">
        <w:rPr>
          <w:rFonts w:ascii="Arial" w:eastAsia="Arial" w:hAnsi="Arial" w:cs="Arial"/>
          <w:b/>
          <w:bCs/>
          <w:color w:val="000000" w:themeColor="text1"/>
          <w:sz w:val="28"/>
          <w:szCs w:val="28"/>
        </w:rPr>
        <w:t xml:space="preserve"> mėnesio apžvalga su „Luminor investicijų valdymas“ portfelio valdytoju Justu Daujotu</w:t>
      </w:r>
    </w:p>
    <w:p w14:paraId="78577CD2" w14:textId="5DE49C19" w:rsidR="003E24A5" w:rsidRDefault="003E24A5" w:rsidP="003E24A5">
      <w:pPr>
        <w:jc w:val="both"/>
        <w:rPr>
          <w:rFonts w:ascii="Arial" w:eastAsia="Arial" w:hAnsi="Arial" w:cs="Arial"/>
          <w:b/>
          <w:bCs/>
          <w:noProof/>
          <w:color w:val="000000" w:themeColor="text1"/>
        </w:rPr>
      </w:pPr>
      <w:r>
        <w:rPr>
          <w:rFonts w:ascii="Arial" w:eastAsia="Arial" w:hAnsi="Arial" w:cs="Arial"/>
          <w:b/>
          <w:bCs/>
          <w:noProof/>
          <w:color w:val="000000" w:themeColor="text1"/>
        </w:rPr>
        <w:t>Po trijų neigiamų mėnesių iš eilės, finansų rinkos lapkritį grįžo su trenksmu</w:t>
      </w:r>
      <w:r w:rsidRPr="00C53509">
        <w:rPr>
          <w:rFonts w:ascii="Arial" w:eastAsia="Arial" w:hAnsi="Arial" w:cs="Arial"/>
          <w:b/>
          <w:bCs/>
          <w:noProof/>
          <w:color w:val="000000" w:themeColor="text1"/>
        </w:rPr>
        <w:t>.</w:t>
      </w:r>
      <w:r>
        <w:rPr>
          <w:rFonts w:ascii="Arial" w:eastAsia="Arial" w:hAnsi="Arial" w:cs="Arial"/>
          <w:b/>
          <w:bCs/>
          <w:noProof/>
          <w:color w:val="000000" w:themeColor="text1"/>
        </w:rPr>
        <w:t xml:space="preserve"> Pastarasis mėnuo buvo geriausias akcijų rinkai šiemet ir antras geriausias pasaulio obligacijų indeksui. Švelnėjantis centrinių bankų tonas, mažėjanti geopolitinė rizika ir geresni nei tikėtasi įmonių </w:t>
      </w:r>
      <w:r w:rsidR="00F51691">
        <w:rPr>
          <w:rFonts w:ascii="Arial" w:eastAsia="Arial" w:hAnsi="Arial" w:cs="Arial"/>
          <w:b/>
          <w:bCs/>
          <w:noProof/>
          <w:color w:val="000000" w:themeColor="text1"/>
        </w:rPr>
        <w:t>rezultatai</w:t>
      </w:r>
      <w:r>
        <w:rPr>
          <w:rFonts w:ascii="Arial" w:eastAsia="Arial" w:hAnsi="Arial" w:cs="Arial"/>
          <w:b/>
          <w:bCs/>
          <w:noProof/>
          <w:color w:val="000000" w:themeColor="text1"/>
        </w:rPr>
        <w:t xml:space="preserve"> anksčiau laiko atnešė šventines nuotaikas.</w:t>
      </w:r>
    </w:p>
    <w:p w14:paraId="36DB2020" w14:textId="471035CF" w:rsidR="003E24A5" w:rsidRPr="000A164F" w:rsidRDefault="003E24A5" w:rsidP="003E24A5">
      <w:pPr>
        <w:jc w:val="both"/>
        <w:rPr>
          <w:rFonts w:ascii="Arial" w:eastAsia="Arial" w:hAnsi="Arial" w:cs="Arial"/>
          <w:noProof/>
          <w:color w:val="000000" w:themeColor="text1"/>
        </w:rPr>
      </w:pPr>
      <w:r w:rsidRPr="000A164F">
        <w:rPr>
          <w:rFonts w:ascii="Arial" w:eastAsia="Arial" w:hAnsi="Arial" w:cs="Arial"/>
          <w:noProof/>
          <w:color w:val="000000" w:themeColor="text1"/>
        </w:rPr>
        <w:t>Vietoje g</w:t>
      </w:r>
      <w:r w:rsidR="00A52E86">
        <w:rPr>
          <w:rFonts w:ascii="Arial" w:eastAsia="Arial" w:hAnsi="Arial" w:cs="Arial"/>
          <w:noProof/>
          <w:color w:val="000000" w:themeColor="text1"/>
        </w:rPr>
        <w:t>ą</w:t>
      </w:r>
      <w:r w:rsidRPr="000A164F">
        <w:rPr>
          <w:rFonts w:ascii="Arial" w:eastAsia="Arial" w:hAnsi="Arial" w:cs="Arial"/>
          <w:noProof/>
          <w:color w:val="000000" w:themeColor="text1"/>
        </w:rPr>
        <w:t>sdinančių Helovyno komentarų, JAV Federalinis rezervas lapkričio mėnesio pradžioje nusprendė nekelti palūkanų normų ir užtvirtino, kad dabartinės sąlygos yra pakankamos grąžinti infliaciją į tikslinį 2 proc. lygį.</w:t>
      </w:r>
      <w:r w:rsidRPr="00E140F0">
        <w:rPr>
          <w:rFonts w:ascii="Arial" w:eastAsia="Arial" w:hAnsi="Arial" w:cs="Arial"/>
          <w:noProof/>
          <w:color w:val="000000" w:themeColor="text1"/>
        </w:rPr>
        <w:t xml:space="preserve"> </w:t>
      </w:r>
    </w:p>
    <w:p w14:paraId="0F6C4611" w14:textId="64DA0484" w:rsidR="003E24A5" w:rsidRPr="00303E36" w:rsidRDefault="003E24A5" w:rsidP="003E24A5">
      <w:pPr>
        <w:jc w:val="both"/>
        <w:rPr>
          <w:rFonts w:ascii="Arial" w:eastAsia="Arial" w:hAnsi="Arial" w:cs="Arial"/>
          <w:noProof/>
          <w:color w:val="000000" w:themeColor="text1"/>
        </w:rPr>
      </w:pPr>
      <w:r>
        <w:rPr>
          <w:rFonts w:ascii="Arial" w:eastAsia="Arial" w:hAnsi="Arial" w:cs="Arial"/>
          <w:noProof/>
          <w:color w:val="000000" w:themeColor="text1"/>
        </w:rPr>
        <w:t>Šie komentarai ir prast</w:t>
      </w:r>
      <w:r w:rsidR="000D01DD">
        <w:rPr>
          <w:rFonts w:ascii="Arial" w:eastAsia="Arial" w:hAnsi="Arial" w:cs="Arial"/>
          <w:noProof/>
          <w:color w:val="000000" w:themeColor="text1"/>
        </w:rPr>
        <w:t>esni negu tikėtasi</w:t>
      </w:r>
      <w:r>
        <w:rPr>
          <w:rFonts w:ascii="Arial" w:eastAsia="Arial" w:hAnsi="Arial" w:cs="Arial"/>
          <w:noProof/>
          <w:color w:val="000000" w:themeColor="text1"/>
        </w:rPr>
        <w:t xml:space="preserve"> darbo rinkos duomenys (nedarbo lygis JAV spalį siekė </w:t>
      </w:r>
      <w:r w:rsidRPr="00303E36">
        <w:rPr>
          <w:rFonts w:ascii="Arial" w:eastAsia="Arial" w:hAnsi="Arial" w:cs="Arial"/>
          <w:noProof/>
          <w:color w:val="000000" w:themeColor="text1"/>
        </w:rPr>
        <w:t>3</w:t>
      </w:r>
      <w:r>
        <w:rPr>
          <w:rFonts w:ascii="Arial" w:eastAsia="Arial" w:hAnsi="Arial" w:cs="Arial"/>
          <w:noProof/>
          <w:color w:val="000000" w:themeColor="text1"/>
        </w:rPr>
        <w:t xml:space="preserve">,9 proc.) įžiebė rinkos dalyvių tikėjimą, kad centrinio banko politika keisis anksčiau, ir tuo pačiu padidino pinigų srautus tiek į akcijų, tiek į obligacijų rinkas. </w:t>
      </w:r>
      <w:r w:rsidRPr="003F2D2B">
        <w:rPr>
          <w:rFonts w:ascii="Arial" w:eastAsia="Arial" w:hAnsi="Arial" w:cs="Arial"/>
          <w:noProof/>
          <w:color w:val="000000" w:themeColor="text1"/>
        </w:rPr>
        <w:t>Europos Centrinio Banko (ECB) prezidentė Christin</w:t>
      </w:r>
      <w:r>
        <w:rPr>
          <w:rFonts w:ascii="Arial" w:eastAsia="Arial" w:hAnsi="Arial" w:cs="Arial"/>
          <w:noProof/>
          <w:color w:val="000000" w:themeColor="text1"/>
        </w:rPr>
        <w:t xml:space="preserve"> Lagarde taip pat patvirtino, kad dabartinė ECB pozicija yra pakankamai gera kovai su infliacija, kuri euro zonoje taip pat krito ir spalį jau siekė tik 2,9 proc. metinį augimą.</w:t>
      </w:r>
    </w:p>
    <w:p w14:paraId="47C8B6DE" w14:textId="77777777" w:rsidR="003E24A5" w:rsidRDefault="003E24A5" w:rsidP="003E24A5">
      <w:pPr>
        <w:jc w:val="both"/>
      </w:pPr>
      <w:r w:rsidRPr="127BD928">
        <w:rPr>
          <w:rFonts w:ascii="Arial" w:eastAsia="Arial" w:hAnsi="Arial" w:cs="Arial"/>
          <w:b/>
          <w:bCs/>
          <w:noProof/>
          <w:color w:val="000000" w:themeColor="text1"/>
        </w:rPr>
        <w:t>Kylantis Azijos tigras</w:t>
      </w:r>
    </w:p>
    <w:p w14:paraId="7A1C416E" w14:textId="4AD52F45" w:rsidR="003E24A5" w:rsidRDefault="003E24A5" w:rsidP="003E24A5">
      <w:pPr>
        <w:jc w:val="both"/>
        <w:rPr>
          <w:rFonts w:ascii="Arial" w:eastAsia="Arial" w:hAnsi="Arial" w:cs="Arial"/>
          <w:noProof/>
          <w:color w:val="000000" w:themeColor="text1"/>
        </w:rPr>
      </w:pPr>
      <w:r>
        <w:rPr>
          <w:rFonts w:ascii="Arial" w:eastAsia="Arial" w:hAnsi="Arial" w:cs="Arial"/>
          <w:noProof/>
          <w:color w:val="000000" w:themeColor="text1"/>
        </w:rPr>
        <w:t>Nors pastarąjį mėnesį gerai sekėsi didžiajai daliai akcijų rinkų, viena Azijos valstybė išsiskyrė iš likusių</w:t>
      </w:r>
      <w:r w:rsidR="002258FB">
        <w:rPr>
          <w:rFonts w:ascii="Arial" w:eastAsia="Arial" w:hAnsi="Arial" w:cs="Arial"/>
          <w:noProof/>
          <w:color w:val="000000" w:themeColor="text1"/>
        </w:rPr>
        <w:t>jų</w:t>
      </w:r>
      <w:r>
        <w:rPr>
          <w:rFonts w:ascii="Arial" w:eastAsia="Arial" w:hAnsi="Arial" w:cs="Arial"/>
          <w:noProof/>
          <w:color w:val="000000" w:themeColor="text1"/>
        </w:rPr>
        <w:t xml:space="preserve">. Tai – Pietų Korėja. Joje iki kitų metų birželio buvo uždraustas skolintų vertybinių popierių pardavimas (angl. </w:t>
      </w:r>
      <w:r>
        <w:rPr>
          <w:rFonts w:ascii="Arial" w:eastAsia="Arial" w:hAnsi="Arial" w:cs="Arial"/>
          <w:i/>
          <w:iCs/>
          <w:noProof/>
          <w:color w:val="000000" w:themeColor="text1"/>
        </w:rPr>
        <w:t>short sell</w:t>
      </w:r>
      <w:r>
        <w:rPr>
          <w:rFonts w:ascii="Arial" w:eastAsia="Arial" w:hAnsi="Arial" w:cs="Arial"/>
          <w:noProof/>
          <w:color w:val="000000" w:themeColor="text1"/>
        </w:rPr>
        <w:t>). Tai reiškia, kad rinkos dalyviai nebegalės skolintis akcijų pardavimui ir taip siekti užsidirbti iš jų nuvertėjimo. Šalies reguliatorius sprendimą motyvavo keliais atvejais, kai užsienio bankai šią strategiją naudojo nelegaliai ir taip sukūrė nesąžiningas sąlygas rinkoje.</w:t>
      </w:r>
    </w:p>
    <w:p w14:paraId="2907108C" w14:textId="77777777" w:rsidR="003E24A5" w:rsidRDefault="003E24A5" w:rsidP="003E24A5">
      <w:pPr>
        <w:jc w:val="both"/>
        <w:rPr>
          <w:rFonts w:ascii="Arial" w:eastAsia="Arial" w:hAnsi="Arial" w:cs="Arial"/>
          <w:noProof/>
          <w:color w:val="000000" w:themeColor="text1"/>
        </w:rPr>
      </w:pPr>
      <w:r>
        <w:rPr>
          <w:rFonts w:ascii="Arial" w:eastAsia="Arial" w:hAnsi="Arial" w:cs="Arial"/>
          <w:noProof/>
          <w:color w:val="000000" w:themeColor="text1"/>
        </w:rPr>
        <w:t xml:space="preserve">Įvedus šiuos reguliacinius pokyčius, Pietų Korėjos KOSPI akcijų indeksas augo daugiau nei </w:t>
      </w:r>
      <w:r w:rsidRPr="00F7185A">
        <w:rPr>
          <w:rFonts w:ascii="Arial" w:eastAsia="Arial" w:hAnsi="Arial" w:cs="Arial"/>
          <w:noProof/>
          <w:color w:val="000000" w:themeColor="text1"/>
        </w:rPr>
        <w:t>10</w:t>
      </w:r>
      <w:r>
        <w:rPr>
          <w:rFonts w:ascii="Arial" w:eastAsia="Arial" w:hAnsi="Arial" w:cs="Arial"/>
          <w:noProof/>
          <w:color w:val="000000" w:themeColor="text1"/>
        </w:rPr>
        <w:t xml:space="preserve"> proc.</w:t>
      </w:r>
      <w:r w:rsidRPr="00F7185A">
        <w:rPr>
          <w:rFonts w:ascii="Arial" w:eastAsia="Arial" w:hAnsi="Arial" w:cs="Arial"/>
          <w:noProof/>
          <w:color w:val="000000" w:themeColor="text1"/>
        </w:rPr>
        <w:t>, pralenkdamas t</w:t>
      </w:r>
      <w:r>
        <w:rPr>
          <w:rFonts w:ascii="Arial" w:eastAsia="Arial" w:hAnsi="Arial" w:cs="Arial"/>
          <w:noProof/>
          <w:color w:val="000000" w:themeColor="text1"/>
        </w:rPr>
        <w:t>iek JAV, tiek Europos rinkas. Vis tik tikėtis ilgalaikio teigiamo poveikio Korėjos akcijų rinkai</w:t>
      </w:r>
      <w:r w:rsidRPr="000F3BD2">
        <w:rPr>
          <w:rFonts w:ascii="Arial" w:eastAsia="Arial" w:hAnsi="Arial" w:cs="Arial"/>
          <w:noProof/>
          <w:color w:val="000000" w:themeColor="text1"/>
        </w:rPr>
        <w:t xml:space="preserve"> </w:t>
      </w:r>
      <w:r>
        <w:rPr>
          <w:rFonts w:ascii="Arial" w:eastAsia="Arial" w:hAnsi="Arial" w:cs="Arial"/>
          <w:noProof/>
          <w:color w:val="000000" w:themeColor="text1"/>
        </w:rPr>
        <w:t xml:space="preserve">sunku, nes skolintų akcijų pardavimai sudaro tik apie </w:t>
      </w:r>
      <w:r w:rsidRPr="009B72F8">
        <w:rPr>
          <w:rFonts w:ascii="Arial" w:eastAsia="Arial" w:hAnsi="Arial" w:cs="Arial"/>
          <w:noProof/>
          <w:color w:val="000000" w:themeColor="text1"/>
        </w:rPr>
        <w:t>1</w:t>
      </w:r>
      <w:r>
        <w:rPr>
          <w:rFonts w:ascii="Arial" w:eastAsia="Arial" w:hAnsi="Arial" w:cs="Arial"/>
          <w:noProof/>
          <w:color w:val="000000" w:themeColor="text1"/>
        </w:rPr>
        <w:t xml:space="preserve"> proc. biržos vertės. Skolintų vertybinių popierių pardavimo draudimo kritikai teigia, kad rinkos skaidrumas sumažės ir ji taps mažiau likvidi.</w:t>
      </w:r>
    </w:p>
    <w:p w14:paraId="0F12A0CE" w14:textId="77777777" w:rsidR="003E24A5" w:rsidRDefault="003E24A5" w:rsidP="003E24A5">
      <w:pPr>
        <w:jc w:val="both"/>
        <w:rPr>
          <w:rFonts w:ascii="Arial" w:eastAsia="Arial" w:hAnsi="Arial" w:cs="Arial"/>
          <w:noProof/>
          <w:color w:val="000000" w:themeColor="text1"/>
        </w:rPr>
      </w:pPr>
      <w:r>
        <w:rPr>
          <w:rFonts w:ascii="Arial" w:eastAsia="Arial" w:hAnsi="Arial" w:cs="Arial"/>
          <w:noProof/>
          <w:color w:val="000000" w:themeColor="text1"/>
        </w:rPr>
        <w:t>Kadangi Pietų Korėjos akcijų rinka vis dar laikoma besivystančia, šalis pastaruosius kelerius metus dėjo pastangas, kad gautų „išsivysčiusios“ statusą ir taip pritrauktų papildomo kapitalo į vietines įmones. Vis dėlto, įvesti reguliaciniai pokyčiai gali nukelti šį pokytį iš „MSCI“ reitingų agentūros į tolimesnę ateitį.</w:t>
      </w:r>
    </w:p>
    <w:p w14:paraId="58AFBF6C" w14:textId="77777777" w:rsidR="003E24A5" w:rsidRPr="00A53121" w:rsidRDefault="003E24A5" w:rsidP="003E24A5">
      <w:pPr>
        <w:jc w:val="both"/>
        <w:rPr>
          <w:rFonts w:ascii="Arial" w:eastAsia="Arial" w:hAnsi="Arial" w:cs="Arial"/>
          <w:noProof/>
          <w:color w:val="000000" w:themeColor="text1"/>
        </w:rPr>
      </w:pPr>
      <w:r>
        <w:rPr>
          <w:rFonts w:ascii="Arial" w:eastAsia="Arial" w:hAnsi="Arial" w:cs="Arial"/>
          <w:noProof/>
          <w:color w:val="000000" w:themeColor="text1"/>
        </w:rPr>
        <w:t xml:space="preserve">Kita vertus, yra argumentų, kodėl Pietų Korėjos akcijos gali ir toliau augti. Lapkričio pabaigoje „Goldman Sachs“ investicinio banko analitikai pareiškė, kad šalies akcijos per ateinančius metus turi didžiausią augimo potencialą Azijos ir Ramiojo vandenyno regione. „Goldman Sachs“ prognozė KOSPI indekso įmonių pelno augimui </w:t>
      </w:r>
      <w:r w:rsidRPr="00A53121">
        <w:rPr>
          <w:rFonts w:ascii="Arial" w:eastAsia="Arial" w:hAnsi="Arial" w:cs="Arial"/>
          <w:noProof/>
          <w:color w:val="000000" w:themeColor="text1"/>
        </w:rPr>
        <w:t xml:space="preserve">2024 </w:t>
      </w:r>
      <w:r>
        <w:rPr>
          <w:rFonts w:ascii="Arial" w:eastAsia="Arial" w:hAnsi="Arial" w:cs="Arial"/>
          <w:noProof/>
          <w:color w:val="000000" w:themeColor="text1"/>
        </w:rPr>
        <w:t xml:space="preserve">metais siekia </w:t>
      </w:r>
      <w:r w:rsidRPr="00A53121">
        <w:rPr>
          <w:rFonts w:ascii="Arial" w:eastAsia="Arial" w:hAnsi="Arial" w:cs="Arial"/>
          <w:noProof/>
          <w:color w:val="000000" w:themeColor="text1"/>
        </w:rPr>
        <w:t>5</w:t>
      </w:r>
      <w:r>
        <w:rPr>
          <w:rFonts w:ascii="Arial" w:eastAsia="Arial" w:hAnsi="Arial" w:cs="Arial"/>
          <w:noProof/>
          <w:color w:val="000000" w:themeColor="text1"/>
        </w:rPr>
        <w:t xml:space="preserve">4 proc. ir dar </w:t>
      </w:r>
      <w:r w:rsidRPr="00A53121">
        <w:rPr>
          <w:rFonts w:ascii="Arial" w:eastAsia="Arial" w:hAnsi="Arial" w:cs="Arial"/>
          <w:noProof/>
          <w:color w:val="000000" w:themeColor="text1"/>
        </w:rPr>
        <w:t>2</w:t>
      </w:r>
      <w:r>
        <w:rPr>
          <w:rFonts w:ascii="Arial" w:eastAsia="Arial" w:hAnsi="Arial" w:cs="Arial"/>
          <w:noProof/>
          <w:color w:val="000000" w:themeColor="text1"/>
        </w:rPr>
        <w:t xml:space="preserve">0 proc. </w:t>
      </w:r>
      <w:r w:rsidRPr="00A53121">
        <w:rPr>
          <w:rFonts w:ascii="Arial" w:eastAsia="Arial" w:hAnsi="Arial" w:cs="Arial"/>
          <w:noProof/>
          <w:color w:val="000000" w:themeColor="text1"/>
        </w:rPr>
        <w:t>2</w:t>
      </w:r>
      <w:r>
        <w:rPr>
          <w:rFonts w:ascii="Arial" w:eastAsia="Arial" w:hAnsi="Arial" w:cs="Arial"/>
          <w:noProof/>
          <w:color w:val="000000" w:themeColor="text1"/>
        </w:rPr>
        <w:t>025 metais. Šiuos lūkesčius paremia ir didžiausios šalies įmonės „Samsung Electronics“ pastarojo ketvirčio rezultatai, kurie rodo ženkliau atsigaunančią puslaidininkių rinką.</w:t>
      </w:r>
    </w:p>
    <w:p w14:paraId="694F821A" w14:textId="77777777" w:rsidR="003E24A5" w:rsidRDefault="003E24A5" w:rsidP="003E24A5">
      <w:pPr>
        <w:jc w:val="both"/>
        <w:rPr>
          <w:rFonts w:ascii="Arial" w:eastAsia="Arial" w:hAnsi="Arial" w:cs="Arial"/>
          <w:b/>
          <w:bCs/>
          <w:noProof/>
          <w:color w:val="000000" w:themeColor="text1"/>
        </w:rPr>
      </w:pPr>
      <w:r w:rsidRPr="127BD928">
        <w:rPr>
          <w:rFonts w:ascii="Arial" w:eastAsia="Arial" w:hAnsi="Arial" w:cs="Arial"/>
          <w:b/>
          <w:bCs/>
          <w:noProof/>
          <w:color w:val="000000" w:themeColor="text1"/>
        </w:rPr>
        <w:t>Komunikacijų paslaugų sektorius įgauna pagreitį</w:t>
      </w:r>
    </w:p>
    <w:p w14:paraId="2A3F008E" w14:textId="77777777" w:rsidR="003E24A5" w:rsidRDefault="003E24A5" w:rsidP="003E24A5">
      <w:pPr>
        <w:jc w:val="both"/>
        <w:rPr>
          <w:rFonts w:ascii="Arial" w:eastAsia="Arial" w:hAnsi="Arial" w:cs="Arial"/>
          <w:noProof/>
          <w:color w:val="000000" w:themeColor="text1"/>
        </w:rPr>
      </w:pPr>
      <w:r>
        <w:rPr>
          <w:rFonts w:ascii="Arial" w:eastAsia="Arial" w:hAnsi="Arial" w:cs="Arial"/>
          <w:noProof/>
          <w:color w:val="000000" w:themeColor="text1"/>
        </w:rPr>
        <w:t>Makroekonominių duomenų pokyčiai (mažesnė infliacija, vėstanti darbo rinka) ir po jų sekę monetarinės politikos lūkesčiai prisidėjo prie kintančios akcijų rinkos lyderystės.</w:t>
      </w:r>
    </w:p>
    <w:p w14:paraId="4E050AA5" w14:textId="77777777" w:rsidR="003E24A5" w:rsidRDefault="003E24A5" w:rsidP="003E24A5">
      <w:pPr>
        <w:jc w:val="both"/>
        <w:rPr>
          <w:rFonts w:ascii="Arial" w:eastAsia="Arial" w:hAnsi="Arial" w:cs="Arial"/>
          <w:noProof/>
          <w:color w:val="000000" w:themeColor="text1"/>
        </w:rPr>
      </w:pPr>
      <w:r>
        <w:rPr>
          <w:rFonts w:ascii="Arial" w:eastAsia="Arial" w:hAnsi="Arial" w:cs="Arial"/>
          <w:noProof/>
          <w:color w:val="000000" w:themeColor="text1"/>
        </w:rPr>
        <w:t>Po prasto spalio, cikliniai augimo sektoriai lapkritį vėl pradėjo lenkti gynybines ir į žaliavas orientuotas industrijas. Tarp jų – technologijų sektorius, nebūtinojo vartojimo paslaugos, komunikacijos paslaugų sektorius. Metų pabaiga įprastai žymi vieną geriausių laikotarpių sparčiau augančių verslų akcijoms, tad sezoniškumas šiems verslas istoriškai palankus, o tai lapkritį žymėjo ir techniniai akcijų rinkos indikatoriai.</w:t>
      </w:r>
    </w:p>
    <w:p w14:paraId="32764B96" w14:textId="77777777" w:rsidR="003E24A5" w:rsidRDefault="003E24A5" w:rsidP="003E24A5">
      <w:pPr>
        <w:jc w:val="both"/>
        <w:rPr>
          <w:rFonts w:ascii="Arial" w:eastAsia="Arial" w:hAnsi="Arial" w:cs="Arial"/>
          <w:noProof/>
          <w:color w:val="000000" w:themeColor="text1"/>
        </w:rPr>
      </w:pPr>
      <w:r>
        <w:rPr>
          <w:rFonts w:ascii="Arial" w:eastAsia="Arial" w:hAnsi="Arial" w:cs="Arial"/>
          <w:noProof/>
          <w:color w:val="000000" w:themeColor="text1"/>
        </w:rPr>
        <w:t xml:space="preserve">Dėl šių teigiamų veiksnių nusprendėme įtraukti komunikacijos paslaugų sektoriaus akcijas į aktyvią poziciją „Luminor investicijų valdymo“ pensijų fondų portfeliuose vietoje dalies viso pasaulio išsivysčiusių rinkų akcijų. Taip siekiame didinti riziką, investuodami į industriją, kuriai dabartinė lėto ekonomikos augimo trajektorija yra palanki ir joje, geriau išnaudojant dirbtinio intelekto galimybes, galima tolimesnė plėtra. Šio sektoriaus įmonės </w:t>
      </w:r>
      <w:r>
        <w:rPr>
          <w:rFonts w:ascii="Arial" w:eastAsia="Arial" w:hAnsi="Arial" w:cs="Arial"/>
          <w:noProof/>
          <w:color w:val="000000" w:themeColor="text1"/>
        </w:rPr>
        <w:lastRenderedPageBreak/>
        <w:t>taip pat turi didesnę koncentraciją JAV rinkoje – daugiau nei pusę vertės sudaro tokie savo segmentų lyderiai kaip „Meta Platforms“, „Alphabet“ („Google“ motininė įmonė) ir „Netflix“.</w:t>
      </w:r>
    </w:p>
    <w:p w14:paraId="7F3E85B1" w14:textId="77777777" w:rsidR="003E24A5" w:rsidRDefault="003E24A5" w:rsidP="003E24A5">
      <w:pPr>
        <w:jc w:val="both"/>
        <w:rPr>
          <w:rFonts w:ascii="Arial" w:eastAsia="Arial" w:hAnsi="Arial" w:cs="Arial"/>
          <w:noProof/>
          <w:color w:val="000000" w:themeColor="text1"/>
        </w:rPr>
      </w:pPr>
      <w:r>
        <w:rPr>
          <w:rFonts w:ascii="Arial" w:eastAsia="Arial" w:hAnsi="Arial" w:cs="Arial"/>
          <w:noProof/>
          <w:color w:val="000000" w:themeColor="text1"/>
        </w:rPr>
        <w:t xml:space="preserve">Žvelgiant į šias įmones, „Meta Platforms“ rodo itin solidų augimą ir gerėjančias maržas dėl veiksmingesnės kaštų kontrolės. „Alphabet“ trumpuoju laikotarpiu sekėsi kiek prasčiau dėl lėtėjančio debesų kompiuterijos verslo, tačiau įmonė šiuo metu yra viena pigiausių didelės kapitalizacijos augimo akcijų, kuri ne kartą įrodė, kad gali grįžti į plėtros trajektoriją. Galiausiai, ir kitose sektoriaus nišose matome sparčiau augantį pelną ir reikšmingą teigiamą mažėsiančių palūkanų normų įtaką telekomunikacijoms įmonėms. </w:t>
      </w:r>
    </w:p>
    <w:p w14:paraId="1C9BCD17" w14:textId="77777777" w:rsidR="003E24A5" w:rsidRDefault="003E24A5" w:rsidP="003E24A5">
      <w:pPr>
        <w:jc w:val="both"/>
        <w:rPr>
          <w:rFonts w:ascii="Arial" w:eastAsia="Arial" w:hAnsi="Arial" w:cs="Arial"/>
          <w:noProof/>
        </w:rPr>
      </w:pPr>
      <w:r w:rsidRPr="127BD928">
        <w:rPr>
          <w:rFonts w:ascii="Arial" w:eastAsia="Arial" w:hAnsi="Arial" w:cs="Arial"/>
          <w:b/>
          <w:bCs/>
          <w:noProof/>
        </w:rPr>
        <w:t>Iš globalių rinkų į lokalias</w:t>
      </w:r>
    </w:p>
    <w:p w14:paraId="2017B384" w14:textId="77777777" w:rsidR="003E24A5" w:rsidRDefault="003E24A5" w:rsidP="003E24A5">
      <w:pPr>
        <w:jc w:val="both"/>
        <w:rPr>
          <w:rFonts w:ascii="Arial" w:eastAsia="Arial" w:hAnsi="Arial" w:cs="Arial"/>
          <w:noProof/>
          <w:color w:val="000000" w:themeColor="text1"/>
        </w:rPr>
      </w:pPr>
      <w:r w:rsidRPr="127BD928">
        <w:rPr>
          <w:rFonts w:ascii="Arial" w:eastAsia="Arial" w:hAnsi="Arial" w:cs="Arial"/>
          <w:noProof/>
          <w:color w:val="000000" w:themeColor="text1"/>
        </w:rPr>
        <w:t xml:space="preserve">Lapkritį toliau didinome </w:t>
      </w:r>
      <w:r>
        <w:rPr>
          <w:rFonts w:ascii="Arial" w:eastAsia="Arial" w:hAnsi="Arial" w:cs="Arial"/>
          <w:noProof/>
          <w:color w:val="000000" w:themeColor="text1"/>
        </w:rPr>
        <w:t>„Luminor investicijų valdymas“</w:t>
      </w:r>
      <w:r w:rsidRPr="127BD928">
        <w:rPr>
          <w:rFonts w:ascii="Arial" w:eastAsia="Arial" w:hAnsi="Arial" w:cs="Arial"/>
          <w:noProof/>
          <w:color w:val="000000" w:themeColor="text1"/>
        </w:rPr>
        <w:t xml:space="preserve"> investicijas į Baltijos skolos kapitalo rinką.</w:t>
      </w:r>
      <w:r>
        <w:rPr>
          <w:rFonts w:ascii="Arial" w:eastAsia="Arial" w:hAnsi="Arial" w:cs="Arial"/>
          <w:noProof/>
          <w:color w:val="000000" w:themeColor="text1"/>
        </w:rPr>
        <w:t xml:space="preserve"> </w:t>
      </w:r>
      <w:r w:rsidRPr="127BD928">
        <w:rPr>
          <w:rFonts w:ascii="Arial" w:eastAsia="Arial" w:hAnsi="Arial" w:cs="Arial"/>
          <w:noProof/>
          <w:color w:val="000000" w:themeColor="text1"/>
        </w:rPr>
        <w:t xml:space="preserve">Praėjusį mėnesį </w:t>
      </w:r>
      <w:r>
        <w:rPr>
          <w:rFonts w:ascii="Arial" w:eastAsia="Arial" w:hAnsi="Arial" w:cs="Arial"/>
          <w:noProof/>
          <w:color w:val="000000" w:themeColor="text1"/>
        </w:rPr>
        <w:t>„</w:t>
      </w:r>
      <w:r w:rsidRPr="127BD928">
        <w:rPr>
          <w:rFonts w:ascii="Arial" w:eastAsia="Arial" w:hAnsi="Arial" w:cs="Arial"/>
          <w:noProof/>
          <w:color w:val="000000" w:themeColor="text1"/>
        </w:rPr>
        <w:t>AB Šiaulių bankas</w:t>
      </w:r>
      <w:r>
        <w:rPr>
          <w:rFonts w:ascii="Arial" w:eastAsia="Arial" w:hAnsi="Arial" w:cs="Arial"/>
          <w:noProof/>
          <w:color w:val="000000" w:themeColor="text1"/>
        </w:rPr>
        <w:t>“</w:t>
      </w:r>
      <w:r w:rsidRPr="127BD928">
        <w:rPr>
          <w:rFonts w:ascii="Arial" w:eastAsia="Arial" w:hAnsi="Arial" w:cs="Arial"/>
          <w:noProof/>
          <w:color w:val="000000" w:themeColor="text1"/>
        </w:rPr>
        <w:t xml:space="preserve"> 50 mln. eurų papildė 2021 m. išleistą obligacijų emisiją. Obligacijos išleistos su tikslu vykdyti būsimus banko priežiūros institucijų nustatytus minimalius nuosavų lėšų ir tinkamų įsipareigojimų reikalavimus (angl. </w:t>
      </w:r>
      <w:r w:rsidRPr="127BD928">
        <w:rPr>
          <w:rFonts w:ascii="Arial" w:eastAsia="Arial" w:hAnsi="Arial" w:cs="Arial"/>
          <w:i/>
          <w:iCs/>
          <w:noProof/>
          <w:color w:val="000000" w:themeColor="text1"/>
        </w:rPr>
        <w:t>MREL requirements</w:t>
      </w:r>
      <w:r w:rsidRPr="127BD928">
        <w:rPr>
          <w:rFonts w:ascii="Arial" w:eastAsia="Arial" w:hAnsi="Arial" w:cs="Arial"/>
          <w:noProof/>
          <w:color w:val="000000" w:themeColor="text1"/>
        </w:rPr>
        <w:t>).</w:t>
      </w:r>
    </w:p>
    <w:p w14:paraId="484E7F5B" w14:textId="77777777" w:rsidR="003E24A5" w:rsidRDefault="003E24A5" w:rsidP="003E24A5">
      <w:pPr>
        <w:jc w:val="both"/>
        <w:rPr>
          <w:rFonts w:ascii="Arial" w:eastAsia="Arial" w:hAnsi="Arial" w:cs="Arial"/>
          <w:noProof/>
          <w:color w:val="000000" w:themeColor="text1"/>
        </w:rPr>
      </w:pPr>
      <w:r w:rsidRPr="127BD928">
        <w:rPr>
          <w:rFonts w:ascii="Arial" w:eastAsia="Arial" w:hAnsi="Arial" w:cs="Arial"/>
          <w:noProof/>
          <w:color w:val="000000" w:themeColor="text1"/>
        </w:rPr>
        <w:t xml:space="preserve">Emisija sulaukė didelio susidomėjimo, </w:t>
      </w:r>
      <w:r>
        <w:rPr>
          <w:rFonts w:ascii="Arial" w:eastAsia="Arial" w:hAnsi="Arial" w:cs="Arial"/>
          <w:noProof/>
          <w:color w:val="000000" w:themeColor="text1"/>
        </w:rPr>
        <w:t xml:space="preserve">o </w:t>
      </w:r>
      <w:r w:rsidRPr="127BD928">
        <w:rPr>
          <w:rFonts w:ascii="Arial" w:eastAsia="Arial" w:hAnsi="Arial" w:cs="Arial"/>
          <w:noProof/>
          <w:color w:val="000000" w:themeColor="text1"/>
        </w:rPr>
        <w:t>paklausa viršijo pasiūlą daugiau nei dvigubai. Investicijos pajamingumas iki išpirkimo 2025 metų spalį siekia 6,7</w:t>
      </w:r>
      <w:r>
        <w:rPr>
          <w:rFonts w:ascii="Arial" w:eastAsia="Arial" w:hAnsi="Arial" w:cs="Arial"/>
          <w:noProof/>
          <w:color w:val="000000" w:themeColor="text1"/>
        </w:rPr>
        <w:t xml:space="preserve"> proc</w:t>
      </w:r>
      <w:r w:rsidRPr="127BD928">
        <w:rPr>
          <w:rFonts w:ascii="Arial" w:eastAsia="Arial" w:hAnsi="Arial" w:cs="Arial"/>
          <w:noProof/>
          <w:color w:val="000000" w:themeColor="text1"/>
        </w:rPr>
        <w:t xml:space="preserve">. Už aukštai kapitalo struktūroje esančios skolos riziką matome tinkamą grąžą, </w:t>
      </w:r>
      <w:r>
        <w:rPr>
          <w:rFonts w:ascii="Arial" w:eastAsia="Arial" w:hAnsi="Arial" w:cs="Arial"/>
          <w:noProof/>
          <w:color w:val="000000" w:themeColor="text1"/>
        </w:rPr>
        <w:t xml:space="preserve">ypač </w:t>
      </w:r>
      <w:r w:rsidRPr="127BD928">
        <w:rPr>
          <w:rFonts w:ascii="Arial" w:eastAsia="Arial" w:hAnsi="Arial" w:cs="Arial"/>
          <w:noProof/>
          <w:color w:val="000000" w:themeColor="text1"/>
        </w:rPr>
        <w:t>turint omenyje apie 260 bazinių punktų premiją</w:t>
      </w:r>
      <w:r>
        <w:rPr>
          <w:rFonts w:ascii="Arial" w:eastAsia="Arial" w:hAnsi="Arial" w:cs="Arial"/>
          <w:noProof/>
          <w:color w:val="000000" w:themeColor="text1"/>
        </w:rPr>
        <w:t>,</w:t>
      </w:r>
      <w:r w:rsidRPr="127BD928">
        <w:rPr>
          <w:rFonts w:ascii="Arial" w:eastAsia="Arial" w:hAnsi="Arial" w:cs="Arial"/>
          <w:noProof/>
          <w:color w:val="000000" w:themeColor="text1"/>
        </w:rPr>
        <w:t xml:space="preserve"> lyginant su atitinkamos trukmės Lietuvos Vyriausybės obligacijomis.</w:t>
      </w:r>
    </w:p>
    <w:p w14:paraId="0678ACF0" w14:textId="77777777" w:rsidR="003E24A5" w:rsidRDefault="003E24A5" w:rsidP="003E24A5">
      <w:pPr>
        <w:jc w:val="both"/>
        <w:rPr>
          <w:rFonts w:ascii="Arial" w:eastAsia="Arial" w:hAnsi="Arial" w:cs="Arial"/>
          <w:b/>
          <w:bCs/>
          <w:noProof/>
        </w:rPr>
      </w:pPr>
      <w:r w:rsidRPr="00FB2DCF">
        <w:rPr>
          <w:rFonts w:ascii="Arial" w:eastAsia="Arial" w:hAnsi="Arial" w:cs="Arial"/>
          <w:b/>
          <w:bCs/>
        </w:rPr>
        <w:t xml:space="preserve">„Luminor investicijų valdymo“ </w:t>
      </w:r>
      <w:r>
        <w:rPr>
          <w:rFonts w:ascii="Arial" w:eastAsia="Arial" w:hAnsi="Arial" w:cs="Arial"/>
          <w:b/>
          <w:bCs/>
        </w:rPr>
        <w:t>r</w:t>
      </w:r>
      <w:r w:rsidRPr="127BD928">
        <w:rPr>
          <w:rFonts w:ascii="Arial" w:eastAsia="Arial" w:hAnsi="Arial" w:cs="Arial"/>
          <w:b/>
          <w:bCs/>
          <w:noProof/>
        </w:rPr>
        <w:t>inkos vertinimas</w:t>
      </w:r>
    </w:p>
    <w:p w14:paraId="5E8F35B9" w14:textId="77777777" w:rsidR="003E24A5" w:rsidRDefault="003E24A5" w:rsidP="003E24A5">
      <w:pPr>
        <w:jc w:val="both"/>
        <w:rPr>
          <w:rFonts w:ascii="Arial" w:eastAsia="Arial" w:hAnsi="Arial" w:cs="Arial"/>
          <w:noProof/>
          <w:color w:val="000000" w:themeColor="text1"/>
        </w:rPr>
      </w:pPr>
      <w:r w:rsidRPr="127BD928">
        <w:rPr>
          <w:rFonts w:ascii="Arial" w:eastAsia="Arial" w:hAnsi="Arial" w:cs="Arial"/>
          <w:noProof/>
          <w:color w:val="000000" w:themeColor="text1"/>
        </w:rPr>
        <w:t xml:space="preserve">Ši rinkų apžvalga – tai tik nedidelė mūsų bendro rinkos raidos vertinimo dalis. </w:t>
      </w:r>
      <w:r>
        <w:rPr>
          <w:rFonts w:ascii="Arial" w:eastAsia="Arial" w:hAnsi="Arial" w:cs="Arial"/>
          <w:noProof/>
          <w:color w:val="000000" w:themeColor="text1"/>
        </w:rPr>
        <w:t>Lapkričio mėnesį</w:t>
      </w:r>
      <w:r w:rsidRPr="127BD928">
        <w:rPr>
          <w:rFonts w:ascii="Arial" w:eastAsia="Arial" w:hAnsi="Arial" w:cs="Arial"/>
          <w:noProof/>
          <w:color w:val="000000" w:themeColor="text1"/>
        </w:rPr>
        <w:t xml:space="preserve"> didinome pensijų fondų riziką</w:t>
      </w:r>
      <w:r>
        <w:rPr>
          <w:rFonts w:ascii="Arial" w:eastAsia="Arial" w:hAnsi="Arial" w:cs="Arial"/>
          <w:noProof/>
          <w:color w:val="000000" w:themeColor="text1"/>
        </w:rPr>
        <w:t>,</w:t>
      </w:r>
      <w:r w:rsidRPr="127BD928">
        <w:rPr>
          <w:rFonts w:ascii="Arial" w:eastAsia="Arial" w:hAnsi="Arial" w:cs="Arial"/>
          <w:noProof/>
          <w:color w:val="000000" w:themeColor="text1"/>
        </w:rPr>
        <w:t xml:space="preserve"> mažindami pinigų rinkos priemonių dalį portfeliuose ir pirkdami išsivysčiusių valstybių akcijas. </w:t>
      </w:r>
      <w:r>
        <w:rPr>
          <w:rFonts w:ascii="Arial" w:eastAsia="Arial" w:hAnsi="Arial" w:cs="Arial"/>
          <w:noProof/>
          <w:color w:val="000000" w:themeColor="text1"/>
        </w:rPr>
        <w:t>Tokį s</w:t>
      </w:r>
      <w:r w:rsidRPr="127BD928">
        <w:rPr>
          <w:rFonts w:ascii="Arial" w:eastAsia="Arial" w:hAnsi="Arial" w:cs="Arial"/>
          <w:noProof/>
          <w:color w:val="000000" w:themeColor="text1"/>
        </w:rPr>
        <w:t>prendimą motyvavo lėtėjusi infliacija ir jos poveikis monetarinės politikos lūkesčiams.</w:t>
      </w:r>
    </w:p>
    <w:p w14:paraId="370CDF70" w14:textId="77777777" w:rsidR="003E24A5" w:rsidRDefault="003E24A5" w:rsidP="003E24A5">
      <w:pPr>
        <w:jc w:val="both"/>
        <w:rPr>
          <w:rFonts w:ascii="Arial" w:eastAsia="Arial" w:hAnsi="Arial" w:cs="Arial"/>
          <w:noProof/>
          <w:color w:val="000000" w:themeColor="text1"/>
        </w:rPr>
      </w:pPr>
      <w:r>
        <w:rPr>
          <w:rFonts w:ascii="Arial" w:eastAsia="Arial" w:hAnsi="Arial" w:cs="Arial"/>
          <w:noProof/>
          <w:color w:val="000000" w:themeColor="text1"/>
        </w:rPr>
        <w:t>Taip pat po daugiau nei dviejų mėnesių pertraukos m</w:t>
      </w:r>
      <w:r w:rsidRPr="127BD928">
        <w:rPr>
          <w:rFonts w:ascii="Arial" w:eastAsia="Arial" w:hAnsi="Arial" w:cs="Arial"/>
          <w:noProof/>
          <w:color w:val="000000" w:themeColor="text1"/>
        </w:rPr>
        <w:t xml:space="preserve">atėme ženklų vyriausybių obligacijų pajamingumo kritimą ir </w:t>
      </w:r>
      <w:r>
        <w:rPr>
          <w:rFonts w:ascii="Arial" w:eastAsia="Arial" w:hAnsi="Arial" w:cs="Arial"/>
          <w:noProof/>
          <w:color w:val="000000" w:themeColor="text1"/>
        </w:rPr>
        <w:t>sparčiai didėjančius investicijų srautus į rizikingesnius aktyvus</w:t>
      </w:r>
      <w:r w:rsidRPr="127BD928">
        <w:rPr>
          <w:rFonts w:ascii="Arial" w:eastAsia="Arial" w:hAnsi="Arial" w:cs="Arial"/>
          <w:noProof/>
          <w:color w:val="000000" w:themeColor="text1"/>
        </w:rPr>
        <w:t xml:space="preserve">. Galiausiai, lūkesčius pranokę </w:t>
      </w:r>
      <w:r>
        <w:rPr>
          <w:rFonts w:ascii="Arial" w:eastAsia="Arial" w:hAnsi="Arial" w:cs="Arial"/>
          <w:noProof/>
          <w:color w:val="000000" w:themeColor="text1"/>
        </w:rPr>
        <w:t xml:space="preserve">įmonių </w:t>
      </w:r>
      <w:r w:rsidRPr="127BD928">
        <w:rPr>
          <w:rFonts w:ascii="Arial" w:eastAsia="Arial" w:hAnsi="Arial" w:cs="Arial"/>
          <w:noProof/>
          <w:color w:val="000000" w:themeColor="text1"/>
        </w:rPr>
        <w:t xml:space="preserve">trečiojo ketvirčio </w:t>
      </w:r>
      <w:r>
        <w:rPr>
          <w:rFonts w:ascii="Arial" w:eastAsia="Arial" w:hAnsi="Arial" w:cs="Arial"/>
          <w:noProof/>
          <w:color w:val="000000" w:themeColor="text1"/>
        </w:rPr>
        <w:t>finansiniai rezultatai</w:t>
      </w:r>
      <w:r w:rsidRPr="127BD928">
        <w:rPr>
          <w:rFonts w:ascii="Arial" w:eastAsia="Arial" w:hAnsi="Arial" w:cs="Arial"/>
          <w:noProof/>
          <w:color w:val="000000" w:themeColor="text1"/>
        </w:rPr>
        <w:t xml:space="preserve"> </w:t>
      </w:r>
      <w:r>
        <w:rPr>
          <w:rFonts w:ascii="Arial" w:eastAsia="Arial" w:hAnsi="Arial" w:cs="Arial"/>
          <w:noProof/>
          <w:color w:val="000000" w:themeColor="text1"/>
        </w:rPr>
        <w:t>padeda pateisinti šiemet ženkliai brangusių akcijų patrauklumą.</w:t>
      </w:r>
    </w:p>
    <w:p w14:paraId="03E48E61" w14:textId="77777777" w:rsidR="003E24A5" w:rsidRPr="004B00E5" w:rsidRDefault="003E24A5" w:rsidP="003E24A5">
      <w:pPr>
        <w:jc w:val="both"/>
        <w:rPr>
          <w:rFonts w:ascii="Arial" w:eastAsia="Arial" w:hAnsi="Arial" w:cs="Arial"/>
          <w:i/>
          <w:iCs/>
          <w:color w:val="000000" w:themeColor="text1"/>
        </w:rPr>
      </w:pPr>
      <w:r>
        <w:br/>
      </w:r>
      <w:r w:rsidRPr="009E0BBB">
        <w:rPr>
          <w:rFonts w:ascii="Arial" w:eastAsia="Arial" w:hAnsi="Arial" w:cs="Arial"/>
          <w:b/>
          <w:bCs/>
          <w:i/>
          <w:iCs/>
          <w:color w:val="000000" w:themeColor="text1"/>
          <w:sz w:val="20"/>
          <w:szCs w:val="20"/>
        </w:rPr>
        <w:t>Svarbu</w:t>
      </w:r>
      <w:r w:rsidRPr="009E0BBB">
        <w:rPr>
          <w:rFonts w:ascii="Arial" w:eastAsia="Arial" w:hAnsi="Arial" w:cs="Arial"/>
          <w:i/>
          <w:iCs/>
          <w:color w:val="000000" w:themeColor="text1"/>
          <w:sz w:val="20"/>
          <w:szCs w:val="20"/>
        </w:rPr>
        <w:t>: Kaupdami pensijų fonduose, patiriate investavimo riziką, o tai reiškia, kad investicijų vertė gali ir kilti, ir kristi, galite atgauti mažiau negu investavote. UAB „Luminor investicijų valdymas“ investicijų grąžos, pensijų fondų pelningumo ar išmokamų anuiteto dydžių negarantuoja. Pensijų fondų praeities rezultatai negarantuoja ateities rezultatų. Jei į finansines priemones investuojama užsienio valiuta, valiutos keitimo kurso pokyčiai gali turėti įtakos investicijų grąžai. Prieš priimdami sprendimą kaupti papildomą pensiją „Luminor“ pensijų fonduose susipažinkite su pensijų fondų taisyklėmis, taikomais atskaitymais, investavimo strategija ir rizikos veiksniais. Pensijų fondus valdo UAB „Luminor investicijų valdymas“, įm. k. 226299280. II pakopos pensiju kaupimo sistemos dalyviams, dalyvavusiems II pakopos pensijų kaupime iki 2018 m. gruodžio 31 d., valstybinio socialinio draudimo senatvės pensija proporcingai mažinama Valstybinių socialinio draudimo pensijų įstatyme nustatyta tvarka. Atkreipiame dėmesį, kad sudaryta II pakopos pensijų kaupimo sutartis negali būti nutraukta, išskyrus atvejus, kai ši sutartis sudaryta pirmą kartą, todėl dalyvis turi teisę ją vienašališkai nutraukti per 30 kalendorinių dienų nuo sudarymo, apie tai raštu pranešęs pensijų kaupimo bendrovei.</w:t>
      </w:r>
    </w:p>
    <w:p w14:paraId="7236C5AC" w14:textId="77777777" w:rsidR="003E24A5" w:rsidRDefault="003E24A5" w:rsidP="003E24A5">
      <w:pPr>
        <w:jc w:val="both"/>
        <w:rPr>
          <w:rFonts w:ascii="Arial" w:eastAsia="Arial" w:hAnsi="Arial" w:cs="Arial"/>
          <w:color w:val="000000" w:themeColor="text1"/>
        </w:rPr>
      </w:pPr>
    </w:p>
    <w:p w14:paraId="3A4A5EA8" w14:textId="77777777" w:rsidR="003E24A5" w:rsidRPr="00A00450" w:rsidRDefault="003E24A5" w:rsidP="003E24A5">
      <w:pPr>
        <w:contextualSpacing/>
        <w:jc w:val="both"/>
        <w:rPr>
          <w:rFonts w:ascii="Arial" w:eastAsia="Calibri" w:hAnsi="Arial" w:cs="Arial"/>
          <w:b/>
          <w:bCs/>
          <w:shd w:val="clear" w:color="auto" w:fill="FFFFFF"/>
        </w:rPr>
      </w:pPr>
      <w:r w:rsidRPr="00A00450">
        <w:rPr>
          <w:rFonts w:ascii="Arial" w:eastAsia="Calibri" w:hAnsi="Arial" w:cs="Arial"/>
          <w:b/>
          <w:bCs/>
          <w:shd w:val="clear" w:color="auto" w:fill="FFFFFF"/>
        </w:rPr>
        <w:t xml:space="preserve">Kontaktai žiniasklaidai: </w:t>
      </w:r>
    </w:p>
    <w:p w14:paraId="521E2095" w14:textId="77777777" w:rsidR="003E24A5" w:rsidRPr="00A00450" w:rsidRDefault="003E24A5" w:rsidP="003E24A5">
      <w:pPr>
        <w:contextualSpacing/>
        <w:jc w:val="both"/>
        <w:rPr>
          <w:rFonts w:ascii="Arial" w:eastAsia="Calibri" w:hAnsi="Arial" w:cs="Arial"/>
          <w:shd w:val="clear" w:color="auto" w:fill="FFFFFF"/>
        </w:rPr>
      </w:pPr>
      <w:r w:rsidRPr="00A00450">
        <w:rPr>
          <w:rFonts w:ascii="Arial" w:eastAsia="Calibri" w:hAnsi="Arial" w:cs="Arial"/>
          <w:shd w:val="clear" w:color="auto" w:fill="FFFFFF"/>
        </w:rPr>
        <w:t>Simona Survilaitė</w:t>
      </w:r>
    </w:p>
    <w:p w14:paraId="68D4CDE4" w14:textId="77777777" w:rsidR="003E24A5" w:rsidRPr="00A00450" w:rsidRDefault="003E24A5" w:rsidP="003E24A5">
      <w:pPr>
        <w:contextualSpacing/>
        <w:jc w:val="both"/>
        <w:rPr>
          <w:rFonts w:ascii="Arial" w:eastAsia="Calibri" w:hAnsi="Arial" w:cs="Arial"/>
          <w:shd w:val="clear" w:color="auto" w:fill="FFFFFF"/>
        </w:rPr>
      </w:pPr>
      <w:r w:rsidRPr="00A00450">
        <w:rPr>
          <w:rFonts w:ascii="Arial" w:eastAsia="Calibri" w:hAnsi="Arial" w:cs="Arial"/>
          <w:shd w:val="clear" w:color="auto" w:fill="FFFFFF"/>
        </w:rPr>
        <w:t xml:space="preserve">Mob. tel: +370 685 25 281 </w:t>
      </w:r>
    </w:p>
    <w:p w14:paraId="54FCD6E0" w14:textId="20213A2B" w:rsidR="00A00450" w:rsidRPr="00A00450" w:rsidRDefault="003E24A5" w:rsidP="003E24A5">
      <w:pPr>
        <w:contextualSpacing/>
        <w:jc w:val="both"/>
        <w:rPr>
          <w:rFonts w:ascii="Arial" w:eastAsia="Arial" w:hAnsi="Arial" w:cs="Arial"/>
          <w:color w:val="000000" w:themeColor="text1"/>
        </w:rPr>
      </w:pPr>
      <w:r w:rsidRPr="00A00450">
        <w:rPr>
          <w:rFonts w:ascii="Arial" w:eastAsia="Calibri" w:hAnsi="Arial" w:cs="Arial"/>
          <w:shd w:val="clear" w:color="auto" w:fill="FFFFFF"/>
        </w:rPr>
        <w:t>simona.s@coagency.lt</w:t>
      </w:r>
    </w:p>
    <w:sectPr w:rsidR="00A00450" w:rsidRPr="00A00450">
      <w:head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DF051" w14:textId="77777777" w:rsidR="008C4F21" w:rsidRDefault="008C4F21" w:rsidP="0015437D">
      <w:pPr>
        <w:spacing w:after="0" w:line="240" w:lineRule="auto"/>
      </w:pPr>
      <w:r>
        <w:separator/>
      </w:r>
    </w:p>
  </w:endnote>
  <w:endnote w:type="continuationSeparator" w:id="0">
    <w:p w14:paraId="4F45EB69" w14:textId="77777777" w:rsidR="008C4F21" w:rsidRDefault="008C4F21" w:rsidP="00154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70EFC" w14:textId="77777777" w:rsidR="008C4F21" w:rsidRDefault="008C4F21" w:rsidP="0015437D">
      <w:pPr>
        <w:spacing w:after="0" w:line="240" w:lineRule="auto"/>
      </w:pPr>
      <w:r>
        <w:separator/>
      </w:r>
    </w:p>
  </w:footnote>
  <w:footnote w:type="continuationSeparator" w:id="0">
    <w:p w14:paraId="7C6CDE65" w14:textId="77777777" w:rsidR="008C4F21" w:rsidRDefault="008C4F21" w:rsidP="001543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541CD" w14:textId="2CDD731E" w:rsidR="0015437D" w:rsidRPr="0015437D" w:rsidRDefault="0015437D" w:rsidP="00C775C2">
    <w:pPr>
      <w:tabs>
        <w:tab w:val="center" w:pos="4513"/>
        <w:tab w:val="right" w:pos="9026"/>
      </w:tabs>
      <w:spacing w:after="0" w:line="240" w:lineRule="auto"/>
      <w:jc w:val="center"/>
      <w:rPr>
        <w:rFonts w:ascii="Calibri" w:eastAsia="Calibri" w:hAnsi="Calibri" w:cs="Times New Roman"/>
        <w:sz w:val="20"/>
      </w:rPr>
    </w:pPr>
    <w:r w:rsidRPr="0015437D">
      <w:rPr>
        <w:rFonts w:ascii="Calibri" w:eastAsia="Calibri" w:hAnsi="Calibri" w:cs="Times New Roman"/>
        <w:noProof/>
        <w:sz w:val="20"/>
      </w:rPr>
      <w:drawing>
        <wp:inline distT="0" distB="0" distL="0" distR="0" wp14:anchorId="5F368DE0" wp14:editId="4AEDA0D8">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p>
  <w:p w14:paraId="2DBA4D5C" w14:textId="24A0D1A7" w:rsidR="0015437D" w:rsidRPr="0015437D" w:rsidRDefault="0015437D" w:rsidP="0015437D">
    <w:pPr>
      <w:tabs>
        <w:tab w:val="center" w:pos="4513"/>
        <w:tab w:val="right" w:pos="9026"/>
      </w:tabs>
      <w:spacing w:after="0" w:line="240" w:lineRule="auto"/>
      <w:jc w:val="right"/>
      <w:rPr>
        <w:rFonts w:ascii="Calibri" w:eastAsia="Calibri" w:hAnsi="Calibri" w:cs="Times New Roman"/>
        <w:sz w:val="20"/>
      </w:rPr>
    </w:pPr>
    <w:r w:rsidRPr="0015437D">
      <w:rPr>
        <w:rFonts w:ascii="Calibri" w:eastAsia="Calibri" w:hAnsi="Calibri" w:cs="Times New Roman"/>
        <w:sz w:val="20"/>
      </w:rPr>
      <w:t xml:space="preserve">2022 m. </w:t>
    </w:r>
    <w:r w:rsidR="003E24A5">
      <w:rPr>
        <w:rFonts w:ascii="Calibri" w:eastAsia="Calibri" w:hAnsi="Calibri" w:cs="Times New Roman"/>
        <w:sz w:val="20"/>
      </w:rPr>
      <w:t>gruodžio 1</w:t>
    </w:r>
    <w:r w:rsidRPr="0015437D">
      <w:rPr>
        <w:rFonts w:ascii="Calibri" w:eastAsia="Calibri" w:hAnsi="Calibri" w:cs="Times New Roman"/>
        <w:sz w:val="20"/>
      </w:rPr>
      <w:t xml:space="preserve"> d. </w:t>
    </w:r>
  </w:p>
  <w:p w14:paraId="0DBFE0D0" w14:textId="77777777" w:rsidR="0015437D" w:rsidRDefault="0015437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8F480C"/>
    <w:rsid w:val="0003D549"/>
    <w:rsid w:val="000D01DD"/>
    <w:rsid w:val="000E1FCC"/>
    <w:rsid w:val="0015437D"/>
    <w:rsid w:val="001D5639"/>
    <w:rsid w:val="00211AC1"/>
    <w:rsid w:val="0021BB91"/>
    <w:rsid w:val="002258FB"/>
    <w:rsid w:val="002541AA"/>
    <w:rsid w:val="00261104"/>
    <w:rsid w:val="00263AA1"/>
    <w:rsid w:val="00281A4F"/>
    <w:rsid w:val="002B5ABF"/>
    <w:rsid w:val="002E6812"/>
    <w:rsid w:val="00321D4A"/>
    <w:rsid w:val="0036106F"/>
    <w:rsid w:val="003E24A5"/>
    <w:rsid w:val="003F4A0E"/>
    <w:rsid w:val="004152E6"/>
    <w:rsid w:val="0042252E"/>
    <w:rsid w:val="00463868"/>
    <w:rsid w:val="00497251"/>
    <w:rsid w:val="004A1581"/>
    <w:rsid w:val="004A3CDC"/>
    <w:rsid w:val="004B00E5"/>
    <w:rsid w:val="004B1DC5"/>
    <w:rsid w:val="00506262"/>
    <w:rsid w:val="00511197"/>
    <w:rsid w:val="00514896"/>
    <w:rsid w:val="0059710B"/>
    <w:rsid w:val="005A66E0"/>
    <w:rsid w:val="005D7978"/>
    <w:rsid w:val="005E0141"/>
    <w:rsid w:val="005E2342"/>
    <w:rsid w:val="005F2E00"/>
    <w:rsid w:val="00600D39"/>
    <w:rsid w:val="00614695"/>
    <w:rsid w:val="00661EAF"/>
    <w:rsid w:val="006762E6"/>
    <w:rsid w:val="006D1EDB"/>
    <w:rsid w:val="007070C4"/>
    <w:rsid w:val="00762543"/>
    <w:rsid w:val="0078436C"/>
    <w:rsid w:val="0079410A"/>
    <w:rsid w:val="007C3BC9"/>
    <w:rsid w:val="007E46A0"/>
    <w:rsid w:val="007F28D0"/>
    <w:rsid w:val="00871A9A"/>
    <w:rsid w:val="008C4F21"/>
    <w:rsid w:val="008D027D"/>
    <w:rsid w:val="008E07FA"/>
    <w:rsid w:val="008F03BA"/>
    <w:rsid w:val="009470C9"/>
    <w:rsid w:val="00992F42"/>
    <w:rsid w:val="009961DC"/>
    <w:rsid w:val="009B40BF"/>
    <w:rsid w:val="009E0BBB"/>
    <w:rsid w:val="009F71DA"/>
    <w:rsid w:val="00A00450"/>
    <w:rsid w:val="00A20115"/>
    <w:rsid w:val="00A30B8B"/>
    <w:rsid w:val="00A52E86"/>
    <w:rsid w:val="00A8043C"/>
    <w:rsid w:val="00A9561F"/>
    <w:rsid w:val="00AB2B4D"/>
    <w:rsid w:val="00AC5FF7"/>
    <w:rsid w:val="00ACFFB1"/>
    <w:rsid w:val="00B03BD2"/>
    <w:rsid w:val="00B105C4"/>
    <w:rsid w:val="00B119A2"/>
    <w:rsid w:val="00B41D9D"/>
    <w:rsid w:val="00B91F36"/>
    <w:rsid w:val="00C57996"/>
    <w:rsid w:val="00C6396E"/>
    <w:rsid w:val="00C775C2"/>
    <w:rsid w:val="00CB0323"/>
    <w:rsid w:val="00CE7906"/>
    <w:rsid w:val="00D073D0"/>
    <w:rsid w:val="00D31FC6"/>
    <w:rsid w:val="00D37D10"/>
    <w:rsid w:val="00DE2D9D"/>
    <w:rsid w:val="00E21EE1"/>
    <w:rsid w:val="00E4080E"/>
    <w:rsid w:val="00E47CBE"/>
    <w:rsid w:val="00E549EB"/>
    <w:rsid w:val="00EB685F"/>
    <w:rsid w:val="00EF0132"/>
    <w:rsid w:val="00F17170"/>
    <w:rsid w:val="00F35662"/>
    <w:rsid w:val="00F51691"/>
    <w:rsid w:val="00F742D2"/>
    <w:rsid w:val="00F87AEE"/>
    <w:rsid w:val="00FA2888"/>
    <w:rsid w:val="00FAC9B2"/>
    <w:rsid w:val="00FB06A4"/>
    <w:rsid w:val="00FB2139"/>
    <w:rsid w:val="00FB2DCF"/>
    <w:rsid w:val="00FD6A8A"/>
    <w:rsid w:val="014CC6B5"/>
    <w:rsid w:val="01853EB9"/>
    <w:rsid w:val="01AB0E66"/>
    <w:rsid w:val="01BA70EB"/>
    <w:rsid w:val="01EFEBE0"/>
    <w:rsid w:val="0222BBB1"/>
    <w:rsid w:val="0226A93C"/>
    <w:rsid w:val="024A3BB2"/>
    <w:rsid w:val="025C7C4B"/>
    <w:rsid w:val="0279299F"/>
    <w:rsid w:val="027D71B6"/>
    <w:rsid w:val="02B04860"/>
    <w:rsid w:val="02FC4A9B"/>
    <w:rsid w:val="0320A005"/>
    <w:rsid w:val="03491184"/>
    <w:rsid w:val="034BB675"/>
    <w:rsid w:val="035E4E28"/>
    <w:rsid w:val="03930252"/>
    <w:rsid w:val="039433A8"/>
    <w:rsid w:val="0399A661"/>
    <w:rsid w:val="03B6CA64"/>
    <w:rsid w:val="03CF52E4"/>
    <w:rsid w:val="03E997F3"/>
    <w:rsid w:val="03EA98E7"/>
    <w:rsid w:val="03F50601"/>
    <w:rsid w:val="03FC3361"/>
    <w:rsid w:val="04194217"/>
    <w:rsid w:val="042F31BE"/>
    <w:rsid w:val="044C18C1"/>
    <w:rsid w:val="044F41DB"/>
    <w:rsid w:val="0461966F"/>
    <w:rsid w:val="04BB1B61"/>
    <w:rsid w:val="04BC8A6A"/>
    <w:rsid w:val="04C39379"/>
    <w:rsid w:val="04E3CB68"/>
    <w:rsid w:val="05816C47"/>
    <w:rsid w:val="0598ABBA"/>
    <w:rsid w:val="05B51278"/>
    <w:rsid w:val="05EB123C"/>
    <w:rsid w:val="066717CC"/>
    <w:rsid w:val="066B97C9"/>
    <w:rsid w:val="070E4862"/>
    <w:rsid w:val="07287DA6"/>
    <w:rsid w:val="0766D280"/>
    <w:rsid w:val="078D06D4"/>
    <w:rsid w:val="0790CE6C"/>
    <w:rsid w:val="07BD2DE2"/>
    <w:rsid w:val="07FB343B"/>
    <w:rsid w:val="083A01B3"/>
    <w:rsid w:val="08912C46"/>
    <w:rsid w:val="08C79CDF"/>
    <w:rsid w:val="08CD6196"/>
    <w:rsid w:val="08D40869"/>
    <w:rsid w:val="08D693FF"/>
    <w:rsid w:val="093D59AB"/>
    <w:rsid w:val="093F77D3"/>
    <w:rsid w:val="0947F3DF"/>
    <w:rsid w:val="097C77EB"/>
    <w:rsid w:val="09B08820"/>
    <w:rsid w:val="09BA5B6F"/>
    <w:rsid w:val="09FB0CA2"/>
    <w:rsid w:val="0A0052DF"/>
    <w:rsid w:val="0A398BAF"/>
    <w:rsid w:val="0A7C8068"/>
    <w:rsid w:val="0A7D65A1"/>
    <w:rsid w:val="0A90931D"/>
    <w:rsid w:val="0AB30E50"/>
    <w:rsid w:val="0AC2744D"/>
    <w:rsid w:val="0AC6C48C"/>
    <w:rsid w:val="0ACA7D76"/>
    <w:rsid w:val="0B057A6C"/>
    <w:rsid w:val="0B3B5810"/>
    <w:rsid w:val="0BDC887D"/>
    <w:rsid w:val="0BE802AB"/>
    <w:rsid w:val="0BFC7B6B"/>
    <w:rsid w:val="0C0FDE7D"/>
    <w:rsid w:val="0C14D4FD"/>
    <w:rsid w:val="0C291A34"/>
    <w:rsid w:val="0C30CF9E"/>
    <w:rsid w:val="0C3A43A3"/>
    <w:rsid w:val="0C3FACF1"/>
    <w:rsid w:val="0C5E44AE"/>
    <w:rsid w:val="0CAC65A0"/>
    <w:rsid w:val="0D32AD64"/>
    <w:rsid w:val="0D54A705"/>
    <w:rsid w:val="0D84ACC6"/>
    <w:rsid w:val="0D85EAA8"/>
    <w:rsid w:val="0D8B0A48"/>
    <w:rsid w:val="0D91CF2B"/>
    <w:rsid w:val="0DA7798C"/>
    <w:rsid w:val="0DB708E2"/>
    <w:rsid w:val="0E2583A0"/>
    <w:rsid w:val="0E309B71"/>
    <w:rsid w:val="0E9D7B58"/>
    <w:rsid w:val="0EDC56B5"/>
    <w:rsid w:val="0EDD293B"/>
    <w:rsid w:val="0EE9E714"/>
    <w:rsid w:val="0EEB836D"/>
    <w:rsid w:val="0F6B2DBD"/>
    <w:rsid w:val="0F71E465"/>
    <w:rsid w:val="0F867F73"/>
    <w:rsid w:val="0FAE87A8"/>
    <w:rsid w:val="0FC5BBD5"/>
    <w:rsid w:val="0FF6E6E1"/>
    <w:rsid w:val="101A6795"/>
    <w:rsid w:val="1034A2F0"/>
    <w:rsid w:val="10556D6C"/>
    <w:rsid w:val="1060B521"/>
    <w:rsid w:val="1067AF3B"/>
    <w:rsid w:val="107C2A91"/>
    <w:rsid w:val="109C03E7"/>
    <w:rsid w:val="1114AE24"/>
    <w:rsid w:val="1125D97F"/>
    <w:rsid w:val="11426F30"/>
    <w:rsid w:val="11725444"/>
    <w:rsid w:val="11853F16"/>
    <w:rsid w:val="11A577D6"/>
    <w:rsid w:val="11C13230"/>
    <w:rsid w:val="11CAE149"/>
    <w:rsid w:val="12444EED"/>
    <w:rsid w:val="124931F2"/>
    <w:rsid w:val="128965C4"/>
    <w:rsid w:val="12984DE1"/>
    <w:rsid w:val="12E6A87F"/>
    <w:rsid w:val="13324FDA"/>
    <w:rsid w:val="1352FB58"/>
    <w:rsid w:val="13B9FB80"/>
    <w:rsid w:val="13D27C03"/>
    <w:rsid w:val="13DA1D0C"/>
    <w:rsid w:val="13E57348"/>
    <w:rsid w:val="13EC810C"/>
    <w:rsid w:val="13F52303"/>
    <w:rsid w:val="142A3DDF"/>
    <w:rsid w:val="143C8580"/>
    <w:rsid w:val="144D430E"/>
    <w:rsid w:val="146A9950"/>
    <w:rsid w:val="148A1800"/>
    <w:rsid w:val="14AC5CB2"/>
    <w:rsid w:val="14CD3477"/>
    <w:rsid w:val="15020E53"/>
    <w:rsid w:val="1555CBE1"/>
    <w:rsid w:val="155D64B1"/>
    <w:rsid w:val="15616CC0"/>
    <w:rsid w:val="156F64FB"/>
    <w:rsid w:val="1580FE71"/>
    <w:rsid w:val="158F52F5"/>
    <w:rsid w:val="15BBDF3D"/>
    <w:rsid w:val="15D1C421"/>
    <w:rsid w:val="15D88FD6"/>
    <w:rsid w:val="15DF9034"/>
    <w:rsid w:val="16333A89"/>
    <w:rsid w:val="1645C567"/>
    <w:rsid w:val="16765217"/>
    <w:rsid w:val="1689A919"/>
    <w:rsid w:val="1694A353"/>
    <w:rsid w:val="16A192BB"/>
    <w:rsid w:val="16BA5455"/>
    <w:rsid w:val="16E7E952"/>
    <w:rsid w:val="171DCF51"/>
    <w:rsid w:val="17455D48"/>
    <w:rsid w:val="1761DEA1"/>
    <w:rsid w:val="176C8784"/>
    <w:rsid w:val="177408C9"/>
    <w:rsid w:val="17768FD7"/>
    <w:rsid w:val="17960044"/>
    <w:rsid w:val="17AC3AFB"/>
    <w:rsid w:val="17E195C8"/>
    <w:rsid w:val="17E8BBEC"/>
    <w:rsid w:val="17FE2AB9"/>
    <w:rsid w:val="1812918D"/>
    <w:rsid w:val="182445E4"/>
    <w:rsid w:val="185DB4AD"/>
    <w:rsid w:val="18D98168"/>
    <w:rsid w:val="18F2F379"/>
    <w:rsid w:val="18FA16EA"/>
    <w:rsid w:val="1958EC46"/>
    <w:rsid w:val="19BB2D14"/>
    <w:rsid w:val="19D1A9E4"/>
    <w:rsid w:val="19EC48A1"/>
    <w:rsid w:val="1A625EB4"/>
    <w:rsid w:val="1A62B466"/>
    <w:rsid w:val="1A85EE22"/>
    <w:rsid w:val="1A9457FC"/>
    <w:rsid w:val="1AB9BAAC"/>
    <w:rsid w:val="1ABA47B0"/>
    <w:rsid w:val="1AD23A24"/>
    <w:rsid w:val="1AE25178"/>
    <w:rsid w:val="1B02AA58"/>
    <w:rsid w:val="1B19368A"/>
    <w:rsid w:val="1B1EA1D9"/>
    <w:rsid w:val="1B4D7AAB"/>
    <w:rsid w:val="1B65FDF3"/>
    <w:rsid w:val="1B76C6D6"/>
    <w:rsid w:val="1BBB294F"/>
    <w:rsid w:val="1BEAFC00"/>
    <w:rsid w:val="1BEE141E"/>
    <w:rsid w:val="1BFB2B42"/>
    <w:rsid w:val="1BFE2F15"/>
    <w:rsid w:val="1C9C5FCC"/>
    <w:rsid w:val="1CB4016D"/>
    <w:rsid w:val="1CF7B707"/>
    <w:rsid w:val="1CF8EA9D"/>
    <w:rsid w:val="1CFC43BA"/>
    <w:rsid w:val="1D036D6F"/>
    <w:rsid w:val="1D08E3C3"/>
    <w:rsid w:val="1D094D0D"/>
    <w:rsid w:val="1D0BD25D"/>
    <w:rsid w:val="1D2372E6"/>
    <w:rsid w:val="1D345796"/>
    <w:rsid w:val="1D724E12"/>
    <w:rsid w:val="1D76D7D5"/>
    <w:rsid w:val="1D86CC61"/>
    <w:rsid w:val="1D8AE8F0"/>
    <w:rsid w:val="1DD7FD12"/>
    <w:rsid w:val="1DE66159"/>
    <w:rsid w:val="1DEDB6E5"/>
    <w:rsid w:val="1DF42554"/>
    <w:rsid w:val="1E1550A9"/>
    <w:rsid w:val="1E1D3CAA"/>
    <w:rsid w:val="1E208D5A"/>
    <w:rsid w:val="1E2A00E8"/>
    <w:rsid w:val="1E938768"/>
    <w:rsid w:val="1EA449BB"/>
    <w:rsid w:val="1ED701A2"/>
    <w:rsid w:val="1ED9AD0F"/>
    <w:rsid w:val="1EE78055"/>
    <w:rsid w:val="1EE82A3D"/>
    <w:rsid w:val="1EFE3AA1"/>
    <w:rsid w:val="1F196EF6"/>
    <w:rsid w:val="1F485251"/>
    <w:rsid w:val="1F4A5BEA"/>
    <w:rsid w:val="1F64892A"/>
    <w:rsid w:val="1FA2B89C"/>
    <w:rsid w:val="1FC0B533"/>
    <w:rsid w:val="1FDA8232"/>
    <w:rsid w:val="20706E38"/>
    <w:rsid w:val="20790B65"/>
    <w:rsid w:val="207EA9C9"/>
    <w:rsid w:val="2086A3D0"/>
    <w:rsid w:val="2095DF88"/>
    <w:rsid w:val="20BE6D23"/>
    <w:rsid w:val="20E62C4B"/>
    <w:rsid w:val="211506EC"/>
    <w:rsid w:val="215BD451"/>
    <w:rsid w:val="216052C3"/>
    <w:rsid w:val="216E8173"/>
    <w:rsid w:val="2195EFE5"/>
    <w:rsid w:val="21A221BB"/>
    <w:rsid w:val="21C5F871"/>
    <w:rsid w:val="21CE8A39"/>
    <w:rsid w:val="21D9DCED"/>
    <w:rsid w:val="21E237DD"/>
    <w:rsid w:val="22227431"/>
    <w:rsid w:val="222A87B5"/>
    <w:rsid w:val="225E18B2"/>
    <w:rsid w:val="22940E69"/>
    <w:rsid w:val="22A32CD8"/>
    <w:rsid w:val="22C79677"/>
    <w:rsid w:val="22CABEDE"/>
    <w:rsid w:val="22EB430C"/>
    <w:rsid w:val="2305D728"/>
    <w:rsid w:val="2330F1F3"/>
    <w:rsid w:val="234516D2"/>
    <w:rsid w:val="236BA90F"/>
    <w:rsid w:val="2391C1B8"/>
    <w:rsid w:val="23E9F115"/>
    <w:rsid w:val="24010CC3"/>
    <w:rsid w:val="2415AE7D"/>
    <w:rsid w:val="243054A0"/>
    <w:rsid w:val="246703D0"/>
    <w:rsid w:val="2471794F"/>
    <w:rsid w:val="2486ADFD"/>
    <w:rsid w:val="2516E442"/>
    <w:rsid w:val="2539D28E"/>
    <w:rsid w:val="2580D927"/>
    <w:rsid w:val="258613F8"/>
    <w:rsid w:val="258EA071"/>
    <w:rsid w:val="25A70C3A"/>
    <w:rsid w:val="25FF3739"/>
    <w:rsid w:val="25FFB1F2"/>
    <w:rsid w:val="260BD4BB"/>
    <w:rsid w:val="2613D247"/>
    <w:rsid w:val="263A1904"/>
    <w:rsid w:val="26663E63"/>
    <w:rsid w:val="266D181B"/>
    <w:rsid w:val="267C1DFB"/>
    <w:rsid w:val="268C3015"/>
    <w:rsid w:val="26B33488"/>
    <w:rsid w:val="26F76B2E"/>
    <w:rsid w:val="274D4F3F"/>
    <w:rsid w:val="27677F8C"/>
    <w:rsid w:val="27762323"/>
    <w:rsid w:val="27778A26"/>
    <w:rsid w:val="278561B3"/>
    <w:rsid w:val="27AA59EB"/>
    <w:rsid w:val="28035F2A"/>
    <w:rsid w:val="280CEBF7"/>
    <w:rsid w:val="2877228D"/>
    <w:rsid w:val="2891B5B5"/>
    <w:rsid w:val="28A33BD7"/>
    <w:rsid w:val="28A9C91E"/>
    <w:rsid w:val="28BDB4BA"/>
    <w:rsid w:val="28CCF418"/>
    <w:rsid w:val="28D40372"/>
    <w:rsid w:val="28E91FA0"/>
    <w:rsid w:val="2901E5CC"/>
    <w:rsid w:val="290688A8"/>
    <w:rsid w:val="291DF881"/>
    <w:rsid w:val="292ADAA9"/>
    <w:rsid w:val="293631B5"/>
    <w:rsid w:val="2936D7FB"/>
    <w:rsid w:val="29649585"/>
    <w:rsid w:val="2964DFCE"/>
    <w:rsid w:val="29A3F448"/>
    <w:rsid w:val="29B9335E"/>
    <w:rsid w:val="29C2DB7F"/>
    <w:rsid w:val="2A2D8616"/>
    <w:rsid w:val="2A59851B"/>
    <w:rsid w:val="2A5E1587"/>
    <w:rsid w:val="2A7308AB"/>
    <w:rsid w:val="2AD2A85C"/>
    <w:rsid w:val="2B01ED0D"/>
    <w:rsid w:val="2B232317"/>
    <w:rsid w:val="2B3FDD47"/>
    <w:rsid w:val="2B4BFECF"/>
    <w:rsid w:val="2B86A5AB"/>
    <w:rsid w:val="2B8A3DC3"/>
    <w:rsid w:val="2BB290FA"/>
    <w:rsid w:val="2BBF9DDA"/>
    <w:rsid w:val="2BC95677"/>
    <w:rsid w:val="2BF52663"/>
    <w:rsid w:val="2C0ECD21"/>
    <w:rsid w:val="2C8AC466"/>
    <w:rsid w:val="2C95ECD1"/>
    <w:rsid w:val="2CAD8B26"/>
    <w:rsid w:val="2CDCCD12"/>
    <w:rsid w:val="2D037988"/>
    <w:rsid w:val="2D21353D"/>
    <w:rsid w:val="2D21F627"/>
    <w:rsid w:val="2D2D26C9"/>
    <w:rsid w:val="2D417E95"/>
    <w:rsid w:val="2DA8B144"/>
    <w:rsid w:val="2DE9A8FD"/>
    <w:rsid w:val="2E1A5439"/>
    <w:rsid w:val="2E2694C7"/>
    <w:rsid w:val="2E33780F"/>
    <w:rsid w:val="2E3D2688"/>
    <w:rsid w:val="2E93E4E4"/>
    <w:rsid w:val="2E9F49E9"/>
    <w:rsid w:val="2ECEF40D"/>
    <w:rsid w:val="2F3F0DD1"/>
    <w:rsid w:val="2F4E8E6A"/>
    <w:rsid w:val="2F77A96B"/>
    <w:rsid w:val="2F7F4FCE"/>
    <w:rsid w:val="2F8A0856"/>
    <w:rsid w:val="2FA39AD6"/>
    <w:rsid w:val="2FB10153"/>
    <w:rsid w:val="2FC67992"/>
    <w:rsid w:val="2FCA90B4"/>
    <w:rsid w:val="2FCCDE0D"/>
    <w:rsid w:val="2FD0EEA1"/>
    <w:rsid w:val="2FD66FFB"/>
    <w:rsid w:val="2FF50557"/>
    <w:rsid w:val="301F3BC5"/>
    <w:rsid w:val="30534BBC"/>
    <w:rsid w:val="306470FE"/>
    <w:rsid w:val="308083B4"/>
    <w:rsid w:val="30E120F4"/>
    <w:rsid w:val="3113CD8E"/>
    <w:rsid w:val="3134317F"/>
    <w:rsid w:val="31666E56"/>
    <w:rsid w:val="318F3F90"/>
    <w:rsid w:val="31A582F8"/>
    <w:rsid w:val="31BB0C26"/>
    <w:rsid w:val="31C0D896"/>
    <w:rsid w:val="31E29AF4"/>
    <w:rsid w:val="31E3D8D6"/>
    <w:rsid w:val="321D4B02"/>
    <w:rsid w:val="324521BC"/>
    <w:rsid w:val="326B3C76"/>
    <w:rsid w:val="326EF633"/>
    <w:rsid w:val="327EA1BD"/>
    <w:rsid w:val="328EA917"/>
    <w:rsid w:val="329D6B02"/>
    <w:rsid w:val="32B90BDD"/>
    <w:rsid w:val="32C14904"/>
    <w:rsid w:val="32CA0E60"/>
    <w:rsid w:val="32FA79BE"/>
    <w:rsid w:val="33460009"/>
    <w:rsid w:val="33477661"/>
    <w:rsid w:val="334C70D3"/>
    <w:rsid w:val="335FB25F"/>
    <w:rsid w:val="33C91BEB"/>
    <w:rsid w:val="33F5982E"/>
    <w:rsid w:val="341480CE"/>
    <w:rsid w:val="3463E4BB"/>
    <w:rsid w:val="34750CB2"/>
    <w:rsid w:val="34782689"/>
    <w:rsid w:val="34A297DF"/>
    <w:rsid w:val="34BFDC7A"/>
    <w:rsid w:val="34D8AF36"/>
    <w:rsid w:val="35087F43"/>
    <w:rsid w:val="3510B4A7"/>
    <w:rsid w:val="3532408B"/>
    <w:rsid w:val="3569DACA"/>
    <w:rsid w:val="35743555"/>
    <w:rsid w:val="35995E1D"/>
    <w:rsid w:val="35FFB51C"/>
    <w:rsid w:val="3608957D"/>
    <w:rsid w:val="361CF262"/>
    <w:rsid w:val="3633E1B8"/>
    <w:rsid w:val="363CC24F"/>
    <w:rsid w:val="363E7951"/>
    <w:rsid w:val="365EE6DD"/>
    <w:rsid w:val="368170C6"/>
    <w:rsid w:val="36A55733"/>
    <w:rsid w:val="36ABBBB7"/>
    <w:rsid w:val="36C8D86D"/>
    <w:rsid w:val="36DA05F2"/>
    <w:rsid w:val="3707ED27"/>
    <w:rsid w:val="370E235D"/>
    <w:rsid w:val="371005B6"/>
    <w:rsid w:val="371629ED"/>
    <w:rsid w:val="373890D1"/>
    <w:rsid w:val="375212E0"/>
    <w:rsid w:val="375E7ADB"/>
    <w:rsid w:val="379B857D"/>
    <w:rsid w:val="37AD308E"/>
    <w:rsid w:val="382A4DAA"/>
    <w:rsid w:val="382CB691"/>
    <w:rsid w:val="38ABB820"/>
    <w:rsid w:val="38B29532"/>
    <w:rsid w:val="38DBC60A"/>
    <w:rsid w:val="38EDE341"/>
    <w:rsid w:val="3922CA16"/>
    <w:rsid w:val="3948B850"/>
    <w:rsid w:val="394FE20B"/>
    <w:rsid w:val="3957AAD7"/>
    <w:rsid w:val="397895E0"/>
    <w:rsid w:val="397F7AB9"/>
    <w:rsid w:val="39FC266B"/>
    <w:rsid w:val="3A2ABEC2"/>
    <w:rsid w:val="3A2E5DAD"/>
    <w:rsid w:val="3A582642"/>
    <w:rsid w:val="3A8C6609"/>
    <w:rsid w:val="3A8E9D85"/>
    <w:rsid w:val="3AA6857C"/>
    <w:rsid w:val="3AB78477"/>
    <w:rsid w:val="3AFB7476"/>
    <w:rsid w:val="3B00C7EC"/>
    <w:rsid w:val="3B08E8E1"/>
    <w:rsid w:val="3B14A4CD"/>
    <w:rsid w:val="3B1B4B1A"/>
    <w:rsid w:val="3B243F57"/>
    <w:rsid w:val="3B40E92C"/>
    <w:rsid w:val="3B76F363"/>
    <w:rsid w:val="3B9EDD53"/>
    <w:rsid w:val="3BCECF22"/>
    <w:rsid w:val="3BDA5CC2"/>
    <w:rsid w:val="3BEB24A3"/>
    <w:rsid w:val="3C0C5BA6"/>
    <w:rsid w:val="3C1366CC"/>
    <w:rsid w:val="3C1AE18D"/>
    <w:rsid w:val="3C2A6DE6"/>
    <w:rsid w:val="3C345F0E"/>
    <w:rsid w:val="3C366BFE"/>
    <w:rsid w:val="3C441D91"/>
    <w:rsid w:val="3C6EF6A0"/>
    <w:rsid w:val="3C77A2DC"/>
    <w:rsid w:val="3DC375AC"/>
    <w:rsid w:val="3DD7B628"/>
    <w:rsid w:val="3DF384D2"/>
    <w:rsid w:val="3E12338C"/>
    <w:rsid w:val="3E25C8FD"/>
    <w:rsid w:val="3E8C2E4A"/>
    <w:rsid w:val="3E9C4556"/>
    <w:rsid w:val="3ED4F7C7"/>
    <w:rsid w:val="3EDB5ED6"/>
    <w:rsid w:val="3EF61ACA"/>
    <w:rsid w:val="3F6F1DC9"/>
    <w:rsid w:val="3F7640DC"/>
    <w:rsid w:val="3F9FDAB9"/>
    <w:rsid w:val="3FBCD372"/>
    <w:rsid w:val="3FC2D3A6"/>
    <w:rsid w:val="400C2E1F"/>
    <w:rsid w:val="4020F009"/>
    <w:rsid w:val="40722B16"/>
    <w:rsid w:val="4082C94D"/>
    <w:rsid w:val="4088E9BE"/>
    <w:rsid w:val="40BEBCA6"/>
    <w:rsid w:val="40C43F20"/>
    <w:rsid w:val="40D5FFC6"/>
    <w:rsid w:val="40E6D7EF"/>
    <w:rsid w:val="40FA22D3"/>
    <w:rsid w:val="40FFBC47"/>
    <w:rsid w:val="410AEE2A"/>
    <w:rsid w:val="413E6231"/>
    <w:rsid w:val="41489031"/>
    <w:rsid w:val="414A5549"/>
    <w:rsid w:val="41522B3C"/>
    <w:rsid w:val="41761943"/>
    <w:rsid w:val="41E5A55C"/>
    <w:rsid w:val="41F631D8"/>
    <w:rsid w:val="42010626"/>
    <w:rsid w:val="42064238"/>
    <w:rsid w:val="42455A3B"/>
    <w:rsid w:val="424DBAD5"/>
    <w:rsid w:val="4256A94B"/>
    <w:rsid w:val="439914FB"/>
    <w:rsid w:val="43993EB6"/>
    <w:rsid w:val="43EC4E82"/>
    <w:rsid w:val="44196E75"/>
    <w:rsid w:val="4422AA18"/>
    <w:rsid w:val="443170CE"/>
    <w:rsid w:val="447B791A"/>
    <w:rsid w:val="4480E10C"/>
    <w:rsid w:val="44BB4E50"/>
    <w:rsid w:val="44BBF7D0"/>
    <w:rsid w:val="44D62984"/>
    <w:rsid w:val="450C3953"/>
    <w:rsid w:val="45371814"/>
    <w:rsid w:val="458E2071"/>
    <w:rsid w:val="45BACCBC"/>
    <w:rsid w:val="45CEC8E6"/>
    <w:rsid w:val="45E24942"/>
    <w:rsid w:val="461E4651"/>
    <w:rsid w:val="462E668E"/>
    <w:rsid w:val="4664F3B5"/>
    <w:rsid w:val="46D29155"/>
    <w:rsid w:val="46FAFB76"/>
    <w:rsid w:val="4706A455"/>
    <w:rsid w:val="47533FE7"/>
    <w:rsid w:val="479B4C12"/>
    <w:rsid w:val="47AC0922"/>
    <w:rsid w:val="47CCEA07"/>
    <w:rsid w:val="47F6698B"/>
    <w:rsid w:val="480F122B"/>
    <w:rsid w:val="483C31E6"/>
    <w:rsid w:val="484E2B6A"/>
    <w:rsid w:val="486F7A7B"/>
    <w:rsid w:val="48ABF09F"/>
    <w:rsid w:val="48BA795E"/>
    <w:rsid w:val="48EE0A5B"/>
    <w:rsid w:val="492EF6E8"/>
    <w:rsid w:val="4954A644"/>
    <w:rsid w:val="495FEA1A"/>
    <w:rsid w:val="497286C5"/>
    <w:rsid w:val="4979B9DC"/>
    <w:rsid w:val="498604D4"/>
    <w:rsid w:val="4987CC92"/>
    <w:rsid w:val="498E9DC5"/>
    <w:rsid w:val="499C9477"/>
    <w:rsid w:val="49BB8802"/>
    <w:rsid w:val="49E85A6E"/>
    <w:rsid w:val="4A0023E9"/>
    <w:rsid w:val="4AB334A3"/>
    <w:rsid w:val="4ABA2D0B"/>
    <w:rsid w:val="4AF076A5"/>
    <w:rsid w:val="4B1C1361"/>
    <w:rsid w:val="4B39AC94"/>
    <w:rsid w:val="4B49D1CD"/>
    <w:rsid w:val="4B59DD51"/>
    <w:rsid w:val="4B6854CB"/>
    <w:rsid w:val="4B69424B"/>
    <w:rsid w:val="4B805163"/>
    <w:rsid w:val="4B90D2C6"/>
    <w:rsid w:val="4BD48C5F"/>
    <w:rsid w:val="4BF72D9E"/>
    <w:rsid w:val="4C2BE878"/>
    <w:rsid w:val="4C2FEF79"/>
    <w:rsid w:val="4C6ADA25"/>
    <w:rsid w:val="4C83852A"/>
    <w:rsid w:val="4C8C4706"/>
    <w:rsid w:val="4C9940A9"/>
    <w:rsid w:val="4C999095"/>
    <w:rsid w:val="4C9E900B"/>
    <w:rsid w:val="4CB7A792"/>
    <w:rsid w:val="4CB7E3C2"/>
    <w:rsid w:val="4CBD7AAF"/>
    <w:rsid w:val="4CDA5970"/>
    <w:rsid w:val="4CE5ACBB"/>
    <w:rsid w:val="4CE7CA83"/>
    <w:rsid w:val="4CF964EE"/>
    <w:rsid w:val="4DC1E87E"/>
    <w:rsid w:val="4DE6B919"/>
    <w:rsid w:val="4DF14813"/>
    <w:rsid w:val="4E0F5494"/>
    <w:rsid w:val="4E4AA386"/>
    <w:rsid w:val="4E99E96E"/>
    <w:rsid w:val="4EA7276B"/>
    <w:rsid w:val="4EA918C0"/>
    <w:rsid w:val="4F12D6A8"/>
    <w:rsid w:val="4F199387"/>
    <w:rsid w:val="4F199953"/>
    <w:rsid w:val="4F3CC563"/>
    <w:rsid w:val="4F7C8643"/>
    <w:rsid w:val="4FA10722"/>
    <w:rsid w:val="4FB6E42D"/>
    <w:rsid w:val="4FB7AE11"/>
    <w:rsid w:val="4FBE110E"/>
    <w:rsid w:val="4FC451C3"/>
    <w:rsid w:val="501F6B45"/>
    <w:rsid w:val="503689B8"/>
    <w:rsid w:val="507B40C1"/>
    <w:rsid w:val="5084AEAC"/>
    <w:rsid w:val="509B4093"/>
    <w:rsid w:val="50EE1723"/>
    <w:rsid w:val="50F8CD42"/>
    <w:rsid w:val="51003446"/>
    <w:rsid w:val="512E111B"/>
    <w:rsid w:val="51419E68"/>
    <w:rsid w:val="5157D57C"/>
    <w:rsid w:val="517F2B5D"/>
    <w:rsid w:val="518D3192"/>
    <w:rsid w:val="51B1922B"/>
    <w:rsid w:val="51C073B5"/>
    <w:rsid w:val="51C19792"/>
    <w:rsid w:val="51C46B31"/>
    <w:rsid w:val="51CE54CF"/>
    <w:rsid w:val="51D7201D"/>
    <w:rsid w:val="51DD6B55"/>
    <w:rsid w:val="5207C5C6"/>
    <w:rsid w:val="528928BF"/>
    <w:rsid w:val="5298AF74"/>
    <w:rsid w:val="52A2D0D5"/>
    <w:rsid w:val="52C4CFDB"/>
    <w:rsid w:val="52D2D55E"/>
    <w:rsid w:val="52DC882C"/>
    <w:rsid w:val="53171000"/>
    <w:rsid w:val="5318C9DD"/>
    <w:rsid w:val="532B3383"/>
    <w:rsid w:val="53353122"/>
    <w:rsid w:val="535CDAD5"/>
    <w:rsid w:val="53DA4954"/>
    <w:rsid w:val="54093D28"/>
    <w:rsid w:val="542FEE55"/>
    <w:rsid w:val="549F4671"/>
    <w:rsid w:val="54A186B0"/>
    <w:rsid w:val="54F8AB36"/>
    <w:rsid w:val="55050AC8"/>
    <w:rsid w:val="551C25A6"/>
    <w:rsid w:val="55469A89"/>
    <w:rsid w:val="555A33F5"/>
    <w:rsid w:val="558C03DA"/>
    <w:rsid w:val="55A50D89"/>
    <w:rsid w:val="55AC06E7"/>
    <w:rsid w:val="55E93C8D"/>
    <w:rsid w:val="562C6CEA"/>
    <w:rsid w:val="563B16D2"/>
    <w:rsid w:val="563C57A1"/>
    <w:rsid w:val="565EB3AF"/>
    <w:rsid w:val="56D9F912"/>
    <w:rsid w:val="57384C1C"/>
    <w:rsid w:val="5745AAE8"/>
    <w:rsid w:val="577716F0"/>
    <w:rsid w:val="57C34FB5"/>
    <w:rsid w:val="57E61E38"/>
    <w:rsid w:val="57FA9669"/>
    <w:rsid w:val="5801B071"/>
    <w:rsid w:val="5859C576"/>
    <w:rsid w:val="58690A7F"/>
    <w:rsid w:val="58707FF9"/>
    <w:rsid w:val="58D375E7"/>
    <w:rsid w:val="592852A4"/>
    <w:rsid w:val="59502DE4"/>
    <w:rsid w:val="59535EBA"/>
    <w:rsid w:val="5954FBDF"/>
    <w:rsid w:val="5958112C"/>
    <w:rsid w:val="59640DAC"/>
    <w:rsid w:val="5984D3F8"/>
    <w:rsid w:val="598BCD44"/>
    <w:rsid w:val="5992A824"/>
    <w:rsid w:val="599666CA"/>
    <w:rsid w:val="59A79CBB"/>
    <w:rsid w:val="5A0627B7"/>
    <w:rsid w:val="5A225708"/>
    <w:rsid w:val="5A3806A2"/>
    <w:rsid w:val="5A42EBFB"/>
    <w:rsid w:val="5A4C3F5A"/>
    <w:rsid w:val="5AAEBF5C"/>
    <w:rsid w:val="5B32372B"/>
    <w:rsid w:val="5B4B7B3E"/>
    <w:rsid w:val="5B7FC0F4"/>
    <w:rsid w:val="5B855934"/>
    <w:rsid w:val="5BA6595E"/>
    <w:rsid w:val="5BC99900"/>
    <w:rsid w:val="5C048B27"/>
    <w:rsid w:val="5C6C6D9E"/>
    <w:rsid w:val="5C7C908B"/>
    <w:rsid w:val="5C854089"/>
    <w:rsid w:val="5CCE078C"/>
    <w:rsid w:val="5D31D45D"/>
    <w:rsid w:val="5D409B6C"/>
    <w:rsid w:val="5D5C9389"/>
    <w:rsid w:val="5DA98A4A"/>
    <w:rsid w:val="5DC0AF5C"/>
    <w:rsid w:val="5E1D3FDE"/>
    <w:rsid w:val="5E476986"/>
    <w:rsid w:val="5E5FC03A"/>
    <w:rsid w:val="5E60909D"/>
    <w:rsid w:val="5E7867D1"/>
    <w:rsid w:val="5E993F92"/>
    <w:rsid w:val="5EB0CEAA"/>
    <w:rsid w:val="5ECDA4BE"/>
    <w:rsid w:val="5F16D2F1"/>
    <w:rsid w:val="5F1F40C3"/>
    <w:rsid w:val="5FAD237F"/>
    <w:rsid w:val="5FBCE9BF"/>
    <w:rsid w:val="5FD26F3B"/>
    <w:rsid w:val="600CC256"/>
    <w:rsid w:val="60122481"/>
    <w:rsid w:val="603FB2C2"/>
    <w:rsid w:val="605FA98A"/>
    <w:rsid w:val="6091447B"/>
    <w:rsid w:val="609784EB"/>
    <w:rsid w:val="6099FF53"/>
    <w:rsid w:val="60A93942"/>
    <w:rsid w:val="60BFA3F8"/>
    <w:rsid w:val="60CF6CE6"/>
    <w:rsid w:val="60FAD986"/>
    <w:rsid w:val="61791BD4"/>
    <w:rsid w:val="618ACBE0"/>
    <w:rsid w:val="61A9D6AD"/>
    <w:rsid w:val="61DB1A46"/>
    <w:rsid w:val="621A2CEF"/>
    <w:rsid w:val="622DC5B0"/>
    <w:rsid w:val="62318218"/>
    <w:rsid w:val="6232BAD4"/>
    <w:rsid w:val="626DF509"/>
    <w:rsid w:val="62BDB028"/>
    <w:rsid w:val="62C6714B"/>
    <w:rsid w:val="62D39A8B"/>
    <w:rsid w:val="62E2B5C8"/>
    <w:rsid w:val="62EC1935"/>
    <w:rsid w:val="62FBDE25"/>
    <w:rsid w:val="63013267"/>
    <w:rsid w:val="63074C33"/>
    <w:rsid w:val="63137A6F"/>
    <w:rsid w:val="63209676"/>
    <w:rsid w:val="632A69C5"/>
    <w:rsid w:val="632B8849"/>
    <w:rsid w:val="63556EEA"/>
    <w:rsid w:val="635EA2A8"/>
    <w:rsid w:val="63751D57"/>
    <w:rsid w:val="63F93D03"/>
    <w:rsid w:val="642DC816"/>
    <w:rsid w:val="6430D866"/>
    <w:rsid w:val="6446CC1D"/>
    <w:rsid w:val="644BE722"/>
    <w:rsid w:val="6484BE33"/>
    <w:rsid w:val="6497AE86"/>
    <w:rsid w:val="64BC3AB0"/>
    <w:rsid w:val="64C4EEA0"/>
    <w:rsid w:val="64C7A26A"/>
    <w:rsid w:val="64EFBE0E"/>
    <w:rsid w:val="6517E676"/>
    <w:rsid w:val="65234D47"/>
    <w:rsid w:val="65349B1B"/>
    <w:rsid w:val="65558AEC"/>
    <w:rsid w:val="6564B59E"/>
    <w:rsid w:val="65A51FF3"/>
    <w:rsid w:val="65C63281"/>
    <w:rsid w:val="65CDF480"/>
    <w:rsid w:val="660BBFBF"/>
    <w:rsid w:val="660C1F82"/>
    <w:rsid w:val="6663290B"/>
    <w:rsid w:val="666F6432"/>
    <w:rsid w:val="669AFF7E"/>
    <w:rsid w:val="669F4D06"/>
    <w:rsid w:val="66A02009"/>
    <w:rsid w:val="66DDCD68"/>
    <w:rsid w:val="67136DBF"/>
    <w:rsid w:val="6717ADF5"/>
    <w:rsid w:val="6718F5E8"/>
    <w:rsid w:val="6724A896"/>
    <w:rsid w:val="67489A34"/>
    <w:rsid w:val="674F8468"/>
    <w:rsid w:val="67A153EF"/>
    <w:rsid w:val="67B370C3"/>
    <w:rsid w:val="67C98D9D"/>
    <w:rsid w:val="67FBC0B6"/>
    <w:rsid w:val="680781C1"/>
    <w:rsid w:val="6835D7F6"/>
    <w:rsid w:val="684C7233"/>
    <w:rsid w:val="689E0671"/>
    <w:rsid w:val="68BED281"/>
    <w:rsid w:val="68DBB713"/>
    <w:rsid w:val="68EB54C9"/>
    <w:rsid w:val="6902FAB8"/>
    <w:rsid w:val="69083B9E"/>
    <w:rsid w:val="691E6198"/>
    <w:rsid w:val="694F4124"/>
    <w:rsid w:val="6951351B"/>
    <w:rsid w:val="696EC060"/>
    <w:rsid w:val="697AA4CA"/>
    <w:rsid w:val="6987BC2A"/>
    <w:rsid w:val="69979117"/>
    <w:rsid w:val="69A142A8"/>
    <w:rsid w:val="69AD46A9"/>
    <w:rsid w:val="69B1342D"/>
    <w:rsid w:val="69CEF300"/>
    <w:rsid w:val="69D1A857"/>
    <w:rsid w:val="6A154083"/>
    <w:rsid w:val="6A236724"/>
    <w:rsid w:val="6A32211E"/>
    <w:rsid w:val="6A6245F9"/>
    <w:rsid w:val="6A68D1FD"/>
    <w:rsid w:val="6A84978F"/>
    <w:rsid w:val="6A9A38D7"/>
    <w:rsid w:val="6AB27D86"/>
    <w:rsid w:val="6AECBF67"/>
    <w:rsid w:val="6B11CC6E"/>
    <w:rsid w:val="6B18CCF1"/>
    <w:rsid w:val="6B1901C7"/>
    <w:rsid w:val="6B6851DD"/>
    <w:rsid w:val="6BE80300"/>
    <w:rsid w:val="6C33026D"/>
    <w:rsid w:val="6C581E48"/>
    <w:rsid w:val="6C65F575"/>
    <w:rsid w:val="6C75A640"/>
    <w:rsid w:val="6CA7199D"/>
    <w:rsid w:val="6CCF31D9"/>
    <w:rsid w:val="6CD71F5E"/>
    <w:rsid w:val="6CE50BFF"/>
    <w:rsid w:val="6CF4FF11"/>
    <w:rsid w:val="6D2223A5"/>
    <w:rsid w:val="6D4C1D72"/>
    <w:rsid w:val="6DBDD848"/>
    <w:rsid w:val="6DCED2CE"/>
    <w:rsid w:val="6DDCB22C"/>
    <w:rsid w:val="6DF1D2BB"/>
    <w:rsid w:val="6DF4648C"/>
    <w:rsid w:val="6E0BDE7D"/>
    <w:rsid w:val="6E0C6B75"/>
    <w:rsid w:val="6E0F565A"/>
    <w:rsid w:val="6E31C269"/>
    <w:rsid w:val="6E43B2AE"/>
    <w:rsid w:val="6E9F03D4"/>
    <w:rsid w:val="6EA83F7F"/>
    <w:rsid w:val="6EBD9ECC"/>
    <w:rsid w:val="6F217259"/>
    <w:rsid w:val="6F3BBFFE"/>
    <w:rsid w:val="6F5D4F3A"/>
    <w:rsid w:val="6F5DD105"/>
    <w:rsid w:val="6FAB26BB"/>
    <w:rsid w:val="6FC726BA"/>
    <w:rsid w:val="70192018"/>
    <w:rsid w:val="701B6DA9"/>
    <w:rsid w:val="702B1D71"/>
    <w:rsid w:val="705D2DFD"/>
    <w:rsid w:val="706B2860"/>
    <w:rsid w:val="706B7A50"/>
    <w:rsid w:val="70849A76"/>
    <w:rsid w:val="70A27583"/>
    <w:rsid w:val="70BA5005"/>
    <w:rsid w:val="70E4171F"/>
    <w:rsid w:val="70EBCD28"/>
    <w:rsid w:val="70F7EA6E"/>
    <w:rsid w:val="7127A330"/>
    <w:rsid w:val="71396698"/>
    <w:rsid w:val="716DB2FE"/>
    <w:rsid w:val="71766C70"/>
    <w:rsid w:val="71A2A2FC"/>
    <w:rsid w:val="71C52195"/>
    <w:rsid w:val="71D81702"/>
    <w:rsid w:val="71E0ADB9"/>
    <w:rsid w:val="721FC6B9"/>
    <w:rsid w:val="72562066"/>
    <w:rsid w:val="725BCF8B"/>
    <w:rsid w:val="727A572D"/>
    <w:rsid w:val="727A7965"/>
    <w:rsid w:val="72AAFC10"/>
    <w:rsid w:val="72D536F9"/>
    <w:rsid w:val="72E4D449"/>
    <w:rsid w:val="72EE95BC"/>
    <w:rsid w:val="7314A699"/>
    <w:rsid w:val="7325CD43"/>
    <w:rsid w:val="73530E6B"/>
    <w:rsid w:val="737B484F"/>
    <w:rsid w:val="7388BA8D"/>
    <w:rsid w:val="7390A039"/>
    <w:rsid w:val="73A50041"/>
    <w:rsid w:val="73E6F68D"/>
    <w:rsid w:val="74273448"/>
    <w:rsid w:val="74D8C6E9"/>
    <w:rsid w:val="74E03E2E"/>
    <w:rsid w:val="74EEDECC"/>
    <w:rsid w:val="74FDD357"/>
    <w:rsid w:val="751718B0"/>
    <w:rsid w:val="752436B9"/>
    <w:rsid w:val="75A6289B"/>
    <w:rsid w:val="75B0DC29"/>
    <w:rsid w:val="75BF3E4B"/>
    <w:rsid w:val="75D02780"/>
    <w:rsid w:val="75EA9F76"/>
    <w:rsid w:val="760F3C59"/>
    <w:rsid w:val="76168903"/>
    <w:rsid w:val="76417129"/>
    <w:rsid w:val="765DF860"/>
    <w:rsid w:val="766440BA"/>
    <w:rsid w:val="768C4473"/>
    <w:rsid w:val="76AF8854"/>
    <w:rsid w:val="76DD1B49"/>
    <w:rsid w:val="774809BC"/>
    <w:rsid w:val="77509D51"/>
    <w:rsid w:val="778701CA"/>
    <w:rsid w:val="7788F3D5"/>
    <w:rsid w:val="778A2D44"/>
    <w:rsid w:val="77AE3778"/>
    <w:rsid w:val="77F6CCD7"/>
    <w:rsid w:val="77FC13AA"/>
    <w:rsid w:val="780E9367"/>
    <w:rsid w:val="78892D0E"/>
    <w:rsid w:val="78992F10"/>
    <w:rsid w:val="78AB5EDE"/>
    <w:rsid w:val="78BA67B0"/>
    <w:rsid w:val="78DFE100"/>
    <w:rsid w:val="7923E42E"/>
    <w:rsid w:val="79267786"/>
    <w:rsid w:val="795DF614"/>
    <w:rsid w:val="7976900D"/>
    <w:rsid w:val="79C24FEF"/>
    <w:rsid w:val="79DCFB51"/>
    <w:rsid w:val="79F7369D"/>
    <w:rsid w:val="7A04E4D6"/>
    <w:rsid w:val="7A14BC0B"/>
    <w:rsid w:val="7A3FFF84"/>
    <w:rsid w:val="7AA6A4BF"/>
    <w:rsid w:val="7AF177E4"/>
    <w:rsid w:val="7B1108DA"/>
    <w:rsid w:val="7B54F53E"/>
    <w:rsid w:val="7B60DE8B"/>
    <w:rsid w:val="7B84DCEE"/>
    <w:rsid w:val="7BB1DCD2"/>
    <w:rsid w:val="7BB89C55"/>
    <w:rsid w:val="7C00C625"/>
    <w:rsid w:val="7C1C3A94"/>
    <w:rsid w:val="7C4EB652"/>
    <w:rsid w:val="7C8D4845"/>
    <w:rsid w:val="7CC14C5E"/>
    <w:rsid w:val="7CCA3DFA"/>
    <w:rsid w:val="7CCC7629"/>
    <w:rsid w:val="7D366F89"/>
    <w:rsid w:val="7D6EF169"/>
    <w:rsid w:val="7DCAC49D"/>
    <w:rsid w:val="7DE00056"/>
    <w:rsid w:val="7DED0776"/>
    <w:rsid w:val="7DF5CBFC"/>
    <w:rsid w:val="7DF90E1D"/>
    <w:rsid w:val="7DFE918E"/>
    <w:rsid w:val="7E1FD726"/>
    <w:rsid w:val="7E2918A6"/>
    <w:rsid w:val="7E336DA9"/>
    <w:rsid w:val="7E498AF6"/>
    <w:rsid w:val="7E4D9DF6"/>
    <w:rsid w:val="7E4E4663"/>
    <w:rsid w:val="7E5D1CBF"/>
    <w:rsid w:val="7E7735A8"/>
    <w:rsid w:val="7E812F30"/>
    <w:rsid w:val="7EF52B34"/>
    <w:rsid w:val="7F076030"/>
    <w:rsid w:val="7F29A934"/>
    <w:rsid w:val="7F78A79D"/>
    <w:rsid w:val="7F8F480C"/>
    <w:rsid w:val="7FABEBCD"/>
    <w:rsid w:val="7FC5E46B"/>
    <w:rsid w:val="7FC605D0"/>
    <w:rsid w:val="7FCF3E0A"/>
    <w:rsid w:val="7FE7491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F480C"/>
  <w15:chartTrackingRefBased/>
  <w15:docId w15:val="{932502AD-3CDA-4B8A-AC9F-CAFBA2C8D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ui-provider">
    <w:name w:val="ui-provider"/>
    <w:basedOn w:val="Numatytasispastraiposriftas"/>
    <w:rsid w:val="00B03BD2"/>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saitas">
    <w:name w:val="Hyperlink"/>
    <w:basedOn w:val="Numatytasispastraiposriftas"/>
    <w:uiPriority w:val="99"/>
    <w:unhideWhenUsed/>
    <w:rPr>
      <w:color w:val="0563C1" w:themeColor="hyperlink"/>
      <w:u w:val="single"/>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Pataisymai">
    <w:name w:val="Revision"/>
    <w:hidden/>
    <w:uiPriority w:val="99"/>
    <w:semiHidden/>
    <w:rsid w:val="00A30B8B"/>
    <w:pPr>
      <w:spacing w:after="0" w:line="240" w:lineRule="auto"/>
    </w:pPr>
  </w:style>
  <w:style w:type="paragraph" w:styleId="Komentarotema">
    <w:name w:val="annotation subject"/>
    <w:basedOn w:val="Komentarotekstas"/>
    <w:next w:val="Komentarotekstas"/>
    <w:link w:val="KomentarotemaDiagrama"/>
    <w:uiPriority w:val="99"/>
    <w:semiHidden/>
    <w:unhideWhenUsed/>
    <w:rsid w:val="00497251"/>
    <w:rPr>
      <w:b/>
      <w:bCs/>
    </w:rPr>
  </w:style>
  <w:style w:type="character" w:customStyle="1" w:styleId="KomentarotemaDiagrama">
    <w:name w:val="Komentaro tema Diagrama"/>
    <w:basedOn w:val="KomentarotekstasDiagrama"/>
    <w:link w:val="Komentarotema"/>
    <w:uiPriority w:val="99"/>
    <w:semiHidden/>
    <w:rsid w:val="00497251"/>
    <w:rPr>
      <w:b/>
      <w:bCs/>
      <w:sz w:val="20"/>
      <w:szCs w:val="20"/>
    </w:rPr>
  </w:style>
  <w:style w:type="paragraph" w:styleId="Antrats">
    <w:name w:val="header"/>
    <w:basedOn w:val="prastasis"/>
    <w:link w:val="AntratsDiagrama"/>
    <w:uiPriority w:val="99"/>
    <w:unhideWhenUsed/>
    <w:rsid w:val="0015437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15437D"/>
  </w:style>
  <w:style w:type="paragraph" w:styleId="Porat">
    <w:name w:val="footer"/>
    <w:basedOn w:val="prastasis"/>
    <w:link w:val="PoratDiagrama"/>
    <w:uiPriority w:val="99"/>
    <w:unhideWhenUsed/>
    <w:rsid w:val="0015437D"/>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154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19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utsourcing xmlns="afc9b743-3fd2-4cd2-8f8f-14054e48b274">true</outsourcing>
    <Progress xmlns="afc9b743-3fd2-4cd2-8f8f-14054e48b274">Not Started</Progress>
    <owner xmlns="afc9b743-3fd2-4cd2-8f8f-14054e48b274">
      <UserInfo>
        <DisplayName/>
        <AccountId xsi:nil="true"/>
        <AccountType/>
      </UserInfo>
    </owner>
    <lcf76f155ced4ddcb4097134ff3c332f xmlns="afc9b743-3fd2-4cd2-8f8f-14054e48b274">
      <Terms xmlns="http://schemas.microsoft.com/office/infopath/2007/PartnerControls"/>
    </lcf76f155ced4ddcb4097134ff3c332f>
    <TaxCatchAll xmlns="b76a844d-d15d-452e-b76a-d726ef4d8e8f" xsi:nil="true"/>
    <Datareceived xmlns="afc9b743-3fd2-4cd2-8f8f-14054e48b274" xsi:nil="true"/>
    <entryintofoce xmlns="afc9b743-3fd2-4cd2-8f8f-14054e48b274" xsi:nil="true"/>
    <Responsibleperson xmlns="afc9b743-3fd2-4cd2-8f8f-14054e48b274">
      <UserInfo>
        <DisplayName/>
        <AccountId xsi:nil="true"/>
        <AccountType/>
      </UserInfo>
    </Responsibleperson>
    <applicable xmlns="afc9b743-3fd2-4cd2-8f8f-14054e48b274" xsi:nil="true"/>
    <comment xmlns="afc9b743-3fd2-4cd2-8f8f-14054e48b274" xsi:nil="true"/>
    <SharedWithUsers xmlns="b76a844d-d15d-452e-b76a-d726ef4d8e8f">
      <UserInfo>
        <DisplayName>Sole, Katrina</DisplayName>
        <AccountId>795</AccountId>
        <AccountType/>
      </UserInfo>
      <UserInfo>
        <DisplayName>Tumosaite, Ausra</DisplayName>
        <AccountId>796</AccountId>
        <AccountType/>
      </UserInfo>
      <UserInfo>
        <DisplayName>Mazeikyte, Agne</DisplayName>
        <AccountId>794</AccountId>
        <AccountType/>
      </UserInfo>
      <UserInfo>
        <DisplayName>Daujotas, Justas</DisplayName>
        <AccountId>754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3C7E06F7A2ED9E48BB6F393BF1857470" ma:contentTypeVersion="26" ma:contentTypeDescription="Kurkite naują dokumentą." ma:contentTypeScope="" ma:versionID="f87e3fb4635faf4b8f64c2b348042845">
  <xsd:schema xmlns:xsd="http://www.w3.org/2001/XMLSchema" xmlns:xs="http://www.w3.org/2001/XMLSchema" xmlns:p="http://schemas.microsoft.com/office/2006/metadata/properties" xmlns:ns2="afc9b743-3fd2-4cd2-8f8f-14054e48b274" xmlns:ns3="b76a844d-d15d-452e-b76a-d726ef4d8e8f" targetNamespace="http://schemas.microsoft.com/office/2006/metadata/properties" ma:root="true" ma:fieldsID="f4ed19758b7167822a36dcfcb083479d" ns2:_="" ns3:_="">
    <xsd:import namespace="afc9b743-3fd2-4cd2-8f8f-14054e48b274"/>
    <xsd:import namespace="b76a844d-d15d-452e-b76a-d726ef4d8e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entryintofoce" minOccurs="0"/>
                <xsd:element ref="ns2:owner" minOccurs="0"/>
                <xsd:element ref="ns2:outsourcing" minOccurs="0"/>
                <xsd:element ref="ns2:applicable" minOccurs="0"/>
                <xsd:element ref="ns2:Datareceived" minOccurs="0"/>
                <xsd:element ref="ns2:comment" minOccurs="0"/>
                <xsd:element ref="ns2:MediaServiceAutoKeyPoints" minOccurs="0"/>
                <xsd:element ref="ns2:MediaServiceKeyPoints" minOccurs="0"/>
                <xsd:element ref="ns2:MediaLengthInSeconds" minOccurs="0"/>
                <xsd:element ref="ns2:Responsibleperson" minOccurs="0"/>
                <xsd:element ref="ns2:Progres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b743-3fd2-4cd2-8f8f-14054e48b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entryintofoce" ma:index="18" nillable="true" ma:displayName="entry into foce" ma:format="DateOnly" ma:internalName="entryintofoce">
      <xsd:simpleType>
        <xsd:restriction base="dms:DateTime"/>
      </xsd:simpleType>
    </xsd:element>
    <xsd:element name="owner" ma:index="19" nillable="true" ma:displayName="owner" ma:format="Dropdown" ma:list="UserInfo" ma:SharePointGroup="0"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utsourcing" ma:index="20" nillable="true" ma:displayName="outsourcing" ma:default="1" ma:format="Dropdown" ma:internalName="outsourcing">
      <xsd:simpleType>
        <xsd:restriction base="dms:Boolean"/>
      </xsd:simpleType>
    </xsd:element>
    <xsd:element name="applicable" ma:index="21" nillable="true" ma:displayName="applicable" ma:format="Dropdown" ma:internalName="applicable">
      <xsd:simpleType>
        <xsd:restriction base="dms:Choice">
          <xsd:enumeration value="Baltic"/>
          <xsd:enumeration value="LT"/>
          <xsd:enumeration value="LV"/>
          <xsd:enumeration value="EE"/>
        </xsd:restriction>
      </xsd:simpleType>
    </xsd:element>
    <xsd:element name="Datareceived" ma:index="22" nillable="true" ma:displayName="Data received" ma:format="Dropdown" ma:internalName="Datareceived">
      <xsd:simpleType>
        <xsd:restriction base="dms:Text">
          <xsd:maxLength value="255"/>
        </xsd:restriction>
      </xsd:simpleType>
    </xsd:element>
    <xsd:element name="comment" ma:index="23" nillable="true" ma:displayName="comment" ma:format="Dropdown" ma:internalName="comment">
      <xsd:simpleType>
        <xsd:restriction base="dms:Note">
          <xsd:maxLength value="255"/>
        </xsd:restriction>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Responsibleperson" ma:index="2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gress" ma:index="28" nillable="true" ma:displayName="Progress" ma:default="Not Started" ma:internalName="Progress">
      <xsd:simpleType>
        <xsd:restriction base="dms:Unknown">
          <xsd:enumeration value="Uploaded"/>
          <xsd:enumeration value="In Progress"/>
          <xsd:enumeration value="Not Started"/>
        </xsd:restriction>
      </xsd:simpleType>
    </xsd:element>
    <xsd:element name="lcf76f155ced4ddcb4097134ff3c332f" ma:index="30" nillable="true" ma:taxonomy="true" ma:internalName="lcf76f155ced4ddcb4097134ff3c332f" ma:taxonomyFieldName="MediaServiceImageTags" ma:displayName="Vaizdų žymės" ma:readOnly="false" ma:fieldId="{5cf76f15-5ced-4ddc-b409-7134ff3c332f}" ma:taxonomyMulti="true" ma:sspId="4d3b2892-c523-4236-a773-87618c7390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6a844d-d15d-452e-b76a-d726ef4d8e8f"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31" nillable="true" ma:displayName="Taxonomy Catch All Column" ma:hidden="true" ma:list="{619187ad-682c-4746-9ced-c50da9999209}" ma:internalName="TaxCatchAll" ma:showField="CatchAllData" ma:web="b76a844d-d15d-452e-b76a-d726ef4d8e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C7D693-BBFF-4A36-A137-98D800CB3DD1}">
  <ds:schemaRefs>
    <ds:schemaRef ds:uri="http://schemas.microsoft.com/office/2006/metadata/properties"/>
    <ds:schemaRef ds:uri="http://schemas.microsoft.com/office/infopath/2007/PartnerControls"/>
    <ds:schemaRef ds:uri="afc9b743-3fd2-4cd2-8f8f-14054e48b274"/>
    <ds:schemaRef ds:uri="b76a844d-d15d-452e-b76a-d726ef4d8e8f"/>
  </ds:schemaRefs>
</ds:datastoreItem>
</file>

<file path=customXml/itemProps2.xml><?xml version="1.0" encoding="utf-8"?>
<ds:datastoreItem xmlns:ds="http://schemas.openxmlformats.org/officeDocument/2006/customXml" ds:itemID="{E467E704-9E5B-4074-9C57-4F350BB84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b743-3fd2-4cd2-8f8f-14054e48b274"/>
    <ds:schemaRef ds:uri="b76a844d-d15d-452e-b76a-d726ef4d8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3BB5F6-4F8E-4E4F-BFD4-B6C90D5FBB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1138</Words>
  <Characters>6488</Characters>
  <Application>Microsoft Office Word</Application>
  <DocSecurity>0</DocSecurity>
  <Lines>54</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Daujotas, Justas</dc:creator>
  <cp:keywords/>
  <dc:description/>
  <cp:lastModifiedBy>Simona Survilaitė</cp:lastModifiedBy>
  <cp:revision>14</cp:revision>
  <dcterms:created xsi:type="dcterms:W3CDTF">2023-10-02T07:10:00Z</dcterms:created>
  <dcterms:modified xsi:type="dcterms:W3CDTF">2023-12-01T07:36:00Z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0x0101003C7E06F7A2ED9E48BB6F393BF1857470</vt:lpwstr>
  </property>
  <property fmtid="{D5CDD505-2E9C-101B-9397-08002B2CF9AE}" pid="3" name="MediaServiceImageTags">
    <vt:lpwstr/>
  </property>
</Properties>
</file>