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49143" w14:textId="3EFA80FD" w:rsidR="00EC3F4B" w:rsidRPr="00BE0C75" w:rsidRDefault="00EC3F4B" w:rsidP="00BE0C75">
      <w:pPr>
        <w:spacing w:after="0"/>
        <w:jc w:val="both"/>
        <w:rPr>
          <w:i/>
          <w:iCs/>
        </w:rPr>
      </w:pPr>
      <w:r w:rsidRPr="00BE0C75">
        <w:rPr>
          <w:i/>
          <w:iCs/>
        </w:rPr>
        <w:t>Pranešimas žiniasklaidai</w:t>
      </w:r>
    </w:p>
    <w:p w14:paraId="68970013" w14:textId="5FDF3811" w:rsidR="00EC3F4B" w:rsidRDefault="00EC3F4B" w:rsidP="00BE0C75">
      <w:pPr>
        <w:spacing w:after="0"/>
        <w:jc w:val="both"/>
        <w:rPr>
          <w:i/>
          <w:iCs/>
        </w:rPr>
      </w:pPr>
      <w:r w:rsidRPr="00BE0C75">
        <w:rPr>
          <w:i/>
          <w:iCs/>
        </w:rPr>
        <w:t>2023-</w:t>
      </w:r>
      <w:r w:rsidR="00E70B27">
        <w:rPr>
          <w:i/>
          <w:iCs/>
        </w:rPr>
        <w:t>1</w:t>
      </w:r>
      <w:r w:rsidR="00BE3791">
        <w:rPr>
          <w:i/>
          <w:iCs/>
        </w:rPr>
        <w:t>2</w:t>
      </w:r>
      <w:r w:rsidRPr="00BE0C75">
        <w:rPr>
          <w:i/>
          <w:iCs/>
        </w:rPr>
        <w:t>-</w:t>
      </w:r>
      <w:r w:rsidR="008E3F34" w:rsidRPr="008E3F34">
        <w:rPr>
          <w:i/>
          <w:iCs/>
        </w:rPr>
        <w:t>0</w:t>
      </w:r>
      <w:r w:rsidR="008E3F34" w:rsidRPr="008E3F34">
        <w:rPr>
          <w:i/>
          <w:iCs/>
          <w:lang w:val="en-GB"/>
        </w:rPr>
        <w:t>5</w:t>
      </w:r>
    </w:p>
    <w:p w14:paraId="74388CF6" w14:textId="77777777" w:rsidR="00D128D9" w:rsidRPr="00BE0C75" w:rsidRDefault="00D128D9" w:rsidP="00BE0C75">
      <w:pPr>
        <w:spacing w:after="0"/>
        <w:jc w:val="both"/>
        <w:rPr>
          <w:i/>
          <w:iCs/>
        </w:rPr>
      </w:pPr>
    </w:p>
    <w:p w14:paraId="03C9A0D2" w14:textId="036CF60A" w:rsidR="00EF6CA6" w:rsidRDefault="00EF6CA6" w:rsidP="23F66BA4">
      <w:pPr>
        <w:jc w:val="both"/>
        <w:rPr>
          <w:rFonts w:ascii="Cambria" w:eastAsia="Times New Roman" w:hAnsi="Cambria" w:cs="Arial"/>
          <w:b/>
          <w:bCs/>
          <w:color w:val="000000"/>
          <w:kern w:val="0"/>
          <w:sz w:val="32"/>
          <w:szCs w:val="32"/>
          <w:lang w:eastAsia="lt-LT"/>
          <w14:ligatures w14:val="none"/>
        </w:rPr>
      </w:pPr>
      <w:r>
        <w:rPr>
          <w:rFonts w:ascii="Cambria" w:eastAsia="Times New Roman" w:hAnsi="Cambria" w:cs="Arial"/>
          <w:b/>
          <w:bCs/>
          <w:color w:val="000000"/>
          <w:kern w:val="0"/>
          <w:sz w:val="32"/>
          <w:szCs w:val="32"/>
          <w:lang w:eastAsia="lt-LT"/>
          <w14:ligatures w14:val="none"/>
        </w:rPr>
        <w:t>Tyrimas: kokį NT kainų likimą prognozuoja gyventojai?</w:t>
      </w:r>
    </w:p>
    <w:p w14:paraId="3E222441" w14:textId="7E030773" w:rsidR="00C973E0" w:rsidRPr="004832D1" w:rsidRDefault="00096F51" w:rsidP="007E7BA7">
      <w:pPr>
        <w:jc w:val="both"/>
        <w:rPr>
          <w:b/>
          <w:bCs/>
        </w:rPr>
      </w:pPr>
      <w:r>
        <w:rPr>
          <w:b/>
          <w:bCs/>
        </w:rPr>
        <w:t>Nors</w:t>
      </w:r>
      <w:r w:rsidR="0076392F">
        <w:rPr>
          <w:b/>
          <w:bCs/>
        </w:rPr>
        <w:t xml:space="preserve"> </w:t>
      </w:r>
      <w:r w:rsidR="002F1A81">
        <w:rPr>
          <w:b/>
          <w:bCs/>
        </w:rPr>
        <w:t>nekilnojamo turto (NT)</w:t>
      </w:r>
      <w:r w:rsidR="0076392F">
        <w:rPr>
          <w:b/>
          <w:bCs/>
        </w:rPr>
        <w:t xml:space="preserve"> rinka atrodo aprimusi, dauguma </w:t>
      </w:r>
      <w:r w:rsidR="009B1FCE">
        <w:rPr>
          <w:b/>
          <w:bCs/>
        </w:rPr>
        <w:t xml:space="preserve">šalies </w:t>
      </w:r>
      <w:r w:rsidR="0076392F">
        <w:rPr>
          <w:b/>
          <w:bCs/>
        </w:rPr>
        <w:t>gyventojų mano, kad butai brangs</w:t>
      </w:r>
      <w:r w:rsidR="004832D1">
        <w:rPr>
          <w:b/>
          <w:bCs/>
        </w:rPr>
        <w:t xml:space="preserve"> –</w:t>
      </w:r>
      <w:r w:rsidR="004832D1" w:rsidRPr="003C601A">
        <w:rPr>
          <w:b/>
          <w:bCs/>
        </w:rPr>
        <w:t>atskleidė NT plėtros bendrovės „</w:t>
      </w:r>
      <w:proofErr w:type="spellStart"/>
      <w:r w:rsidR="004832D1" w:rsidRPr="003C601A">
        <w:rPr>
          <w:b/>
          <w:bCs/>
        </w:rPr>
        <w:t>Omberg</w:t>
      </w:r>
      <w:proofErr w:type="spellEnd"/>
      <w:r w:rsidR="004832D1" w:rsidRPr="003C601A">
        <w:rPr>
          <w:b/>
          <w:bCs/>
        </w:rPr>
        <w:t xml:space="preserve"> </w:t>
      </w:r>
      <w:proofErr w:type="spellStart"/>
      <w:r w:rsidR="004832D1" w:rsidRPr="003C601A">
        <w:rPr>
          <w:b/>
          <w:bCs/>
        </w:rPr>
        <w:t>group</w:t>
      </w:r>
      <w:proofErr w:type="spellEnd"/>
      <w:r w:rsidR="004832D1" w:rsidRPr="003C601A">
        <w:rPr>
          <w:b/>
          <w:bCs/>
        </w:rPr>
        <w:t>“ užsakymu atliktas tyrimas</w:t>
      </w:r>
      <w:r w:rsidR="004832D1">
        <w:rPr>
          <w:b/>
          <w:bCs/>
        </w:rPr>
        <w:t>.</w:t>
      </w:r>
      <w:r w:rsidR="0076392F">
        <w:rPr>
          <w:b/>
          <w:bCs/>
        </w:rPr>
        <w:t xml:space="preserve"> </w:t>
      </w:r>
      <w:r w:rsidR="004832D1">
        <w:rPr>
          <w:b/>
          <w:bCs/>
        </w:rPr>
        <w:t>Ar tokios gyventojų</w:t>
      </w:r>
      <w:r w:rsidR="003C601A" w:rsidRPr="003C601A">
        <w:rPr>
          <w:b/>
          <w:bCs/>
        </w:rPr>
        <w:t xml:space="preserve"> prognoz</w:t>
      </w:r>
      <w:r w:rsidR="004832D1">
        <w:rPr>
          <w:b/>
          <w:bCs/>
        </w:rPr>
        <w:t>ės</w:t>
      </w:r>
      <w:r w:rsidR="003C601A" w:rsidRPr="003C601A">
        <w:rPr>
          <w:b/>
          <w:bCs/>
        </w:rPr>
        <w:t xml:space="preserve"> NT rinkai </w:t>
      </w:r>
      <w:r w:rsidR="007E7BA7">
        <w:rPr>
          <w:b/>
          <w:bCs/>
        </w:rPr>
        <w:t xml:space="preserve">sparčiai </w:t>
      </w:r>
      <w:r w:rsidR="003C601A" w:rsidRPr="003C601A">
        <w:rPr>
          <w:b/>
          <w:bCs/>
        </w:rPr>
        <w:t>kintančioje ekonominėje aplinkoje</w:t>
      </w:r>
      <w:r w:rsidR="004832D1">
        <w:rPr>
          <w:b/>
          <w:bCs/>
        </w:rPr>
        <w:t xml:space="preserve"> gali išsipildyti?</w:t>
      </w:r>
    </w:p>
    <w:p w14:paraId="26C62E78" w14:textId="496724B8" w:rsidR="003C601A" w:rsidRPr="00ED2755" w:rsidRDefault="002B58C4" w:rsidP="00ED2755">
      <w:pPr>
        <w:jc w:val="both"/>
      </w:pPr>
      <w:r w:rsidRPr="00ED2755">
        <w:t>Visuomenės nuomonės apklaus</w:t>
      </w:r>
      <w:r w:rsidR="009B1FCE" w:rsidRPr="00ED2755">
        <w:t>os, spalio mėnesį</w:t>
      </w:r>
      <w:r w:rsidRPr="00ED2755">
        <w:t xml:space="preserve"> atlikto</w:t>
      </w:r>
      <w:r w:rsidR="009B1FCE" w:rsidRPr="00ED2755">
        <w:t>s</w:t>
      </w:r>
      <w:r w:rsidRPr="00ED2755">
        <w:t xml:space="preserve"> bendrovė</w:t>
      </w:r>
      <w:r w:rsidR="009B1FCE" w:rsidRPr="00ED2755">
        <w:t>s</w:t>
      </w:r>
      <w:r w:rsidRPr="00ED2755">
        <w:t xml:space="preserve"> „</w:t>
      </w:r>
      <w:proofErr w:type="spellStart"/>
      <w:r w:rsidRPr="00ED2755">
        <w:t>Spinter</w:t>
      </w:r>
      <w:proofErr w:type="spellEnd"/>
      <w:r w:rsidRPr="00ED2755">
        <w:t xml:space="preserve"> tyrimai“</w:t>
      </w:r>
      <w:r w:rsidR="009B1FCE" w:rsidRPr="00ED2755">
        <w:t>, duomenimis, d</w:t>
      </w:r>
      <w:r w:rsidR="003C601A" w:rsidRPr="00ED2755">
        <w:t>idžioji dalis gyventojų</w:t>
      </w:r>
      <w:r w:rsidR="009B1FCE" w:rsidRPr="00ED2755">
        <w:t xml:space="preserve"> – 41 proc. –</w:t>
      </w:r>
      <w:r w:rsidR="003C601A" w:rsidRPr="00ED2755">
        <w:t xml:space="preserve"> </w:t>
      </w:r>
      <w:r w:rsidR="009B1FCE" w:rsidRPr="00ED2755">
        <w:t xml:space="preserve">mano, kad </w:t>
      </w:r>
      <w:r w:rsidR="004832D1" w:rsidRPr="00ED2755">
        <w:t>per artimiausius 6 mėnesius</w:t>
      </w:r>
      <w:r w:rsidR="009B1FCE" w:rsidRPr="00ED2755">
        <w:t xml:space="preserve"> būsto kainos augs. </w:t>
      </w:r>
      <w:r w:rsidR="003C601A" w:rsidRPr="00ED2755">
        <w:t>35 proc.</w:t>
      </w:r>
      <w:r w:rsidR="009B1FCE" w:rsidRPr="00ED2755">
        <w:t xml:space="preserve"> respondentų</w:t>
      </w:r>
      <w:r w:rsidR="003C601A" w:rsidRPr="00ED2755">
        <w:t xml:space="preserve"> galvoja, kad kainos nesikeis, o </w:t>
      </w:r>
      <w:r w:rsidR="00096F51" w:rsidRPr="00ED2755">
        <w:t>beveik ketvirtadalis</w:t>
      </w:r>
      <w:r w:rsidR="003C601A" w:rsidRPr="00ED2755">
        <w:t xml:space="preserve"> tikisi būsto kainų mažėjimo.</w:t>
      </w:r>
    </w:p>
    <w:p w14:paraId="4FFD8929" w14:textId="61753D4A" w:rsidR="23F66BA4" w:rsidRPr="00ED2755" w:rsidRDefault="00096F51" w:rsidP="00ED2755">
      <w:pPr>
        <w:jc w:val="both"/>
      </w:pPr>
      <w:r w:rsidRPr="00ED2755">
        <w:t xml:space="preserve">„Nepaisant to, kad būsto rinka dėl išaugusių palūkanų ir mažesnių </w:t>
      </w:r>
      <w:proofErr w:type="spellStart"/>
      <w:r w:rsidRPr="00ED2755">
        <w:t>įperkamumo</w:t>
      </w:r>
      <w:proofErr w:type="spellEnd"/>
      <w:r w:rsidRPr="00ED2755">
        <w:t xml:space="preserve"> galimybių šiais metais yra aprimusi, ekonomistai vis dažniau kalba, kad kitais metais situacija turėtų keistis. </w:t>
      </w:r>
      <w:r w:rsidR="0039497C" w:rsidRPr="00ED2755">
        <w:t>Kaip matome iš tyrimo rezultatų – gyventojai gyvena panašiomis nuotaikomis</w:t>
      </w:r>
      <w:r w:rsidR="00FE1118" w:rsidRPr="00ED2755">
        <w:t xml:space="preserve"> ir dauguma jų nesitiki būsto kainų mažėjimo</w:t>
      </w:r>
      <w:r w:rsidR="009A7D43" w:rsidRPr="00ED2755">
        <w:t>“</w:t>
      </w:r>
      <w:r w:rsidR="007E7BA7" w:rsidRPr="00ED2755">
        <w:t>,</w:t>
      </w:r>
      <w:r w:rsidR="009A7D43" w:rsidRPr="00ED2755">
        <w:t xml:space="preserve"> – pasakoja „</w:t>
      </w:r>
      <w:proofErr w:type="spellStart"/>
      <w:r w:rsidR="009A7D43" w:rsidRPr="00ED2755">
        <w:t>Omberg</w:t>
      </w:r>
      <w:proofErr w:type="spellEnd"/>
      <w:r w:rsidR="009A7D43" w:rsidRPr="00ED2755">
        <w:t xml:space="preserve"> </w:t>
      </w:r>
      <w:proofErr w:type="spellStart"/>
      <w:r w:rsidR="009A7D43" w:rsidRPr="00ED2755">
        <w:t>group</w:t>
      </w:r>
      <w:proofErr w:type="spellEnd"/>
      <w:r w:rsidR="009A7D43" w:rsidRPr="00ED2755">
        <w:t xml:space="preserve">“ plėtros ir inovacijų vadovė Ieva </w:t>
      </w:r>
      <w:proofErr w:type="spellStart"/>
      <w:r w:rsidR="009A7D43" w:rsidRPr="00ED2755">
        <w:t>Genevičienė</w:t>
      </w:r>
      <w:proofErr w:type="spellEnd"/>
      <w:r w:rsidR="009A7D43" w:rsidRPr="00ED2755">
        <w:t>.</w:t>
      </w:r>
    </w:p>
    <w:p w14:paraId="0A14FD4E" w14:textId="5E4A232C" w:rsidR="23F66BA4" w:rsidRPr="00ED2755" w:rsidRDefault="009A7D43" w:rsidP="00ED2755">
      <w:pPr>
        <w:jc w:val="both"/>
      </w:pPr>
      <w:r w:rsidRPr="00ED2755">
        <w:t xml:space="preserve">Ekspertės teigimu, </w:t>
      </w:r>
      <w:r w:rsidR="000E58D4" w:rsidRPr="00ED2755">
        <w:t>NT sektoriuje 2024 m. pirma pusė vis dar bus ramesnė</w:t>
      </w:r>
      <w:r w:rsidR="762A17C1" w:rsidRPr="00ED2755">
        <w:t>.</w:t>
      </w:r>
      <w:r w:rsidR="39204BB7" w:rsidRPr="00ED2755">
        <w:t xml:space="preserve"> </w:t>
      </w:r>
      <w:r w:rsidR="0F9604E3" w:rsidRPr="00ED2755">
        <w:t>Tačiau, antroje pusėje yra galimi du scenarijai: EURIBOR krenta iki 3</w:t>
      </w:r>
      <w:r w:rsidR="58CCA538" w:rsidRPr="00ED2755">
        <w:t xml:space="preserve"> proc.</w:t>
      </w:r>
      <w:r w:rsidR="0F9604E3" w:rsidRPr="00ED2755">
        <w:t xml:space="preserve"> </w:t>
      </w:r>
      <w:r w:rsidR="1B265E85" w:rsidRPr="00ED2755">
        <w:t>–</w:t>
      </w:r>
      <w:r w:rsidR="0F9604E3" w:rsidRPr="00ED2755">
        <w:t xml:space="preserve"> rinka po truputį atsigauna,</w:t>
      </w:r>
      <w:r w:rsidR="0FDD171B" w:rsidRPr="00ED2755">
        <w:t xml:space="preserve"> arba</w:t>
      </w:r>
      <w:r w:rsidR="0F9604E3" w:rsidRPr="00ED2755">
        <w:t xml:space="preserve"> EURIBOR išlieka lyg</w:t>
      </w:r>
      <w:r w:rsidR="11FFA47C" w:rsidRPr="00ED2755">
        <w:t>us</w:t>
      </w:r>
      <w:r w:rsidR="0F9604E3" w:rsidRPr="00ED2755">
        <w:t xml:space="preserve"> 4</w:t>
      </w:r>
      <w:r w:rsidR="4A05140A" w:rsidRPr="00ED2755">
        <w:t xml:space="preserve"> proc. </w:t>
      </w:r>
      <w:r w:rsidR="0F9604E3" w:rsidRPr="00ED2755">
        <w:t xml:space="preserve"> </w:t>
      </w:r>
      <w:r w:rsidR="616C0325" w:rsidRPr="00ED2755">
        <w:t xml:space="preserve">– </w:t>
      </w:r>
      <w:r w:rsidR="0F9604E3" w:rsidRPr="00ED2755">
        <w:t xml:space="preserve"> rin</w:t>
      </w:r>
      <w:r w:rsidR="52741979" w:rsidRPr="00ED2755">
        <w:t>kos</w:t>
      </w:r>
      <w:r w:rsidR="7961B883" w:rsidRPr="00ED2755">
        <w:t xml:space="preserve"> </w:t>
      </w:r>
      <w:r w:rsidR="51801A0C" w:rsidRPr="00ED2755">
        <w:t>aktyvumas nesikeičia</w:t>
      </w:r>
      <w:r w:rsidR="7961B883" w:rsidRPr="00ED2755">
        <w:t>.</w:t>
      </w:r>
      <w:r w:rsidR="44681277" w:rsidRPr="00ED2755">
        <w:t xml:space="preserve"> </w:t>
      </w:r>
      <w:r w:rsidRPr="00ED2755">
        <w:t>„</w:t>
      </w:r>
      <w:r w:rsidR="000E58D4" w:rsidRPr="00ED2755">
        <w:t xml:space="preserve">Jeigu išsipildys ekonomistų prognozė, kad EURIBOR kitąmet tolygiai mažės iki maždaug 3 proc., skolinimosi kaina ženkliai mažės, o būsto </w:t>
      </w:r>
      <w:proofErr w:type="spellStart"/>
      <w:r w:rsidR="000E58D4" w:rsidRPr="00ED2755">
        <w:t>įperkamumas</w:t>
      </w:r>
      <w:proofErr w:type="spellEnd"/>
      <w:r w:rsidR="000E58D4" w:rsidRPr="00ED2755">
        <w:t xml:space="preserve"> – gerės</w:t>
      </w:r>
      <w:r w:rsidRPr="00ED2755">
        <w:t xml:space="preserve">. Tai savo ruožtu išjudins būsto NT rinką“, – sako I. </w:t>
      </w:r>
      <w:proofErr w:type="spellStart"/>
      <w:r w:rsidRPr="00ED2755">
        <w:t>Genevičienė</w:t>
      </w:r>
      <w:proofErr w:type="spellEnd"/>
      <w:r w:rsidRPr="00ED2755">
        <w:t xml:space="preserve">. </w:t>
      </w:r>
    </w:p>
    <w:p w14:paraId="6923E23D" w14:textId="2C12F7A7" w:rsidR="23F66BA4" w:rsidRPr="008E3F34" w:rsidRDefault="0003487B" w:rsidP="23F66BA4">
      <w:pPr>
        <w:pStyle w:val="NormalWeb"/>
        <w:spacing w:before="420" w:after="420"/>
        <w:ind w:right="420"/>
        <w:jc w:val="both"/>
        <w:rPr>
          <w:rFonts w:asciiTheme="minorHAnsi" w:eastAsiaTheme="minorEastAsia" w:hAnsiTheme="minorHAnsi" w:cstheme="minorBidi"/>
          <w:b/>
          <w:bCs/>
          <w:kern w:val="2"/>
          <w:sz w:val="22"/>
          <w:szCs w:val="22"/>
          <w:lang w:eastAsia="en-US"/>
          <w14:ligatures w14:val="standardContextual"/>
        </w:rPr>
      </w:pPr>
      <w:r w:rsidRPr="23F66BA4">
        <w:rPr>
          <w:rFonts w:asciiTheme="minorHAnsi" w:eastAsiaTheme="minorEastAsia" w:hAnsiTheme="minorHAnsi" w:cstheme="minorBidi"/>
          <w:b/>
          <w:bCs/>
          <w:kern w:val="2"/>
          <w:sz w:val="22"/>
          <w:szCs w:val="22"/>
          <w:lang w:eastAsia="en-US"/>
          <w14:ligatures w14:val="standardContextual"/>
        </w:rPr>
        <w:t>2 scenarijai, kaip keisis kainos</w:t>
      </w:r>
    </w:p>
    <w:p w14:paraId="3662D242" w14:textId="578C8F3C" w:rsidR="009E3FEE" w:rsidRPr="00AB00A0" w:rsidRDefault="009E3FEE" w:rsidP="00AB00A0">
      <w:pPr>
        <w:jc w:val="both"/>
      </w:pPr>
      <w:r w:rsidRPr="00AB00A0">
        <w:t>Prie dabartinių</w:t>
      </w:r>
      <w:r w:rsidR="15EE622D" w:rsidRPr="00AB00A0">
        <w:t xml:space="preserve"> ekonomistų</w:t>
      </w:r>
      <w:r w:rsidRPr="00AB00A0">
        <w:t xml:space="preserve"> EURIBOR prognozių, kainų pokyčius 2024 m. gyvenamojo NT rinkoje gali pakoreguoti ir gyventojų nuotaikos. Tai yra, </w:t>
      </w:r>
      <w:r w:rsidR="00F65B2B" w:rsidRPr="00AB00A0">
        <w:t>nepaisant sumažėjusios skolinimosi kainos, gyventojai gali būti linkę dar palaukti priimti sprendimą dėl būsto pirkimo. Dėl to,</w:t>
      </w:r>
      <w:r w:rsidRPr="00AB00A0">
        <w:t xml:space="preserve"> </w:t>
      </w:r>
      <w:r w:rsidR="00F65B2B" w:rsidRPr="00AB00A0">
        <w:t>p</w:t>
      </w:r>
      <w:r w:rsidRPr="00AB00A0">
        <w:t xml:space="preserve">asak I. </w:t>
      </w:r>
      <w:proofErr w:type="spellStart"/>
      <w:r w:rsidRPr="00AB00A0">
        <w:t>Genevičienės</w:t>
      </w:r>
      <w:proofErr w:type="spellEnd"/>
      <w:r w:rsidRPr="00AB00A0">
        <w:t>, labiausiai tikėtini du kainų pokyčių scenarijai</w:t>
      </w:r>
      <w:r w:rsidR="00F65B2B" w:rsidRPr="00AB00A0">
        <w:t>, kuriuos lems parduotų b</w:t>
      </w:r>
      <w:r w:rsidR="007E7BA7" w:rsidRPr="00AB00A0">
        <w:t>ū</w:t>
      </w:r>
      <w:r w:rsidR="00F65B2B" w:rsidRPr="00AB00A0">
        <w:t xml:space="preserve">stų skaičius. </w:t>
      </w:r>
    </w:p>
    <w:p w14:paraId="681DBD43" w14:textId="602F4755" w:rsidR="00F65B2B" w:rsidRPr="00AB00A0" w:rsidRDefault="009E3FEE" w:rsidP="00AB00A0">
      <w:pPr>
        <w:jc w:val="both"/>
      </w:pPr>
      <w:r w:rsidRPr="00AB00A0">
        <w:t>„</w:t>
      </w:r>
      <w:r w:rsidR="00F65B2B" w:rsidRPr="00AB00A0">
        <w:t xml:space="preserve">Pirmas scenarijus – net </w:t>
      </w:r>
      <w:r w:rsidR="65CBAB7A" w:rsidRPr="00AB00A0">
        <w:t xml:space="preserve">jeigu </w:t>
      </w:r>
      <w:r w:rsidR="00F65B2B" w:rsidRPr="00AB00A0">
        <w:t>nukri</w:t>
      </w:r>
      <w:r w:rsidR="5FB7CBF3" w:rsidRPr="00AB00A0">
        <w:t>s</w:t>
      </w:r>
      <w:r w:rsidR="00F65B2B" w:rsidRPr="00AB00A0">
        <w:t xml:space="preserve"> EURIBOR</w:t>
      </w:r>
      <w:r w:rsidR="62C9ED89" w:rsidRPr="00AB00A0">
        <w:t>,</w:t>
      </w:r>
      <w:r w:rsidR="00F65B2B" w:rsidRPr="00AB00A0">
        <w:t xml:space="preserve"> dalis pirkėjų dar dvejos pirkti būstą ir kitąmet pardavimai </w:t>
      </w:r>
      <w:r w:rsidR="309D020E" w:rsidRPr="00AB00A0">
        <w:t>gali siekti</w:t>
      </w:r>
      <w:r w:rsidR="00F65B2B" w:rsidRPr="00AB00A0">
        <w:t xml:space="preserve"> tik </w:t>
      </w:r>
      <w:r w:rsidR="77F70A62" w:rsidRPr="00AB00A0">
        <w:t>2700</w:t>
      </w:r>
      <w:r w:rsidR="00925B1F" w:rsidRPr="00AB00A0">
        <w:t xml:space="preserve"> naujos statybos butų Vilniuje</w:t>
      </w:r>
      <w:r w:rsidR="00F65B2B" w:rsidRPr="00AB00A0">
        <w:t xml:space="preserve">, </w:t>
      </w:r>
      <w:r w:rsidR="002C00C0" w:rsidRPr="00AB00A0">
        <w:t xml:space="preserve"> </w:t>
      </w:r>
      <w:r w:rsidR="00F65B2B" w:rsidRPr="00AB00A0">
        <w:t>t</w:t>
      </w:r>
      <w:r w:rsidR="002C00C0" w:rsidRPr="00AB00A0">
        <w:t>okiu atveju</w:t>
      </w:r>
      <w:r w:rsidR="00365A7E" w:rsidRPr="00AB00A0">
        <w:t xml:space="preserve"> Vilniuje </w:t>
      </w:r>
      <w:r w:rsidR="00F65B2B" w:rsidRPr="00AB00A0">
        <w:t xml:space="preserve">būsto </w:t>
      </w:r>
      <w:r w:rsidR="00365A7E" w:rsidRPr="00AB00A0">
        <w:t>apyvartumo rodikliai</w:t>
      </w:r>
      <w:r w:rsidR="00F65B2B" w:rsidRPr="00AB00A0">
        <w:t>, palyginti su šiemet,</w:t>
      </w:r>
      <w:r w:rsidR="00365A7E" w:rsidRPr="00AB00A0">
        <w:t xml:space="preserve"> keisis nestipriai, t</w:t>
      </w:r>
      <w:r w:rsidR="00F65B2B" w:rsidRPr="00AB00A0">
        <w:t xml:space="preserve">ad </w:t>
      </w:r>
      <w:r w:rsidR="00365A7E" w:rsidRPr="00AB00A0">
        <w:t>tikėtina, kad</w:t>
      </w:r>
      <w:r w:rsidR="00F65B2B" w:rsidRPr="00AB00A0">
        <w:t xml:space="preserve"> ir</w:t>
      </w:r>
      <w:r w:rsidR="00365A7E" w:rsidRPr="00AB00A0">
        <w:t xml:space="preserve"> butų kainos liks stabilios</w:t>
      </w:r>
      <w:r w:rsidR="00F65B2B" w:rsidRPr="00AB00A0">
        <w:t xml:space="preserve">“, – pasakoja I. </w:t>
      </w:r>
      <w:proofErr w:type="spellStart"/>
      <w:r w:rsidR="00F65B2B" w:rsidRPr="00AB00A0">
        <w:t>Genevičienė</w:t>
      </w:r>
      <w:proofErr w:type="spellEnd"/>
      <w:r w:rsidR="00F65B2B" w:rsidRPr="00AB00A0">
        <w:t xml:space="preserve">. </w:t>
      </w:r>
    </w:p>
    <w:p w14:paraId="350B2505" w14:textId="64E0CB77" w:rsidR="0019217C" w:rsidRPr="00AB00A0" w:rsidRDefault="00F65B2B" w:rsidP="00AB00A0">
      <w:pPr>
        <w:jc w:val="both"/>
      </w:pPr>
      <w:r w:rsidRPr="00AB00A0">
        <w:t xml:space="preserve">Antras realus scenarijus, pasak ekspertės, </w:t>
      </w:r>
      <w:r w:rsidR="002C00C0" w:rsidRPr="00AB00A0">
        <w:t>je</w:t>
      </w:r>
      <w:r w:rsidR="00365A7E" w:rsidRPr="00AB00A0">
        <w:t xml:space="preserve">i 2022–2023 m. sprendimą įsigyti butą atidėlioję pirkėjai kitąmet nuspręstų įsigyti NT ir pardavimai </w:t>
      </w:r>
      <w:r w:rsidR="078837B6" w:rsidRPr="00AB00A0">
        <w:t xml:space="preserve">galėtų </w:t>
      </w:r>
      <w:r w:rsidR="00365A7E" w:rsidRPr="00AB00A0">
        <w:t>augt</w:t>
      </w:r>
      <w:r w:rsidR="66DAAA4E" w:rsidRPr="00AB00A0">
        <w:t>i</w:t>
      </w:r>
      <w:r w:rsidR="00365A7E" w:rsidRPr="00AB00A0">
        <w:t xml:space="preserve"> iki 4000 </w:t>
      </w:r>
      <w:r w:rsidR="00925B1F" w:rsidRPr="00AB00A0">
        <w:t xml:space="preserve">naujos statybos </w:t>
      </w:r>
      <w:r w:rsidR="00365A7E" w:rsidRPr="00AB00A0">
        <w:t xml:space="preserve">butų </w:t>
      </w:r>
      <w:r w:rsidR="00925B1F" w:rsidRPr="00AB00A0">
        <w:t xml:space="preserve">Vilniuje </w:t>
      </w:r>
      <w:r w:rsidR="00365A7E" w:rsidRPr="00AB00A0">
        <w:t>per metus</w:t>
      </w:r>
      <w:r w:rsidR="007E7BA7" w:rsidRPr="00AB00A0">
        <w:t>.</w:t>
      </w:r>
    </w:p>
    <w:p w14:paraId="4C09B1FB" w14:textId="7DE0E74C" w:rsidR="00365A7E" w:rsidRPr="00AB00A0" w:rsidRDefault="0019217C" w:rsidP="00AB00A0">
      <w:pPr>
        <w:jc w:val="both"/>
      </w:pPr>
      <w:r w:rsidRPr="00AB00A0">
        <w:t>„Tokiu atveju</w:t>
      </w:r>
      <w:r w:rsidR="00365A7E" w:rsidRPr="00AB00A0">
        <w:t xml:space="preserve"> butų apyvartumas grįžtų į ilgojo laikotarpio vidurkį ir galėtų paskatinti kainų augimą dėl išaugusios paklausos“, – pastebi „</w:t>
      </w:r>
      <w:proofErr w:type="spellStart"/>
      <w:r w:rsidR="00365A7E" w:rsidRPr="00AB00A0">
        <w:t>Omberg</w:t>
      </w:r>
      <w:proofErr w:type="spellEnd"/>
      <w:r w:rsidR="00365A7E" w:rsidRPr="00AB00A0">
        <w:t xml:space="preserve"> </w:t>
      </w:r>
      <w:proofErr w:type="spellStart"/>
      <w:r w:rsidR="00365A7E" w:rsidRPr="00AB00A0">
        <w:t>group</w:t>
      </w:r>
      <w:proofErr w:type="spellEnd"/>
      <w:r w:rsidR="00365A7E" w:rsidRPr="00AB00A0">
        <w:t>“ plėtros ir inovacijų vadovė</w:t>
      </w:r>
      <w:r w:rsidRPr="00AB00A0">
        <w:t>.</w:t>
      </w:r>
    </w:p>
    <w:p w14:paraId="0FDDE182" w14:textId="7EA47196" w:rsidR="00CE2645" w:rsidRPr="008E3F34" w:rsidRDefault="008E7106" w:rsidP="00264D1D">
      <w:pPr>
        <w:pStyle w:val="NormalWeb"/>
        <w:spacing w:before="420" w:after="420"/>
        <w:ind w:right="420"/>
        <w:jc w:val="both"/>
        <w:rPr>
          <w:rFonts w:asciiTheme="minorHAnsi" w:eastAsiaTheme="minorHAnsi" w:hAnsiTheme="minorHAnsi" w:cstheme="minorBidi"/>
          <w:b/>
          <w:bCs/>
          <w:kern w:val="2"/>
          <w:sz w:val="22"/>
          <w:szCs w:val="22"/>
          <w:lang w:eastAsia="en-US"/>
          <w14:ligatures w14:val="standardContextual"/>
        </w:rPr>
      </w:pPr>
      <w:r>
        <w:rPr>
          <w:rFonts w:asciiTheme="minorHAnsi" w:eastAsiaTheme="minorHAnsi" w:hAnsiTheme="minorHAnsi" w:cstheme="minorBidi"/>
          <w:b/>
          <w:bCs/>
          <w:kern w:val="2"/>
          <w:sz w:val="22"/>
          <w:szCs w:val="22"/>
          <w:lang w:eastAsia="en-US"/>
          <w14:ligatures w14:val="standardContextual"/>
        </w:rPr>
        <w:t>Ar gali būti, kad vėl pritrūksime naujų būstų?</w:t>
      </w:r>
    </w:p>
    <w:p w14:paraId="74E5C1B6" w14:textId="292A7D7F" w:rsidR="23F66BA4" w:rsidRPr="00ED2755" w:rsidRDefault="00CE2645" w:rsidP="00ED2755">
      <w:pPr>
        <w:jc w:val="both"/>
      </w:pPr>
      <w:r w:rsidRPr="00ED2755">
        <w:t xml:space="preserve">Įtakos butų kainoms turės ir naujo būsto pasiūla – dalis NT plėtotojų šiuo metu yra pristabdę naujo būsto statybas, pastebi I. </w:t>
      </w:r>
      <w:proofErr w:type="spellStart"/>
      <w:r w:rsidRPr="00ED2755">
        <w:t>Genevičienė</w:t>
      </w:r>
      <w:proofErr w:type="spellEnd"/>
      <w:r w:rsidRPr="00ED2755">
        <w:t xml:space="preserve">. </w:t>
      </w:r>
    </w:p>
    <w:p w14:paraId="3A8E5546" w14:textId="27358390" w:rsidR="23F66BA4" w:rsidRPr="00ED2755" w:rsidRDefault="00035D33" w:rsidP="00ED2755">
      <w:pPr>
        <w:jc w:val="both"/>
      </w:pPr>
      <w:r w:rsidRPr="00ED2755">
        <w:t xml:space="preserve">„Per 2023 m. Vilniuje buvo pastatyta </w:t>
      </w:r>
      <w:r w:rsidR="00FF0292" w:rsidRPr="00ED2755">
        <w:t xml:space="preserve">maždaug </w:t>
      </w:r>
      <w:r w:rsidR="40EA64A9" w:rsidRPr="00ED2755">
        <w:t>2500</w:t>
      </w:r>
      <w:r w:rsidRPr="00ED2755">
        <w:t xml:space="preserve"> naujų butų, o per 2024 m. gyventojams</w:t>
      </w:r>
      <w:r w:rsidR="1655D262" w:rsidRPr="00ED2755">
        <w:t xml:space="preserve">, </w:t>
      </w:r>
      <w:r w:rsidR="2616FA0A" w:rsidRPr="00ED2755">
        <w:t>„</w:t>
      </w:r>
      <w:proofErr w:type="spellStart"/>
      <w:r w:rsidR="1655D262" w:rsidRPr="00ED2755">
        <w:t>Omberg</w:t>
      </w:r>
      <w:proofErr w:type="spellEnd"/>
      <w:r w:rsidR="1655D262" w:rsidRPr="00ED2755">
        <w:t xml:space="preserve"> Group</w:t>
      </w:r>
      <w:r w:rsidR="6ECF9B75" w:rsidRPr="00ED2755">
        <w:t>“</w:t>
      </w:r>
      <w:r w:rsidR="1655D262" w:rsidRPr="00ED2755">
        <w:t xml:space="preserve"> skaičiavimais,</w:t>
      </w:r>
      <w:r w:rsidRPr="00ED2755">
        <w:t xml:space="preserve"> planuojama pasiūlyti </w:t>
      </w:r>
      <w:r w:rsidR="00FF0292" w:rsidRPr="00ED2755">
        <w:t xml:space="preserve">apie </w:t>
      </w:r>
      <w:r w:rsidR="74FE614D" w:rsidRPr="00ED2755">
        <w:t>3500</w:t>
      </w:r>
      <w:r w:rsidRPr="00ED2755">
        <w:t xml:space="preserve"> butų. NT plėtotojai taikosi prie situacijos rinkoje ir matydami sumažėjusį naujų butų poreikį priima </w:t>
      </w:r>
      <w:r w:rsidR="00CE2645" w:rsidRPr="00ED2755">
        <w:t xml:space="preserve">atitinkamus </w:t>
      </w:r>
      <w:r w:rsidRPr="00ED2755">
        <w:t xml:space="preserve">sprendimus. </w:t>
      </w:r>
      <w:r w:rsidR="00CE2645" w:rsidRPr="00ED2755">
        <w:t>Tai yra, d</w:t>
      </w:r>
      <w:r w:rsidRPr="00ED2755">
        <w:t>alis rinkos žaidėjų stato mažiau</w:t>
      </w:r>
      <w:r w:rsidR="00584CCB" w:rsidRPr="00ED2755">
        <w:t xml:space="preserve">, </w:t>
      </w:r>
      <w:r w:rsidR="00CE2645" w:rsidRPr="00ED2755">
        <w:t>tad</w:t>
      </w:r>
      <w:r w:rsidR="00584CCB" w:rsidRPr="00ED2755">
        <w:t xml:space="preserve"> ateinančiais metais</w:t>
      </w:r>
      <w:r w:rsidR="00CE2645" w:rsidRPr="00ED2755">
        <w:t>,</w:t>
      </w:r>
      <w:r w:rsidR="00584CCB" w:rsidRPr="00ED2755">
        <w:t xml:space="preserve"> rinkai suaktyvėjus</w:t>
      </w:r>
      <w:r w:rsidR="00CE2645" w:rsidRPr="00ED2755">
        <w:t>,</w:t>
      </w:r>
      <w:r w:rsidR="00584CCB" w:rsidRPr="00ED2755">
        <w:t xml:space="preserve"> būstų gali ir pritrūkti</w:t>
      </w:r>
      <w:r w:rsidR="00CE2645" w:rsidRPr="00ED2755">
        <w:t>. Tai sudarytų prielaidas sp</w:t>
      </w:r>
      <w:r w:rsidR="004832D1" w:rsidRPr="00ED2755">
        <w:t>ar</w:t>
      </w:r>
      <w:r w:rsidR="00CE2645" w:rsidRPr="00ED2755">
        <w:t xml:space="preserve">tesniam kainų augimui, o </w:t>
      </w:r>
      <w:r w:rsidR="00584CCB" w:rsidRPr="00ED2755">
        <w:t xml:space="preserve">gyventojams </w:t>
      </w:r>
      <w:r w:rsidR="00CE2645" w:rsidRPr="00ED2755">
        <w:t xml:space="preserve">vėl </w:t>
      </w:r>
      <w:r w:rsidR="00584CCB" w:rsidRPr="00ED2755">
        <w:t>tek</w:t>
      </w:r>
      <w:r w:rsidR="00CE2645" w:rsidRPr="00ED2755">
        <w:t>tų</w:t>
      </w:r>
      <w:r w:rsidR="00584CCB" w:rsidRPr="00ED2755">
        <w:t xml:space="preserve"> rinktis iš labai ribotos pasiūlos</w:t>
      </w:r>
      <w:r w:rsidRPr="00ED2755">
        <w:t xml:space="preserve">“, – teigia I. </w:t>
      </w:r>
      <w:proofErr w:type="spellStart"/>
      <w:r w:rsidRPr="00ED2755">
        <w:t>Genevičienė</w:t>
      </w:r>
      <w:proofErr w:type="spellEnd"/>
      <w:r w:rsidRPr="00ED2755">
        <w:t xml:space="preserve">. </w:t>
      </w:r>
    </w:p>
    <w:p w14:paraId="78258C49" w14:textId="540F305C" w:rsidR="23F66BA4" w:rsidRPr="00ED2755" w:rsidRDefault="005D41DC" w:rsidP="00ED2755">
      <w:pPr>
        <w:jc w:val="both"/>
      </w:pPr>
      <w:r w:rsidRPr="00ED2755">
        <w:lastRenderedPageBreak/>
        <w:t>Įdomu tai</w:t>
      </w:r>
      <w:r w:rsidR="00264D1D" w:rsidRPr="00ED2755">
        <w:t>, kad</w:t>
      </w:r>
      <w:r w:rsidR="001255AD" w:rsidRPr="00ED2755">
        <w:t xml:space="preserve"> dabartinė situacija mažiau veikia didžiuosius plėtotojus. S</w:t>
      </w:r>
      <w:r w:rsidR="00264D1D" w:rsidRPr="00ED2755">
        <w:t>usitraukusioje rinkoje TOP vystytojai gauna didesnę rinkos dalį – tai rodo naujakurių norą neužtikrintumo laikais rinktis patikimus, patikrintus plėtotojus.</w:t>
      </w:r>
      <w:r w:rsidR="001D2BF2" w:rsidRPr="00ED2755">
        <w:t xml:space="preserve"> Per 2023 m. TOP vystytojai Vilniuje pardavė </w:t>
      </w:r>
      <w:r w:rsidR="00FF0292" w:rsidRPr="00ED2755">
        <w:t xml:space="preserve">apie </w:t>
      </w:r>
      <w:r w:rsidR="76444443" w:rsidRPr="00ED2755">
        <w:t>1200</w:t>
      </w:r>
      <w:r w:rsidR="001D2BF2" w:rsidRPr="00ED2755">
        <w:t xml:space="preserve"> butų, kas sudaro </w:t>
      </w:r>
      <w:r w:rsidR="59AD8168" w:rsidRPr="00ED2755">
        <w:t>62</w:t>
      </w:r>
      <w:r w:rsidR="001D2BF2" w:rsidRPr="00ED2755">
        <w:t xml:space="preserve"> proc. visų parduotų naujų butų.</w:t>
      </w:r>
    </w:p>
    <w:p w14:paraId="43C5AEDE" w14:textId="047EB71C" w:rsidR="003C601A" w:rsidRPr="00ED2755" w:rsidRDefault="00264D1D" w:rsidP="00ED2755">
      <w:pPr>
        <w:jc w:val="both"/>
      </w:pPr>
      <w:r w:rsidRPr="00ED2755">
        <w:t>„Ateities planus dėliojamės atsargiau, tačiau naujų projektų plėtros tikrai nestabdome. „</w:t>
      </w:r>
      <w:proofErr w:type="spellStart"/>
      <w:r w:rsidRPr="00ED2755">
        <w:t>Omberg</w:t>
      </w:r>
      <w:proofErr w:type="spellEnd"/>
      <w:r w:rsidRPr="00ED2755">
        <w:t xml:space="preserve"> </w:t>
      </w:r>
      <w:proofErr w:type="spellStart"/>
      <w:r w:rsidRPr="00ED2755">
        <w:t>group</w:t>
      </w:r>
      <w:proofErr w:type="spellEnd"/>
      <w:r w:rsidRPr="00ED2755">
        <w:t xml:space="preserve">“ </w:t>
      </w:r>
      <w:r w:rsidR="001D2BF2" w:rsidRPr="00ED2755">
        <w:t xml:space="preserve">šiemet pardavė </w:t>
      </w:r>
      <w:r w:rsidR="4B734F5A" w:rsidRPr="00ED2755">
        <w:t>17</w:t>
      </w:r>
      <w:r w:rsidR="6964BD16" w:rsidRPr="00ED2755">
        <w:t>9</w:t>
      </w:r>
      <w:r w:rsidR="001D2BF2" w:rsidRPr="00ED2755">
        <w:t xml:space="preserve"> but</w:t>
      </w:r>
      <w:r w:rsidR="1E7CC74D" w:rsidRPr="00ED2755">
        <w:t>us</w:t>
      </w:r>
      <w:r w:rsidR="001D2BF2" w:rsidRPr="00ED2755">
        <w:t xml:space="preserve"> ir toliau </w:t>
      </w:r>
      <w:r w:rsidR="00925B1F" w:rsidRPr="00ED2755">
        <w:t>vysto projektus</w:t>
      </w:r>
      <w:r w:rsidR="001E0146" w:rsidRPr="00ED2755">
        <w:t xml:space="preserve">. Šiuo metu vykdome trečią „Bajorų lajų“ vystymo etapą, kurį pabaigus rinkai pasiūlysime 92 butus. 2024 m. planuojame įgyvendinti ir 420 butų projekto Pilaitėje „Vyšnios“ trečią-ketvirtą etapus, </w:t>
      </w:r>
      <w:r w:rsidR="00925B1F" w:rsidRPr="00ED2755">
        <w:t>naujus projektus Pašilaičiuose ir Šeškinėje, juose pasiūlysime arti 300 butų</w:t>
      </w:r>
      <w:r w:rsidR="1B8CB8A0" w:rsidRPr="00ED2755">
        <w:t>. Taip pat baigiama</w:t>
      </w:r>
      <w:r w:rsidR="4818733E" w:rsidRPr="00ED2755">
        <w:t>s</w:t>
      </w:r>
      <w:r w:rsidR="1B8CB8A0" w:rsidRPr="00ED2755">
        <w:t xml:space="preserve"> statyti komercinės paskirties projektas </w:t>
      </w:r>
      <w:r w:rsidR="1724ED93" w:rsidRPr="00ED2755">
        <w:t>„</w:t>
      </w:r>
      <w:proofErr w:type="spellStart"/>
      <w:r w:rsidR="1B8CB8A0" w:rsidRPr="00ED2755">
        <w:t>Stoc</w:t>
      </w:r>
      <w:r w:rsidR="62D7A44A" w:rsidRPr="00ED2755">
        <w:t>k</w:t>
      </w:r>
      <w:r w:rsidR="1B8CB8A0" w:rsidRPr="00ED2755">
        <w:t>holm</w:t>
      </w:r>
      <w:proofErr w:type="spellEnd"/>
      <w:r w:rsidR="740DC765" w:rsidRPr="00ED2755">
        <w:t>“</w:t>
      </w:r>
      <w:r w:rsidR="1B8CB8A0" w:rsidRPr="00ED2755">
        <w:t xml:space="preserve">  </w:t>
      </w:r>
      <w:r w:rsidR="0A9109DE" w:rsidRPr="00ED2755">
        <w:t xml:space="preserve">Kaune, siūlantis </w:t>
      </w:r>
      <w:r w:rsidR="42CF58AB" w:rsidRPr="00ED2755">
        <w:t xml:space="preserve">verslui </w:t>
      </w:r>
      <w:r w:rsidR="34D15C4E" w:rsidRPr="00ED2755">
        <w:t>sandėliavimo, pardavimo ir biuro erdves</w:t>
      </w:r>
      <w:r w:rsidRPr="00ED2755">
        <w:t xml:space="preserve">“, – sako I. </w:t>
      </w:r>
      <w:proofErr w:type="spellStart"/>
      <w:r w:rsidRPr="00ED2755">
        <w:t>Genevičienė</w:t>
      </w:r>
      <w:proofErr w:type="spellEnd"/>
      <w:r w:rsidRPr="00ED2755">
        <w:t>.</w:t>
      </w:r>
    </w:p>
    <w:p w14:paraId="4B8F9210" w14:textId="576B5787" w:rsidR="007C2790" w:rsidRPr="00BE0C75" w:rsidRDefault="007C2790" w:rsidP="00365A7E">
      <w:pPr>
        <w:pStyle w:val="NormalWeb"/>
        <w:spacing w:before="420" w:beforeAutospacing="0" w:after="420" w:afterAutospacing="0"/>
        <w:ind w:right="420"/>
        <w:jc w:val="both"/>
        <w:rPr>
          <w:rFonts w:asciiTheme="minorHAnsi" w:hAnsiTheme="minorHAnsi" w:cstheme="minorHAnsi"/>
        </w:rPr>
      </w:pPr>
      <w:r w:rsidRPr="00BE0C75">
        <w:rPr>
          <w:rFonts w:asciiTheme="minorHAnsi" w:hAnsiTheme="minorHAnsi" w:cstheme="minorHAnsi"/>
          <w:b/>
          <w:bCs/>
          <w:color w:val="000000"/>
          <w:sz w:val="22"/>
          <w:szCs w:val="22"/>
        </w:rPr>
        <w:t>Apie „</w:t>
      </w:r>
      <w:proofErr w:type="spellStart"/>
      <w:r w:rsidRPr="00BE0C75">
        <w:rPr>
          <w:rFonts w:asciiTheme="minorHAnsi" w:hAnsiTheme="minorHAnsi" w:cstheme="minorHAnsi"/>
          <w:b/>
          <w:bCs/>
          <w:color w:val="000000"/>
          <w:sz w:val="22"/>
          <w:szCs w:val="22"/>
        </w:rPr>
        <w:t>Omberg</w:t>
      </w:r>
      <w:proofErr w:type="spellEnd"/>
      <w:r w:rsidRPr="00BE0C75">
        <w:rPr>
          <w:rFonts w:asciiTheme="minorHAnsi" w:hAnsiTheme="minorHAnsi" w:cstheme="minorHAnsi"/>
          <w:b/>
          <w:bCs/>
          <w:color w:val="000000"/>
          <w:sz w:val="22"/>
          <w:szCs w:val="22"/>
        </w:rPr>
        <w:t xml:space="preserve"> </w:t>
      </w:r>
      <w:proofErr w:type="spellStart"/>
      <w:r w:rsidRPr="00BE0C75">
        <w:rPr>
          <w:rFonts w:asciiTheme="minorHAnsi" w:hAnsiTheme="minorHAnsi" w:cstheme="minorHAnsi"/>
          <w:b/>
          <w:bCs/>
          <w:color w:val="000000"/>
          <w:sz w:val="22"/>
          <w:szCs w:val="22"/>
        </w:rPr>
        <w:t>group</w:t>
      </w:r>
      <w:proofErr w:type="spellEnd"/>
      <w:r w:rsidRPr="00BE0C75">
        <w:rPr>
          <w:rFonts w:asciiTheme="minorHAnsi" w:hAnsiTheme="minorHAnsi" w:cstheme="minorHAnsi"/>
          <w:b/>
          <w:bCs/>
          <w:color w:val="000000"/>
          <w:sz w:val="22"/>
          <w:szCs w:val="22"/>
        </w:rPr>
        <w:t>“</w:t>
      </w:r>
    </w:p>
    <w:p w14:paraId="5DE3454E" w14:textId="1EAE29F8" w:rsidR="007C2790" w:rsidRPr="00ED2755" w:rsidRDefault="007C2790" w:rsidP="00ED2755">
      <w:pPr>
        <w:jc w:val="both"/>
      </w:pPr>
      <w:r w:rsidRPr="00ED2755">
        <w:t>„</w:t>
      </w:r>
      <w:proofErr w:type="spellStart"/>
      <w:r w:rsidRPr="00ED2755">
        <w:t>Omberg</w:t>
      </w:r>
      <w:proofErr w:type="spellEnd"/>
      <w:r w:rsidRPr="00ED2755">
        <w:t xml:space="preserve"> </w:t>
      </w:r>
      <w:proofErr w:type="spellStart"/>
      <w:r w:rsidRPr="00ED2755">
        <w:t>group</w:t>
      </w:r>
      <w:proofErr w:type="spellEnd"/>
      <w:r w:rsidRPr="00ED2755">
        <w:t>“ yra viena iš didžiausių NT plėtros bendrovių Lietuvoje.  Šiuo metu, bendradarbiaudama su atvirojo tipo informuotiems investuotojams skirtu investiciniu fondu UAB „Šiaurės Europos investicinis fondas“ ir uždarojo tipo informuotiems investuotojams skirtu investiciniu fondu „</w:t>
      </w:r>
      <w:proofErr w:type="spellStart"/>
      <w:r w:rsidRPr="00ED2755">
        <w:t>North</w:t>
      </w:r>
      <w:proofErr w:type="spellEnd"/>
      <w:r w:rsidRPr="00ED2755">
        <w:t xml:space="preserve"> </w:t>
      </w:r>
      <w:proofErr w:type="spellStart"/>
      <w:r w:rsidRPr="00ED2755">
        <w:t>Europe</w:t>
      </w:r>
      <w:proofErr w:type="spellEnd"/>
      <w:r w:rsidRPr="00ED2755">
        <w:t xml:space="preserve"> </w:t>
      </w:r>
      <w:proofErr w:type="spellStart"/>
      <w:r w:rsidRPr="00ED2755">
        <w:t>Real</w:t>
      </w:r>
      <w:proofErr w:type="spellEnd"/>
      <w:r w:rsidRPr="00ED2755">
        <w:t xml:space="preserve"> </w:t>
      </w:r>
      <w:proofErr w:type="spellStart"/>
      <w:r w:rsidRPr="00ED2755">
        <w:t>Estate</w:t>
      </w:r>
      <w:proofErr w:type="spellEnd"/>
      <w:r w:rsidRPr="00ED2755">
        <w:t xml:space="preserve"> </w:t>
      </w:r>
      <w:proofErr w:type="spellStart"/>
      <w:r w:rsidRPr="00ED2755">
        <w:t>Development</w:t>
      </w:r>
      <w:proofErr w:type="spellEnd"/>
      <w:r w:rsidRPr="00ED2755">
        <w:t xml:space="preserve"> </w:t>
      </w:r>
      <w:proofErr w:type="spellStart"/>
      <w:r w:rsidRPr="00ED2755">
        <w:t>Fund</w:t>
      </w:r>
      <w:proofErr w:type="spellEnd"/>
      <w:r w:rsidRPr="00ED2755">
        <w:t>“, „</w:t>
      </w:r>
      <w:proofErr w:type="spellStart"/>
      <w:r w:rsidRPr="00ED2755">
        <w:t>Omberg</w:t>
      </w:r>
      <w:proofErr w:type="spellEnd"/>
      <w:r w:rsidRPr="00ED2755">
        <w:t xml:space="preserve"> </w:t>
      </w:r>
      <w:proofErr w:type="spellStart"/>
      <w:r w:rsidRPr="00ED2755">
        <w:t>group</w:t>
      </w:r>
      <w:proofErr w:type="spellEnd"/>
      <w:r w:rsidRPr="00ED2755">
        <w:t>“ sostinėje plėtoja daugiabučių projektus „</w:t>
      </w:r>
      <w:proofErr w:type="spellStart"/>
      <w:r w:rsidRPr="00ED2755">
        <w:t>Skylum</w:t>
      </w:r>
      <w:proofErr w:type="spellEnd"/>
      <w:r w:rsidRPr="00ED2755">
        <w:t>“, „Bajorų lajos“  ir „Vyšnios“</w:t>
      </w:r>
      <w:r w:rsidR="4C621DB4" w:rsidRPr="00ED2755">
        <w:t xml:space="preserve"> ir ,,</w:t>
      </w:r>
      <w:proofErr w:type="spellStart"/>
      <w:r w:rsidR="4C621DB4" w:rsidRPr="00ED2755">
        <w:t>Stockhol</w:t>
      </w:r>
      <w:r w:rsidR="6C7D08B7" w:rsidRPr="00ED2755">
        <w:t>m</w:t>
      </w:r>
      <w:proofErr w:type="spellEnd"/>
      <w:r w:rsidR="6C7D08B7" w:rsidRPr="00ED2755">
        <w:t>“</w:t>
      </w:r>
      <w:r w:rsidR="4C621DB4" w:rsidRPr="00ED2755">
        <w:t xml:space="preserve"> komercinį projektą Kaune.</w:t>
      </w:r>
    </w:p>
    <w:p w14:paraId="72E6A4D7" w14:textId="77777777" w:rsidR="007C2790" w:rsidRPr="00BE0C75" w:rsidRDefault="007C2790" w:rsidP="007C2790">
      <w:pPr>
        <w:rPr>
          <w:b/>
          <w:bCs/>
        </w:rPr>
      </w:pPr>
      <w:r w:rsidRPr="00BE0C75">
        <w:rPr>
          <w:b/>
          <w:bCs/>
        </w:rPr>
        <w:t>Daugiau informacijos:</w:t>
      </w:r>
    </w:p>
    <w:p w14:paraId="154EAE57" w14:textId="77777777" w:rsidR="007C2790" w:rsidRPr="00BE0C75" w:rsidRDefault="007C2790" w:rsidP="007C2790">
      <w:pPr>
        <w:spacing w:after="0" w:line="240" w:lineRule="auto"/>
        <w:rPr>
          <w:rFonts w:cstheme="minorHAnsi"/>
        </w:rPr>
      </w:pPr>
      <w:r w:rsidRPr="00BE0C75">
        <w:rPr>
          <w:rFonts w:cstheme="minorHAnsi"/>
        </w:rPr>
        <w:t xml:space="preserve">Goda </w:t>
      </w:r>
      <w:proofErr w:type="spellStart"/>
      <w:r w:rsidRPr="00BE0C75">
        <w:rPr>
          <w:rFonts w:cstheme="minorHAnsi"/>
        </w:rPr>
        <w:t>Maniušė</w:t>
      </w:r>
      <w:proofErr w:type="spellEnd"/>
      <w:r w:rsidRPr="00BE0C75">
        <w:rPr>
          <w:rFonts w:cstheme="minorHAnsi"/>
        </w:rPr>
        <w:br/>
      </w:r>
      <w:proofErr w:type="spellStart"/>
      <w:r w:rsidRPr="00BE0C75">
        <w:rPr>
          <w:rFonts w:cstheme="minorHAnsi"/>
        </w:rPr>
        <w:t>co:agency</w:t>
      </w:r>
      <w:proofErr w:type="spellEnd"/>
      <w:r w:rsidRPr="00BE0C75">
        <w:rPr>
          <w:rFonts w:cstheme="minorHAnsi"/>
        </w:rPr>
        <w:br/>
        <w:t>+370 650 80375</w:t>
      </w:r>
    </w:p>
    <w:p w14:paraId="0682F82E" w14:textId="77777777" w:rsidR="007C2790" w:rsidRPr="00BE0C75" w:rsidRDefault="007C2790" w:rsidP="007C2790">
      <w:pPr>
        <w:spacing w:after="0" w:line="240" w:lineRule="auto"/>
        <w:rPr>
          <w:rFonts w:cstheme="minorHAnsi"/>
        </w:rPr>
      </w:pPr>
      <w:r w:rsidRPr="00BE0C75">
        <w:rPr>
          <w:rFonts w:cstheme="minorHAnsi"/>
        </w:rPr>
        <w:t>goda@coagency.lt</w:t>
      </w:r>
    </w:p>
    <w:p w14:paraId="76D81399" w14:textId="57025D7C" w:rsidR="001C4B02" w:rsidRPr="00BE0C75" w:rsidRDefault="001C4B02" w:rsidP="001C4B02">
      <w:pPr>
        <w:jc w:val="both"/>
      </w:pPr>
    </w:p>
    <w:sectPr w:rsidR="001C4B02" w:rsidRPr="00BE0C75">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07489" w14:textId="77777777" w:rsidR="00A91DD0" w:rsidRDefault="00A91DD0" w:rsidP="00EC3F4B">
      <w:pPr>
        <w:spacing w:after="0" w:line="240" w:lineRule="auto"/>
      </w:pPr>
      <w:r>
        <w:separator/>
      </w:r>
    </w:p>
  </w:endnote>
  <w:endnote w:type="continuationSeparator" w:id="0">
    <w:p w14:paraId="2BA5A050" w14:textId="77777777" w:rsidR="00A91DD0" w:rsidRDefault="00A91DD0" w:rsidP="00EC3F4B">
      <w:pPr>
        <w:spacing w:after="0" w:line="240" w:lineRule="auto"/>
      </w:pPr>
      <w:r>
        <w:continuationSeparator/>
      </w:r>
    </w:p>
  </w:endnote>
  <w:endnote w:type="continuationNotice" w:id="1">
    <w:p w14:paraId="0F7449F9" w14:textId="77777777" w:rsidR="00A91DD0" w:rsidRDefault="00A91D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4C24E" w14:textId="77777777" w:rsidR="00A91DD0" w:rsidRDefault="00A91DD0" w:rsidP="00EC3F4B">
      <w:pPr>
        <w:spacing w:after="0" w:line="240" w:lineRule="auto"/>
      </w:pPr>
      <w:r>
        <w:separator/>
      </w:r>
    </w:p>
  </w:footnote>
  <w:footnote w:type="continuationSeparator" w:id="0">
    <w:p w14:paraId="0CF6A5D1" w14:textId="77777777" w:rsidR="00A91DD0" w:rsidRDefault="00A91DD0" w:rsidP="00EC3F4B">
      <w:pPr>
        <w:spacing w:after="0" w:line="240" w:lineRule="auto"/>
      </w:pPr>
      <w:r>
        <w:continuationSeparator/>
      </w:r>
    </w:p>
  </w:footnote>
  <w:footnote w:type="continuationNotice" w:id="1">
    <w:p w14:paraId="65252A02" w14:textId="77777777" w:rsidR="00A91DD0" w:rsidRDefault="00A91D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E869" w14:textId="76D8E9E3" w:rsidR="00EC3F4B" w:rsidRDefault="00EC3F4B" w:rsidP="00EC3F4B">
    <w:pPr>
      <w:pStyle w:val="Header"/>
      <w:jc w:val="right"/>
    </w:pPr>
    <w:r>
      <w:rPr>
        <w:noProof/>
      </w:rPr>
      <w:drawing>
        <wp:inline distT="0" distB="0" distL="0" distR="0" wp14:anchorId="7A91ABFD" wp14:editId="417FF2EF">
          <wp:extent cx="1973580" cy="815340"/>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3580" cy="8153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5B408D"/>
    <w:multiLevelType w:val="hybridMultilevel"/>
    <w:tmpl w:val="64AA4FA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49718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5E6"/>
    <w:rsid w:val="0003487B"/>
    <w:rsid w:val="00035D33"/>
    <w:rsid w:val="000448E1"/>
    <w:rsid w:val="00065536"/>
    <w:rsid w:val="00074EDE"/>
    <w:rsid w:val="00082CE8"/>
    <w:rsid w:val="00096F51"/>
    <w:rsid w:val="000A01FA"/>
    <w:rsid w:val="000A3750"/>
    <w:rsid w:val="000E58D4"/>
    <w:rsid w:val="0011671D"/>
    <w:rsid w:val="001255AD"/>
    <w:rsid w:val="001320B4"/>
    <w:rsid w:val="00152AD1"/>
    <w:rsid w:val="0016628B"/>
    <w:rsid w:val="0019217C"/>
    <w:rsid w:val="001921B7"/>
    <w:rsid w:val="001C0DC8"/>
    <w:rsid w:val="001C1DCF"/>
    <w:rsid w:val="001C4B02"/>
    <w:rsid w:val="001D2BF2"/>
    <w:rsid w:val="001D7075"/>
    <w:rsid w:val="001E0146"/>
    <w:rsid w:val="001E3705"/>
    <w:rsid w:val="00231694"/>
    <w:rsid w:val="00232BD2"/>
    <w:rsid w:val="00245CA8"/>
    <w:rsid w:val="00264D1D"/>
    <w:rsid w:val="00270FFC"/>
    <w:rsid w:val="00290D4C"/>
    <w:rsid w:val="002B58C4"/>
    <w:rsid w:val="002C00C0"/>
    <w:rsid w:val="002C1943"/>
    <w:rsid w:val="002F1A81"/>
    <w:rsid w:val="00312076"/>
    <w:rsid w:val="0032519F"/>
    <w:rsid w:val="00353207"/>
    <w:rsid w:val="00365A7E"/>
    <w:rsid w:val="003920A3"/>
    <w:rsid w:val="0039497C"/>
    <w:rsid w:val="003C601A"/>
    <w:rsid w:val="003D2739"/>
    <w:rsid w:val="003E67ED"/>
    <w:rsid w:val="004021B5"/>
    <w:rsid w:val="0043344B"/>
    <w:rsid w:val="004829BA"/>
    <w:rsid w:val="004832D1"/>
    <w:rsid w:val="004B465C"/>
    <w:rsid w:val="00535F23"/>
    <w:rsid w:val="005378CD"/>
    <w:rsid w:val="005420A8"/>
    <w:rsid w:val="00544568"/>
    <w:rsid w:val="00555F5C"/>
    <w:rsid w:val="0057505F"/>
    <w:rsid w:val="00584CCB"/>
    <w:rsid w:val="005872E5"/>
    <w:rsid w:val="005A2A6B"/>
    <w:rsid w:val="005D41DC"/>
    <w:rsid w:val="005D6198"/>
    <w:rsid w:val="005F5B49"/>
    <w:rsid w:val="006157B0"/>
    <w:rsid w:val="0062137E"/>
    <w:rsid w:val="00623BDE"/>
    <w:rsid w:val="00644CBF"/>
    <w:rsid w:val="00644DE6"/>
    <w:rsid w:val="00662BD0"/>
    <w:rsid w:val="006A107F"/>
    <w:rsid w:val="006B1E6A"/>
    <w:rsid w:val="006B3B74"/>
    <w:rsid w:val="006E59F0"/>
    <w:rsid w:val="00734F37"/>
    <w:rsid w:val="0076392F"/>
    <w:rsid w:val="007778FB"/>
    <w:rsid w:val="007867C3"/>
    <w:rsid w:val="00791D58"/>
    <w:rsid w:val="007976C3"/>
    <w:rsid w:val="007C1749"/>
    <w:rsid w:val="007C2790"/>
    <w:rsid w:val="007D3160"/>
    <w:rsid w:val="007E7BA7"/>
    <w:rsid w:val="008273FC"/>
    <w:rsid w:val="00833644"/>
    <w:rsid w:val="008428B1"/>
    <w:rsid w:val="008572ED"/>
    <w:rsid w:val="0088114E"/>
    <w:rsid w:val="008C4C51"/>
    <w:rsid w:val="008E3F34"/>
    <w:rsid w:val="008E7106"/>
    <w:rsid w:val="008F36A4"/>
    <w:rsid w:val="00925B1F"/>
    <w:rsid w:val="00945F41"/>
    <w:rsid w:val="00946424"/>
    <w:rsid w:val="0095397D"/>
    <w:rsid w:val="009A7D43"/>
    <w:rsid w:val="009B1FCE"/>
    <w:rsid w:val="009E3FEE"/>
    <w:rsid w:val="009F0C56"/>
    <w:rsid w:val="00A05847"/>
    <w:rsid w:val="00A059CE"/>
    <w:rsid w:val="00A17A0D"/>
    <w:rsid w:val="00A71355"/>
    <w:rsid w:val="00A91DD0"/>
    <w:rsid w:val="00AB00A0"/>
    <w:rsid w:val="00AB5155"/>
    <w:rsid w:val="00AD2E63"/>
    <w:rsid w:val="00B23DB1"/>
    <w:rsid w:val="00B40CBE"/>
    <w:rsid w:val="00BA2C18"/>
    <w:rsid w:val="00BC5EE1"/>
    <w:rsid w:val="00BE0C75"/>
    <w:rsid w:val="00BE3791"/>
    <w:rsid w:val="00BF0332"/>
    <w:rsid w:val="00BF0893"/>
    <w:rsid w:val="00C20D0B"/>
    <w:rsid w:val="00C251B6"/>
    <w:rsid w:val="00C35593"/>
    <w:rsid w:val="00C375F0"/>
    <w:rsid w:val="00C973E0"/>
    <w:rsid w:val="00CC662F"/>
    <w:rsid w:val="00CD23AE"/>
    <w:rsid w:val="00CE2645"/>
    <w:rsid w:val="00D007FA"/>
    <w:rsid w:val="00D10500"/>
    <w:rsid w:val="00D128D9"/>
    <w:rsid w:val="00D12CAE"/>
    <w:rsid w:val="00D35A6C"/>
    <w:rsid w:val="00D45A42"/>
    <w:rsid w:val="00D775E6"/>
    <w:rsid w:val="00DB2696"/>
    <w:rsid w:val="00E547F1"/>
    <w:rsid w:val="00E70B27"/>
    <w:rsid w:val="00E85AC7"/>
    <w:rsid w:val="00EA5B6E"/>
    <w:rsid w:val="00EB4EF3"/>
    <w:rsid w:val="00EC3F4B"/>
    <w:rsid w:val="00ED2755"/>
    <w:rsid w:val="00EF32BD"/>
    <w:rsid w:val="00EF6487"/>
    <w:rsid w:val="00EF6CA6"/>
    <w:rsid w:val="00F16E5C"/>
    <w:rsid w:val="00F1774B"/>
    <w:rsid w:val="00F25535"/>
    <w:rsid w:val="00F40DCC"/>
    <w:rsid w:val="00F65B2B"/>
    <w:rsid w:val="00F94C59"/>
    <w:rsid w:val="00FB3527"/>
    <w:rsid w:val="00FB5692"/>
    <w:rsid w:val="00FD79F6"/>
    <w:rsid w:val="00FE1118"/>
    <w:rsid w:val="00FF0292"/>
    <w:rsid w:val="06DC407F"/>
    <w:rsid w:val="078837B6"/>
    <w:rsid w:val="08CFCEE0"/>
    <w:rsid w:val="0A9109DE"/>
    <w:rsid w:val="0AB3A8F0"/>
    <w:rsid w:val="0BAFB1A2"/>
    <w:rsid w:val="0C5485ED"/>
    <w:rsid w:val="0DA34003"/>
    <w:rsid w:val="0F9604E3"/>
    <w:rsid w:val="0FDD171B"/>
    <w:rsid w:val="101AC53B"/>
    <w:rsid w:val="11B6959C"/>
    <w:rsid w:val="11FFA47C"/>
    <w:rsid w:val="121EF326"/>
    <w:rsid w:val="13BAC387"/>
    <w:rsid w:val="1451961E"/>
    <w:rsid w:val="15EE622D"/>
    <w:rsid w:val="1655D262"/>
    <w:rsid w:val="1724ED93"/>
    <w:rsid w:val="1B265E85"/>
    <w:rsid w:val="1B8CB8A0"/>
    <w:rsid w:val="1E7CC74D"/>
    <w:rsid w:val="23F66BA4"/>
    <w:rsid w:val="2616FA0A"/>
    <w:rsid w:val="2A86ABFE"/>
    <w:rsid w:val="2CA25B7C"/>
    <w:rsid w:val="2E3E2BDD"/>
    <w:rsid w:val="309D020E"/>
    <w:rsid w:val="3389B618"/>
    <w:rsid w:val="34D15C4E"/>
    <w:rsid w:val="3568E234"/>
    <w:rsid w:val="35FD060E"/>
    <w:rsid w:val="39204BB7"/>
    <w:rsid w:val="3E117AAB"/>
    <w:rsid w:val="3E25441A"/>
    <w:rsid w:val="400B186A"/>
    <w:rsid w:val="40EA64A9"/>
    <w:rsid w:val="41491B6D"/>
    <w:rsid w:val="41A6E8CB"/>
    <w:rsid w:val="42C260B9"/>
    <w:rsid w:val="42CF58AB"/>
    <w:rsid w:val="44025B60"/>
    <w:rsid w:val="44681277"/>
    <w:rsid w:val="4818733E"/>
    <w:rsid w:val="4A05140A"/>
    <w:rsid w:val="4B734F5A"/>
    <w:rsid w:val="4C621DB4"/>
    <w:rsid w:val="4D5D05F2"/>
    <w:rsid w:val="4DE8A32B"/>
    <w:rsid w:val="4E3AEA14"/>
    <w:rsid w:val="51801A0C"/>
    <w:rsid w:val="52741979"/>
    <w:rsid w:val="576C00FC"/>
    <w:rsid w:val="58A91B51"/>
    <w:rsid w:val="58CCA538"/>
    <w:rsid w:val="59AD8168"/>
    <w:rsid w:val="5C268E88"/>
    <w:rsid w:val="5C3E8971"/>
    <w:rsid w:val="5DCC1767"/>
    <w:rsid w:val="5E6C6590"/>
    <w:rsid w:val="5FB7CBF3"/>
    <w:rsid w:val="5FD7E21B"/>
    <w:rsid w:val="6091A221"/>
    <w:rsid w:val="60F9FFAB"/>
    <w:rsid w:val="616C0325"/>
    <w:rsid w:val="62C9ED89"/>
    <w:rsid w:val="62D7A44A"/>
    <w:rsid w:val="64D0F32F"/>
    <w:rsid w:val="65CBAB7A"/>
    <w:rsid w:val="66808B50"/>
    <w:rsid w:val="66DAAA4E"/>
    <w:rsid w:val="695F4A54"/>
    <w:rsid w:val="6964BD16"/>
    <w:rsid w:val="6C3241DE"/>
    <w:rsid w:val="6C449FD8"/>
    <w:rsid w:val="6C7D08B7"/>
    <w:rsid w:val="6CD384E9"/>
    <w:rsid w:val="6E2671FC"/>
    <w:rsid w:val="6E644559"/>
    <w:rsid w:val="6E963092"/>
    <w:rsid w:val="6EB31D49"/>
    <w:rsid w:val="6ECF9B75"/>
    <w:rsid w:val="70B72948"/>
    <w:rsid w:val="724B83D2"/>
    <w:rsid w:val="73E75433"/>
    <w:rsid w:val="740DC765"/>
    <w:rsid w:val="744FB1BD"/>
    <w:rsid w:val="74FE614D"/>
    <w:rsid w:val="7592B083"/>
    <w:rsid w:val="762A17C1"/>
    <w:rsid w:val="76444443"/>
    <w:rsid w:val="7787527F"/>
    <w:rsid w:val="77C5E822"/>
    <w:rsid w:val="77F70A62"/>
    <w:rsid w:val="7961B883"/>
    <w:rsid w:val="7B57F964"/>
    <w:rsid w:val="7E3529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B5D8C"/>
  <w15:chartTrackingRefBased/>
  <w15:docId w15:val="{9408C57C-659A-4318-A20F-536696EAE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3F4B"/>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styleId="Header">
    <w:name w:val="header"/>
    <w:basedOn w:val="Normal"/>
    <w:link w:val="HeaderChar"/>
    <w:uiPriority w:val="99"/>
    <w:unhideWhenUsed/>
    <w:rsid w:val="00EC3F4B"/>
    <w:pPr>
      <w:tabs>
        <w:tab w:val="center" w:pos="4819"/>
        <w:tab w:val="right" w:pos="9638"/>
      </w:tabs>
      <w:spacing w:after="0" w:line="240" w:lineRule="auto"/>
    </w:pPr>
  </w:style>
  <w:style w:type="character" w:customStyle="1" w:styleId="HeaderChar">
    <w:name w:val="Header Char"/>
    <w:basedOn w:val="DefaultParagraphFont"/>
    <w:link w:val="Header"/>
    <w:uiPriority w:val="99"/>
    <w:rsid w:val="00EC3F4B"/>
  </w:style>
  <w:style w:type="paragraph" w:styleId="Footer">
    <w:name w:val="footer"/>
    <w:basedOn w:val="Normal"/>
    <w:link w:val="FooterChar"/>
    <w:uiPriority w:val="99"/>
    <w:unhideWhenUsed/>
    <w:rsid w:val="00EC3F4B"/>
    <w:pPr>
      <w:tabs>
        <w:tab w:val="center" w:pos="4819"/>
        <w:tab w:val="right" w:pos="9638"/>
      </w:tabs>
      <w:spacing w:after="0" w:line="240" w:lineRule="auto"/>
    </w:pPr>
  </w:style>
  <w:style w:type="character" w:customStyle="1" w:styleId="FooterChar">
    <w:name w:val="Footer Char"/>
    <w:basedOn w:val="DefaultParagraphFont"/>
    <w:link w:val="Footer"/>
    <w:uiPriority w:val="99"/>
    <w:rsid w:val="00EC3F4B"/>
  </w:style>
  <w:style w:type="character" w:styleId="CommentReference">
    <w:name w:val="annotation reference"/>
    <w:basedOn w:val="DefaultParagraphFont"/>
    <w:uiPriority w:val="99"/>
    <w:semiHidden/>
    <w:unhideWhenUsed/>
    <w:rsid w:val="00CD23AE"/>
    <w:rPr>
      <w:sz w:val="16"/>
      <w:szCs w:val="16"/>
    </w:rPr>
  </w:style>
  <w:style w:type="paragraph" w:styleId="CommentText">
    <w:name w:val="annotation text"/>
    <w:basedOn w:val="Normal"/>
    <w:link w:val="CommentTextChar"/>
    <w:uiPriority w:val="99"/>
    <w:unhideWhenUsed/>
    <w:rsid w:val="00CD23AE"/>
    <w:pPr>
      <w:spacing w:line="240" w:lineRule="auto"/>
    </w:pPr>
    <w:rPr>
      <w:sz w:val="20"/>
      <w:szCs w:val="20"/>
    </w:rPr>
  </w:style>
  <w:style w:type="character" w:customStyle="1" w:styleId="CommentTextChar">
    <w:name w:val="Comment Text Char"/>
    <w:basedOn w:val="DefaultParagraphFont"/>
    <w:link w:val="CommentText"/>
    <w:uiPriority w:val="99"/>
    <w:rsid w:val="00CD23AE"/>
    <w:rPr>
      <w:sz w:val="20"/>
      <w:szCs w:val="20"/>
    </w:rPr>
  </w:style>
  <w:style w:type="paragraph" w:styleId="CommentSubject">
    <w:name w:val="annotation subject"/>
    <w:basedOn w:val="CommentText"/>
    <w:next w:val="CommentText"/>
    <w:link w:val="CommentSubjectChar"/>
    <w:uiPriority w:val="99"/>
    <w:semiHidden/>
    <w:unhideWhenUsed/>
    <w:rsid w:val="00CD23AE"/>
    <w:rPr>
      <w:b/>
      <w:bCs/>
    </w:rPr>
  </w:style>
  <w:style w:type="character" w:customStyle="1" w:styleId="CommentSubjectChar">
    <w:name w:val="Comment Subject Char"/>
    <w:basedOn w:val="CommentTextChar"/>
    <w:link w:val="CommentSubject"/>
    <w:uiPriority w:val="99"/>
    <w:semiHidden/>
    <w:rsid w:val="00CD23AE"/>
    <w:rPr>
      <w:b/>
      <w:bCs/>
      <w:sz w:val="20"/>
      <w:szCs w:val="20"/>
    </w:rPr>
  </w:style>
  <w:style w:type="paragraph" w:styleId="ListParagraph">
    <w:name w:val="List Paragraph"/>
    <w:basedOn w:val="Normal"/>
    <w:uiPriority w:val="34"/>
    <w:qFormat/>
    <w:rsid w:val="003E67ED"/>
    <w:pPr>
      <w:ind w:left="720"/>
      <w:contextualSpacing/>
    </w:pPr>
  </w:style>
  <w:style w:type="paragraph" w:styleId="Revision">
    <w:name w:val="Revision"/>
    <w:hidden/>
    <w:uiPriority w:val="99"/>
    <w:semiHidden/>
    <w:rsid w:val="00555F5C"/>
    <w:pPr>
      <w:spacing w:after="0" w:line="240" w:lineRule="auto"/>
    </w:pPr>
  </w:style>
  <w:style w:type="character" w:styleId="Hyperlink">
    <w:name w:val="Hyperlink"/>
    <w:basedOn w:val="DefaultParagraphFont"/>
    <w:uiPriority w:val="99"/>
    <w:semiHidden/>
    <w:unhideWhenUsed/>
    <w:rsid w:val="008336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24622">
      <w:bodyDiv w:val="1"/>
      <w:marLeft w:val="0"/>
      <w:marRight w:val="0"/>
      <w:marTop w:val="0"/>
      <w:marBottom w:val="0"/>
      <w:divBdr>
        <w:top w:val="none" w:sz="0" w:space="0" w:color="auto"/>
        <w:left w:val="none" w:sz="0" w:space="0" w:color="auto"/>
        <w:bottom w:val="none" w:sz="0" w:space="0" w:color="auto"/>
        <w:right w:val="none" w:sz="0" w:space="0" w:color="auto"/>
      </w:divBdr>
      <w:divsChild>
        <w:div w:id="1020743594">
          <w:marLeft w:val="0"/>
          <w:marRight w:val="0"/>
          <w:marTop w:val="0"/>
          <w:marBottom w:val="0"/>
          <w:divBdr>
            <w:top w:val="none" w:sz="0" w:space="0" w:color="auto"/>
            <w:left w:val="none" w:sz="0" w:space="0" w:color="auto"/>
            <w:bottom w:val="none" w:sz="0" w:space="0" w:color="auto"/>
            <w:right w:val="none" w:sz="0" w:space="0" w:color="auto"/>
          </w:divBdr>
        </w:div>
      </w:divsChild>
    </w:div>
    <w:div w:id="683944654">
      <w:bodyDiv w:val="1"/>
      <w:marLeft w:val="0"/>
      <w:marRight w:val="0"/>
      <w:marTop w:val="0"/>
      <w:marBottom w:val="0"/>
      <w:divBdr>
        <w:top w:val="none" w:sz="0" w:space="0" w:color="auto"/>
        <w:left w:val="none" w:sz="0" w:space="0" w:color="auto"/>
        <w:bottom w:val="none" w:sz="0" w:space="0" w:color="auto"/>
        <w:right w:val="none" w:sz="0" w:space="0" w:color="auto"/>
      </w:divBdr>
    </w:div>
    <w:div w:id="987707958">
      <w:bodyDiv w:val="1"/>
      <w:marLeft w:val="0"/>
      <w:marRight w:val="0"/>
      <w:marTop w:val="0"/>
      <w:marBottom w:val="0"/>
      <w:divBdr>
        <w:top w:val="none" w:sz="0" w:space="0" w:color="auto"/>
        <w:left w:val="none" w:sz="0" w:space="0" w:color="auto"/>
        <w:bottom w:val="none" w:sz="0" w:space="0" w:color="auto"/>
        <w:right w:val="none" w:sz="0" w:space="0" w:color="auto"/>
      </w:divBdr>
    </w:div>
    <w:div w:id="1169173797">
      <w:bodyDiv w:val="1"/>
      <w:marLeft w:val="0"/>
      <w:marRight w:val="0"/>
      <w:marTop w:val="0"/>
      <w:marBottom w:val="0"/>
      <w:divBdr>
        <w:top w:val="none" w:sz="0" w:space="0" w:color="auto"/>
        <w:left w:val="none" w:sz="0" w:space="0" w:color="auto"/>
        <w:bottom w:val="none" w:sz="0" w:space="0" w:color="auto"/>
        <w:right w:val="none" w:sz="0" w:space="0" w:color="auto"/>
      </w:divBdr>
    </w:div>
    <w:div w:id="1304584772">
      <w:bodyDiv w:val="1"/>
      <w:marLeft w:val="0"/>
      <w:marRight w:val="0"/>
      <w:marTop w:val="0"/>
      <w:marBottom w:val="0"/>
      <w:divBdr>
        <w:top w:val="none" w:sz="0" w:space="0" w:color="auto"/>
        <w:left w:val="none" w:sz="0" w:space="0" w:color="auto"/>
        <w:bottom w:val="none" w:sz="0" w:space="0" w:color="auto"/>
        <w:right w:val="none" w:sz="0" w:space="0" w:color="auto"/>
      </w:divBdr>
      <w:divsChild>
        <w:div w:id="905456348">
          <w:marLeft w:val="446"/>
          <w:marRight w:val="0"/>
          <w:marTop w:val="0"/>
          <w:marBottom w:val="0"/>
          <w:divBdr>
            <w:top w:val="none" w:sz="0" w:space="0" w:color="auto"/>
            <w:left w:val="none" w:sz="0" w:space="0" w:color="auto"/>
            <w:bottom w:val="none" w:sz="0" w:space="0" w:color="auto"/>
            <w:right w:val="none" w:sz="0" w:space="0" w:color="auto"/>
          </w:divBdr>
        </w:div>
      </w:divsChild>
    </w:div>
    <w:div w:id="1550066930">
      <w:bodyDiv w:val="1"/>
      <w:marLeft w:val="0"/>
      <w:marRight w:val="0"/>
      <w:marTop w:val="0"/>
      <w:marBottom w:val="0"/>
      <w:divBdr>
        <w:top w:val="none" w:sz="0" w:space="0" w:color="auto"/>
        <w:left w:val="none" w:sz="0" w:space="0" w:color="auto"/>
        <w:bottom w:val="none" w:sz="0" w:space="0" w:color="auto"/>
        <w:right w:val="none" w:sz="0" w:space="0" w:color="auto"/>
      </w:divBdr>
      <w:divsChild>
        <w:div w:id="1986273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C58637893DC0D429DC3AE19E219F7E8" ma:contentTypeVersion="19" ma:contentTypeDescription="Create a new document." ma:contentTypeScope="" ma:versionID="5e1296ddd325330b9f11ceb67dde1af5">
  <xsd:schema xmlns:xsd="http://www.w3.org/2001/XMLSchema" xmlns:xs="http://www.w3.org/2001/XMLSchema" xmlns:p="http://schemas.microsoft.com/office/2006/metadata/properties" xmlns:ns1="http://schemas.microsoft.com/sharepoint/v3" xmlns:ns2="37c200bf-fdc1-46bc-bdff-356f9f1e4327" xmlns:ns3="25007d11-5578-4cae-8812-a4a3323310ea" targetNamespace="http://schemas.microsoft.com/office/2006/metadata/properties" ma:root="true" ma:fieldsID="ce5ebd926aae75d6ff65a323abcef07a" ns1:_="" ns2:_="" ns3:_="">
    <xsd:import namespace="http://schemas.microsoft.com/sharepoint/v3"/>
    <xsd:import namespace="37c200bf-fdc1-46bc-bdff-356f9f1e4327"/>
    <xsd:import namespace="25007d11-5578-4cae-8812-a4a3323310e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c200bf-fdc1-46bc-bdff-356f9f1e43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622e554d-1d80-41e5-96db-a9f42aeca3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007d11-5578-4cae-8812-a4a3323310ea"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1b934572-96a7-43b1-be1b-302a1eedf43c}" ma:internalName="TaxCatchAll" ma:showField="CatchAllData" ma:web="25007d11-5578-4cae-8812-a4a3323310e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29734-13D8-486B-A6D4-E5F81096206D}">
  <ds:schemaRefs>
    <ds:schemaRef ds:uri="http://schemas.microsoft.com/sharepoint/v3/contenttype/forms"/>
  </ds:schemaRefs>
</ds:datastoreItem>
</file>

<file path=customXml/itemProps2.xml><?xml version="1.0" encoding="utf-8"?>
<ds:datastoreItem xmlns:ds="http://schemas.openxmlformats.org/officeDocument/2006/customXml" ds:itemID="{87A45C7B-2D24-4F47-AC02-1306F3C4B3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7c200bf-fdc1-46bc-bdff-356f9f1e4327"/>
    <ds:schemaRef ds:uri="25007d11-5578-4cae-8812-a4a3323310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862468-68B1-4CA4-8B1C-C8B2444A5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3087</Words>
  <Characters>1761</Characters>
  <Application>Microsoft Office Word</Application>
  <DocSecurity>0</DocSecurity>
  <Lines>14</Lines>
  <Paragraphs>9</Paragraphs>
  <ScaleCrop>false</ScaleCrop>
  <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Goda Budreikaitė</dc:creator>
  <cp:keywords/>
  <dc:description/>
  <cp:lastModifiedBy>Goda Budreikaitė</cp:lastModifiedBy>
  <cp:revision>9</cp:revision>
  <dcterms:created xsi:type="dcterms:W3CDTF">2023-11-30T07:36:00Z</dcterms:created>
  <dcterms:modified xsi:type="dcterms:W3CDTF">2023-12-05T06:45:00Z</dcterms:modified>
</cp:coreProperties>
</file>