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488B6" w14:textId="77777777" w:rsidR="00032A5C" w:rsidRPr="00B67B61" w:rsidRDefault="00032A5C" w:rsidP="00032A5C">
      <w:pPr>
        <w:spacing w:after="0"/>
        <w:jc w:val="both"/>
        <w:rPr>
          <w:rFonts w:ascii="Times New Roman" w:hAnsi="Times New Roman" w:cs="Times New Roman"/>
          <w:b/>
          <w:bCs/>
          <w:sz w:val="24"/>
          <w:szCs w:val="24"/>
        </w:rPr>
      </w:pPr>
      <w:r w:rsidRPr="00B67B61">
        <w:rPr>
          <w:rFonts w:ascii="Times New Roman" w:hAnsi="Times New Roman" w:cs="Times New Roman"/>
          <w:b/>
          <w:bCs/>
          <w:sz w:val="24"/>
          <w:szCs w:val="24"/>
        </w:rPr>
        <w:t>Pranešimas žiniasklaidai</w:t>
      </w:r>
    </w:p>
    <w:p w14:paraId="2E8D5D66" w14:textId="5F87FA48" w:rsidR="00032A5C" w:rsidRPr="00B67B61" w:rsidRDefault="00032A5C" w:rsidP="00032A5C">
      <w:pPr>
        <w:spacing w:after="0"/>
        <w:jc w:val="both"/>
        <w:rPr>
          <w:rFonts w:ascii="Times New Roman" w:hAnsi="Times New Roman" w:cs="Times New Roman"/>
          <w:b/>
          <w:bCs/>
          <w:sz w:val="24"/>
          <w:szCs w:val="24"/>
        </w:rPr>
      </w:pPr>
      <w:r w:rsidRPr="00B67B61">
        <w:rPr>
          <w:rFonts w:ascii="Times New Roman" w:hAnsi="Times New Roman" w:cs="Times New Roman"/>
          <w:b/>
          <w:bCs/>
          <w:sz w:val="24"/>
          <w:szCs w:val="24"/>
        </w:rPr>
        <w:t>202</w:t>
      </w:r>
      <w:r>
        <w:rPr>
          <w:rFonts w:ascii="Times New Roman" w:hAnsi="Times New Roman" w:cs="Times New Roman"/>
          <w:b/>
          <w:bCs/>
          <w:sz w:val="24"/>
          <w:szCs w:val="24"/>
        </w:rPr>
        <w:t>4</w:t>
      </w:r>
      <w:r w:rsidRPr="00B67B61">
        <w:rPr>
          <w:rFonts w:ascii="Times New Roman" w:hAnsi="Times New Roman" w:cs="Times New Roman"/>
          <w:b/>
          <w:bCs/>
          <w:sz w:val="24"/>
          <w:szCs w:val="24"/>
        </w:rPr>
        <w:t xml:space="preserve"> m. </w:t>
      </w:r>
      <w:r>
        <w:rPr>
          <w:rFonts w:ascii="Times New Roman" w:hAnsi="Times New Roman" w:cs="Times New Roman"/>
          <w:b/>
          <w:bCs/>
          <w:sz w:val="24"/>
          <w:szCs w:val="24"/>
        </w:rPr>
        <w:t>sausio</w:t>
      </w:r>
      <w:r w:rsidRPr="00B67B61">
        <w:rPr>
          <w:rFonts w:ascii="Times New Roman" w:hAnsi="Times New Roman" w:cs="Times New Roman"/>
          <w:b/>
          <w:bCs/>
          <w:sz w:val="24"/>
          <w:szCs w:val="24"/>
        </w:rPr>
        <w:t xml:space="preserve"> 0</w:t>
      </w:r>
      <w:r w:rsidR="003146A3">
        <w:rPr>
          <w:rFonts w:ascii="Times New Roman" w:hAnsi="Times New Roman" w:cs="Times New Roman"/>
          <w:b/>
          <w:bCs/>
          <w:sz w:val="24"/>
          <w:szCs w:val="24"/>
        </w:rPr>
        <w:t>5</w:t>
      </w:r>
      <w:r w:rsidRPr="00B67B61">
        <w:rPr>
          <w:rFonts w:ascii="Times New Roman" w:hAnsi="Times New Roman" w:cs="Times New Roman"/>
          <w:b/>
          <w:bCs/>
          <w:sz w:val="24"/>
          <w:szCs w:val="24"/>
        </w:rPr>
        <w:t xml:space="preserve"> d.</w:t>
      </w:r>
    </w:p>
    <w:p w14:paraId="26DCE1F0" w14:textId="77777777" w:rsidR="00032A5C" w:rsidRDefault="00032A5C" w:rsidP="00645CA2">
      <w:pPr>
        <w:jc w:val="both"/>
        <w:rPr>
          <w:rFonts w:ascii="Times New Roman" w:hAnsi="Times New Roman" w:cs="Times New Roman"/>
          <w:b/>
          <w:bCs/>
          <w:sz w:val="26"/>
          <w:szCs w:val="26"/>
        </w:rPr>
      </w:pPr>
    </w:p>
    <w:p w14:paraId="56D606E5" w14:textId="36C07CA4" w:rsidR="00CF14B7" w:rsidRPr="00032A5C" w:rsidRDefault="00645CA2" w:rsidP="00645CA2">
      <w:pPr>
        <w:jc w:val="both"/>
        <w:rPr>
          <w:rFonts w:ascii="Times New Roman" w:hAnsi="Times New Roman" w:cs="Times New Roman"/>
          <w:b/>
          <w:bCs/>
          <w:sz w:val="28"/>
          <w:szCs w:val="28"/>
        </w:rPr>
      </w:pPr>
      <w:r w:rsidRPr="00032A5C">
        <w:rPr>
          <w:rFonts w:ascii="Times New Roman" w:hAnsi="Times New Roman" w:cs="Times New Roman"/>
          <w:b/>
          <w:bCs/>
          <w:sz w:val="28"/>
          <w:szCs w:val="28"/>
        </w:rPr>
        <w:t xml:space="preserve">Pensijų fondų </w:t>
      </w:r>
      <w:r w:rsidR="00CF14B7" w:rsidRPr="00032A5C">
        <w:rPr>
          <w:rFonts w:ascii="Times New Roman" w:hAnsi="Times New Roman" w:cs="Times New Roman"/>
          <w:b/>
          <w:bCs/>
          <w:sz w:val="28"/>
          <w:szCs w:val="28"/>
        </w:rPr>
        <w:t xml:space="preserve">rezultatai </w:t>
      </w:r>
      <w:r w:rsidR="00CF14B7" w:rsidRPr="000231EB">
        <w:rPr>
          <w:rFonts w:ascii="Times New Roman" w:hAnsi="Times New Roman" w:cs="Times New Roman"/>
          <w:b/>
          <w:bCs/>
          <w:sz w:val="28"/>
          <w:szCs w:val="28"/>
        </w:rPr>
        <w:t>2023 metais: +14</w:t>
      </w:r>
      <w:r w:rsidR="009F2B27">
        <w:rPr>
          <w:rFonts w:ascii="Times New Roman" w:hAnsi="Times New Roman" w:cs="Times New Roman"/>
          <w:b/>
          <w:bCs/>
          <w:sz w:val="28"/>
          <w:szCs w:val="28"/>
        </w:rPr>
        <w:t>,2</w:t>
      </w:r>
      <w:r w:rsidR="00CF14B7" w:rsidRPr="000231EB">
        <w:rPr>
          <w:rFonts w:ascii="Times New Roman" w:hAnsi="Times New Roman" w:cs="Times New Roman"/>
          <w:b/>
          <w:bCs/>
          <w:sz w:val="28"/>
          <w:szCs w:val="28"/>
        </w:rPr>
        <w:t xml:space="preserve"> proc. </w:t>
      </w:r>
      <w:r w:rsidR="000C59B2" w:rsidRPr="000231EB">
        <w:rPr>
          <w:rFonts w:ascii="Times New Roman" w:hAnsi="Times New Roman" w:cs="Times New Roman"/>
          <w:b/>
          <w:bCs/>
          <w:sz w:val="28"/>
          <w:szCs w:val="28"/>
        </w:rPr>
        <w:t>iš</w:t>
      </w:r>
      <w:r w:rsidR="00CF14B7" w:rsidRPr="000231EB">
        <w:rPr>
          <w:rFonts w:ascii="Times New Roman" w:hAnsi="Times New Roman" w:cs="Times New Roman"/>
          <w:b/>
          <w:bCs/>
          <w:sz w:val="28"/>
          <w:szCs w:val="28"/>
        </w:rPr>
        <w:t xml:space="preserve">augusi </w:t>
      </w:r>
      <w:r w:rsidR="005064B6">
        <w:rPr>
          <w:rFonts w:ascii="Times New Roman" w:hAnsi="Times New Roman" w:cs="Times New Roman"/>
          <w:b/>
          <w:bCs/>
          <w:sz w:val="28"/>
          <w:szCs w:val="28"/>
        </w:rPr>
        <w:t xml:space="preserve">II pakopos </w:t>
      </w:r>
      <w:r w:rsidR="00CF14B7" w:rsidRPr="000231EB">
        <w:rPr>
          <w:rFonts w:ascii="Times New Roman" w:hAnsi="Times New Roman" w:cs="Times New Roman"/>
          <w:b/>
          <w:bCs/>
          <w:sz w:val="28"/>
          <w:szCs w:val="28"/>
        </w:rPr>
        <w:t>gr</w:t>
      </w:r>
      <w:r w:rsidR="00CF14B7" w:rsidRPr="00032A5C">
        <w:rPr>
          <w:rFonts w:ascii="Times New Roman" w:hAnsi="Times New Roman" w:cs="Times New Roman"/>
          <w:b/>
          <w:bCs/>
          <w:sz w:val="28"/>
          <w:szCs w:val="28"/>
        </w:rPr>
        <w:t xml:space="preserve">ąža, </w:t>
      </w:r>
      <w:r w:rsidR="000231EB">
        <w:rPr>
          <w:rFonts w:ascii="Times New Roman" w:hAnsi="Times New Roman" w:cs="Times New Roman"/>
          <w:b/>
          <w:bCs/>
          <w:sz w:val="28"/>
          <w:szCs w:val="28"/>
        </w:rPr>
        <w:t>turtas</w:t>
      </w:r>
      <w:r w:rsidR="00CF14B7" w:rsidRPr="00032A5C">
        <w:rPr>
          <w:rFonts w:ascii="Times New Roman" w:hAnsi="Times New Roman" w:cs="Times New Roman"/>
          <w:b/>
          <w:bCs/>
          <w:sz w:val="28"/>
          <w:szCs w:val="28"/>
        </w:rPr>
        <w:t xml:space="preserve"> pasiekė </w:t>
      </w:r>
      <w:r w:rsidR="00032A5C" w:rsidRPr="003146A3">
        <w:rPr>
          <w:rFonts w:ascii="Times New Roman" w:hAnsi="Times New Roman" w:cs="Times New Roman"/>
          <w:b/>
          <w:bCs/>
          <w:sz w:val="28"/>
          <w:szCs w:val="28"/>
        </w:rPr>
        <w:t>7,</w:t>
      </w:r>
      <w:r w:rsidR="00FD19B5">
        <w:rPr>
          <w:rFonts w:ascii="Times New Roman" w:hAnsi="Times New Roman" w:cs="Times New Roman"/>
          <w:b/>
          <w:bCs/>
          <w:sz w:val="28"/>
          <w:szCs w:val="28"/>
        </w:rPr>
        <w:t>1</w:t>
      </w:r>
      <w:r w:rsidR="00FD19B5" w:rsidRPr="003146A3">
        <w:rPr>
          <w:rFonts w:ascii="Times New Roman" w:hAnsi="Times New Roman" w:cs="Times New Roman"/>
          <w:b/>
          <w:bCs/>
          <w:sz w:val="28"/>
          <w:szCs w:val="28"/>
        </w:rPr>
        <w:t xml:space="preserve"> </w:t>
      </w:r>
      <w:r w:rsidR="00CF14B7" w:rsidRPr="003146A3">
        <w:rPr>
          <w:rFonts w:ascii="Times New Roman" w:hAnsi="Times New Roman" w:cs="Times New Roman"/>
          <w:b/>
          <w:bCs/>
          <w:sz w:val="28"/>
          <w:szCs w:val="28"/>
        </w:rPr>
        <w:t>mlrd</w:t>
      </w:r>
      <w:r w:rsidR="00CF14B7" w:rsidRPr="00032A5C">
        <w:rPr>
          <w:rFonts w:ascii="Times New Roman" w:hAnsi="Times New Roman" w:cs="Times New Roman"/>
          <w:b/>
          <w:bCs/>
          <w:sz w:val="28"/>
          <w:szCs w:val="28"/>
        </w:rPr>
        <w:t>. eurų</w:t>
      </w:r>
    </w:p>
    <w:p w14:paraId="5B58FC63" w14:textId="4702B794" w:rsidR="00125F81" w:rsidRPr="00032A5C" w:rsidRDefault="009946CC" w:rsidP="00645CA2">
      <w:pPr>
        <w:jc w:val="both"/>
        <w:rPr>
          <w:rFonts w:ascii="Times New Roman" w:hAnsi="Times New Roman" w:cs="Times New Roman"/>
          <w:b/>
          <w:bCs/>
          <w:sz w:val="24"/>
          <w:szCs w:val="24"/>
        </w:rPr>
      </w:pPr>
      <w:r w:rsidRPr="00032A5C">
        <w:rPr>
          <w:rFonts w:ascii="Times New Roman" w:hAnsi="Times New Roman" w:cs="Times New Roman"/>
          <w:b/>
          <w:bCs/>
          <w:sz w:val="24"/>
          <w:szCs w:val="24"/>
        </w:rPr>
        <w:t xml:space="preserve">2023-ieji investuotojams, tarp kurių </w:t>
      </w:r>
      <w:r w:rsidR="006E2A95" w:rsidRPr="00032A5C">
        <w:rPr>
          <w:rFonts w:ascii="Times New Roman" w:hAnsi="Times New Roman" w:cs="Times New Roman"/>
          <w:b/>
          <w:bCs/>
          <w:sz w:val="24"/>
          <w:szCs w:val="24"/>
        </w:rPr>
        <w:t xml:space="preserve">yra </w:t>
      </w:r>
      <w:r w:rsidRPr="00032A5C">
        <w:rPr>
          <w:rFonts w:ascii="Times New Roman" w:hAnsi="Times New Roman" w:cs="Times New Roman"/>
          <w:b/>
          <w:bCs/>
          <w:sz w:val="24"/>
          <w:szCs w:val="24"/>
        </w:rPr>
        <w:t>daugiau nei 1</w:t>
      </w:r>
      <w:r w:rsidR="00FD19B5">
        <w:rPr>
          <w:rFonts w:ascii="Times New Roman" w:hAnsi="Times New Roman" w:cs="Times New Roman"/>
          <w:b/>
          <w:bCs/>
          <w:sz w:val="24"/>
          <w:szCs w:val="24"/>
        </w:rPr>
        <w:t>.4</w:t>
      </w:r>
      <w:r w:rsidRPr="00032A5C">
        <w:rPr>
          <w:rFonts w:ascii="Times New Roman" w:hAnsi="Times New Roman" w:cs="Times New Roman"/>
          <w:b/>
          <w:bCs/>
          <w:sz w:val="24"/>
          <w:szCs w:val="24"/>
        </w:rPr>
        <w:t xml:space="preserve"> mln. pensijai kaupiančių Lietuvos dirbančiųjų, leido padidinti </w:t>
      </w:r>
      <w:r w:rsidR="006D478C">
        <w:rPr>
          <w:rFonts w:ascii="Times New Roman" w:hAnsi="Times New Roman" w:cs="Times New Roman"/>
          <w:b/>
          <w:bCs/>
          <w:sz w:val="24"/>
          <w:szCs w:val="24"/>
        </w:rPr>
        <w:t>kaupiančiųjų turto</w:t>
      </w:r>
      <w:r w:rsidRPr="00032A5C">
        <w:rPr>
          <w:rFonts w:ascii="Times New Roman" w:hAnsi="Times New Roman" w:cs="Times New Roman"/>
          <w:b/>
          <w:bCs/>
          <w:sz w:val="24"/>
          <w:szCs w:val="24"/>
        </w:rPr>
        <w:t xml:space="preserve"> vertę. Preliminariais duomenimis, </w:t>
      </w:r>
      <w:r w:rsidR="00125F81" w:rsidRPr="00032A5C">
        <w:rPr>
          <w:rFonts w:ascii="Times New Roman" w:hAnsi="Times New Roman" w:cs="Times New Roman"/>
          <w:b/>
          <w:bCs/>
          <w:sz w:val="24"/>
          <w:szCs w:val="24"/>
        </w:rPr>
        <w:t xml:space="preserve">šalies II pakopos pensijų fondų svertinė </w:t>
      </w:r>
      <w:r w:rsidR="000231EB">
        <w:rPr>
          <w:rFonts w:ascii="Times New Roman" w:hAnsi="Times New Roman" w:cs="Times New Roman"/>
          <w:b/>
          <w:bCs/>
          <w:sz w:val="24"/>
          <w:szCs w:val="24"/>
        </w:rPr>
        <w:t xml:space="preserve">investicinė </w:t>
      </w:r>
      <w:r w:rsidR="00125F81" w:rsidRPr="00032A5C">
        <w:rPr>
          <w:rFonts w:ascii="Times New Roman" w:hAnsi="Times New Roman" w:cs="Times New Roman"/>
          <w:b/>
          <w:bCs/>
          <w:sz w:val="24"/>
          <w:szCs w:val="24"/>
        </w:rPr>
        <w:t>grąža pernai buvo teigiama ir siekė +14,</w:t>
      </w:r>
      <w:r w:rsidR="000231EB">
        <w:rPr>
          <w:rFonts w:ascii="Times New Roman" w:hAnsi="Times New Roman" w:cs="Times New Roman"/>
          <w:b/>
          <w:bCs/>
          <w:sz w:val="24"/>
          <w:szCs w:val="24"/>
        </w:rPr>
        <w:t>2</w:t>
      </w:r>
      <w:r w:rsidR="000231EB" w:rsidRPr="00032A5C">
        <w:rPr>
          <w:rFonts w:ascii="Times New Roman" w:hAnsi="Times New Roman" w:cs="Times New Roman"/>
          <w:b/>
          <w:bCs/>
          <w:sz w:val="24"/>
          <w:szCs w:val="24"/>
        </w:rPr>
        <w:t xml:space="preserve"> </w:t>
      </w:r>
      <w:r w:rsidR="00125F81" w:rsidRPr="00032A5C">
        <w:rPr>
          <w:rFonts w:ascii="Times New Roman" w:hAnsi="Times New Roman" w:cs="Times New Roman"/>
          <w:b/>
          <w:bCs/>
          <w:sz w:val="24"/>
          <w:szCs w:val="24"/>
        </w:rPr>
        <w:t xml:space="preserve">proc., o </w:t>
      </w:r>
      <w:r w:rsidR="005064B6">
        <w:rPr>
          <w:rFonts w:ascii="Times New Roman" w:hAnsi="Times New Roman" w:cs="Times New Roman"/>
          <w:b/>
          <w:bCs/>
          <w:sz w:val="24"/>
          <w:szCs w:val="24"/>
        </w:rPr>
        <w:t xml:space="preserve">kaupiančiųjų </w:t>
      </w:r>
      <w:r w:rsidR="00125F81" w:rsidRPr="00032A5C">
        <w:rPr>
          <w:rFonts w:ascii="Times New Roman" w:hAnsi="Times New Roman" w:cs="Times New Roman"/>
          <w:b/>
          <w:bCs/>
          <w:sz w:val="24"/>
          <w:szCs w:val="24"/>
        </w:rPr>
        <w:t>turto vertė per metus išaugo 27,3 proc. iki 7,</w:t>
      </w:r>
      <w:r w:rsidR="00FD19B5">
        <w:rPr>
          <w:rFonts w:ascii="Times New Roman" w:hAnsi="Times New Roman" w:cs="Times New Roman"/>
          <w:b/>
          <w:bCs/>
          <w:sz w:val="24"/>
          <w:szCs w:val="24"/>
        </w:rPr>
        <w:t>1</w:t>
      </w:r>
      <w:r w:rsidR="00FD19B5" w:rsidRPr="00032A5C">
        <w:rPr>
          <w:rFonts w:ascii="Times New Roman" w:hAnsi="Times New Roman" w:cs="Times New Roman"/>
          <w:b/>
          <w:bCs/>
          <w:sz w:val="24"/>
          <w:szCs w:val="24"/>
        </w:rPr>
        <w:t xml:space="preserve"> </w:t>
      </w:r>
      <w:r w:rsidR="00125F81" w:rsidRPr="00032A5C">
        <w:rPr>
          <w:rFonts w:ascii="Times New Roman" w:hAnsi="Times New Roman" w:cs="Times New Roman"/>
          <w:b/>
          <w:bCs/>
          <w:sz w:val="24"/>
          <w:szCs w:val="24"/>
        </w:rPr>
        <w:t>mlrd. eurų.</w:t>
      </w:r>
    </w:p>
    <w:p w14:paraId="7B7E36AC" w14:textId="759A8E8E" w:rsidR="007C313F" w:rsidRPr="00032A5C" w:rsidRDefault="006E2A95" w:rsidP="00645CA2">
      <w:pPr>
        <w:jc w:val="both"/>
        <w:rPr>
          <w:rFonts w:ascii="Times New Roman" w:hAnsi="Times New Roman" w:cs="Times New Roman"/>
          <w:sz w:val="24"/>
          <w:szCs w:val="24"/>
        </w:rPr>
      </w:pPr>
      <w:r w:rsidRPr="00032A5C">
        <w:rPr>
          <w:rFonts w:ascii="Times New Roman" w:hAnsi="Times New Roman" w:cs="Times New Roman"/>
          <w:sz w:val="24"/>
          <w:szCs w:val="24"/>
        </w:rPr>
        <w:t xml:space="preserve">Lietuvos III pakopos pensijų fondai pernai uždirbo +12,5 proc. svertinę </w:t>
      </w:r>
      <w:r w:rsidR="000231EB">
        <w:rPr>
          <w:rFonts w:ascii="Times New Roman" w:hAnsi="Times New Roman" w:cs="Times New Roman"/>
          <w:sz w:val="24"/>
          <w:szCs w:val="24"/>
        </w:rPr>
        <w:t xml:space="preserve">investicinę </w:t>
      </w:r>
      <w:r w:rsidRPr="00032A5C">
        <w:rPr>
          <w:rFonts w:ascii="Times New Roman" w:hAnsi="Times New Roman" w:cs="Times New Roman"/>
          <w:sz w:val="24"/>
          <w:szCs w:val="24"/>
        </w:rPr>
        <w:t>grąžą, jų valdomo turto vertė pasiekė 293,9 mln. eurų ir buvo 32,4 proc. didesnė nei prieš metus.</w:t>
      </w:r>
    </w:p>
    <w:p w14:paraId="7F1396AF" w14:textId="586DF24D" w:rsidR="007C313F" w:rsidRPr="00032A5C" w:rsidRDefault="007C313F" w:rsidP="00645CA2">
      <w:pPr>
        <w:jc w:val="both"/>
        <w:rPr>
          <w:rFonts w:ascii="Times New Roman" w:hAnsi="Times New Roman" w:cs="Times New Roman"/>
          <w:b/>
          <w:bCs/>
          <w:sz w:val="24"/>
          <w:szCs w:val="24"/>
        </w:rPr>
      </w:pPr>
      <w:r w:rsidRPr="00032A5C">
        <w:rPr>
          <w:rFonts w:ascii="Times New Roman" w:hAnsi="Times New Roman" w:cs="Times New Roman"/>
          <w:b/>
          <w:bCs/>
          <w:sz w:val="24"/>
          <w:szCs w:val="24"/>
        </w:rPr>
        <w:t xml:space="preserve">Realybė nurungė </w:t>
      </w:r>
      <w:r w:rsidR="004B2027" w:rsidRPr="00032A5C">
        <w:rPr>
          <w:rFonts w:ascii="Times New Roman" w:hAnsi="Times New Roman" w:cs="Times New Roman"/>
          <w:b/>
          <w:bCs/>
          <w:sz w:val="24"/>
          <w:szCs w:val="24"/>
        </w:rPr>
        <w:t>baimes</w:t>
      </w:r>
    </w:p>
    <w:p w14:paraId="232FF474" w14:textId="748705FB" w:rsidR="00645CA2" w:rsidRPr="00032A5C" w:rsidRDefault="006E2A95" w:rsidP="00645CA2">
      <w:pPr>
        <w:jc w:val="both"/>
        <w:rPr>
          <w:rFonts w:ascii="Times New Roman" w:hAnsi="Times New Roman" w:cs="Times New Roman"/>
          <w:sz w:val="24"/>
          <w:szCs w:val="24"/>
        </w:rPr>
      </w:pPr>
      <w:r w:rsidRPr="00032A5C">
        <w:rPr>
          <w:rFonts w:ascii="Times New Roman" w:hAnsi="Times New Roman" w:cs="Times New Roman"/>
          <w:sz w:val="24"/>
          <w:szCs w:val="24"/>
        </w:rPr>
        <w:t xml:space="preserve">Lietuvos investicinių ir pensijų fondų asociacijos (LIPFA) vadovo Tado Gudaičio teigimu, </w:t>
      </w:r>
      <w:r w:rsidR="001E4E61" w:rsidRPr="00032A5C">
        <w:rPr>
          <w:rFonts w:ascii="Times New Roman" w:hAnsi="Times New Roman" w:cs="Times New Roman"/>
          <w:sz w:val="24"/>
          <w:szCs w:val="24"/>
        </w:rPr>
        <w:t xml:space="preserve">2023-ieji tapo vienais sėkmingiausių akcijų rinkoms per pastarąjį dešimtmetį. </w:t>
      </w:r>
      <w:r w:rsidR="005064B6">
        <w:rPr>
          <w:rFonts w:ascii="Times New Roman" w:hAnsi="Times New Roman" w:cs="Times New Roman"/>
          <w:sz w:val="24"/>
          <w:szCs w:val="24"/>
        </w:rPr>
        <w:t>S</w:t>
      </w:r>
      <w:r w:rsidR="00AD76BF">
        <w:rPr>
          <w:rFonts w:ascii="Times New Roman" w:hAnsi="Times New Roman" w:cs="Times New Roman"/>
          <w:sz w:val="24"/>
          <w:szCs w:val="24"/>
        </w:rPr>
        <w:t>tipr</w:t>
      </w:r>
      <w:r w:rsidR="005064B6">
        <w:rPr>
          <w:rFonts w:ascii="Times New Roman" w:hAnsi="Times New Roman" w:cs="Times New Roman"/>
          <w:sz w:val="24"/>
          <w:szCs w:val="24"/>
        </w:rPr>
        <w:t xml:space="preserve">iai </w:t>
      </w:r>
      <w:r w:rsidR="001E4E61" w:rsidRPr="00032A5C">
        <w:rPr>
          <w:rFonts w:ascii="Times New Roman" w:hAnsi="Times New Roman" w:cs="Times New Roman"/>
          <w:sz w:val="24"/>
          <w:szCs w:val="24"/>
        </w:rPr>
        <w:t>aug</w:t>
      </w:r>
      <w:r w:rsidR="005064B6">
        <w:rPr>
          <w:rFonts w:ascii="Times New Roman" w:hAnsi="Times New Roman" w:cs="Times New Roman"/>
          <w:sz w:val="24"/>
          <w:szCs w:val="24"/>
        </w:rPr>
        <w:t xml:space="preserve">o </w:t>
      </w:r>
      <w:r w:rsidR="001E4E61" w:rsidRPr="00032A5C">
        <w:rPr>
          <w:rFonts w:ascii="Times New Roman" w:hAnsi="Times New Roman" w:cs="Times New Roman"/>
          <w:sz w:val="24"/>
          <w:szCs w:val="24"/>
        </w:rPr>
        <w:t xml:space="preserve">ir </w:t>
      </w:r>
      <w:r w:rsidR="00FD19B5" w:rsidRPr="00032A5C">
        <w:rPr>
          <w:rFonts w:ascii="Times New Roman" w:hAnsi="Times New Roman" w:cs="Times New Roman"/>
          <w:sz w:val="24"/>
          <w:szCs w:val="24"/>
        </w:rPr>
        <w:t>obligacij</w:t>
      </w:r>
      <w:r w:rsidR="00FD19B5">
        <w:rPr>
          <w:rFonts w:ascii="Times New Roman" w:hAnsi="Times New Roman" w:cs="Times New Roman"/>
          <w:sz w:val="24"/>
          <w:szCs w:val="24"/>
        </w:rPr>
        <w:t>ų vertė</w:t>
      </w:r>
      <w:r w:rsidR="005064B6">
        <w:rPr>
          <w:rFonts w:ascii="Times New Roman" w:hAnsi="Times New Roman" w:cs="Times New Roman"/>
          <w:sz w:val="24"/>
          <w:szCs w:val="24"/>
        </w:rPr>
        <w:t xml:space="preserve">, kurios </w:t>
      </w:r>
      <w:r w:rsidR="001E4E61" w:rsidRPr="00032A5C">
        <w:rPr>
          <w:rFonts w:ascii="Times New Roman" w:hAnsi="Times New Roman" w:cs="Times New Roman"/>
          <w:sz w:val="24"/>
          <w:szCs w:val="24"/>
        </w:rPr>
        <w:t>padeda įgyvendinti konservatyvesnes investavimo strategijas.</w:t>
      </w:r>
    </w:p>
    <w:p w14:paraId="3656E8FA" w14:textId="4C0F4FCF" w:rsidR="00027AE6" w:rsidRPr="00032A5C" w:rsidRDefault="001E4E61" w:rsidP="00645CA2">
      <w:pPr>
        <w:jc w:val="both"/>
        <w:rPr>
          <w:rFonts w:ascii="Times New Roman" w:hAnsi="Times New Roman" w:cs="Times New Roman"/>
          <w:sz w:val="24"/>
          <w:szCs w:val="24"/>
        </w:rPr>
      </w:pPr>
      <w:r w:rsidRPr="00032A5C">
        <w:rPr>
          <w:rFonts w:ascii="Times New Roman" w:hAnsi="Times New Roman" w:cs="Times New Roman"/>
          <w:sz w:val="24"/>
          <w:szCs w:val="24"/>
        </w:rPr>
        <w:t xml:space="preserve">„Vertinant bendrai, </w:t>
      </w:r>
      <w:r w:rsidR="00027AE6" w:rsidRPr="000231EB">
        <w:rPr>
          <w:rFonts w:ascii="Times New Roman" w:hAnsi="Times New Roman" w:cs="Times New Roman"/>
          <w:sz w:val="24"/>
          <w:szCs w:val="24"/>
        </w:rPr>
        <w:t xml:space="preserve">2023-ieji investicijoms buvo </w:t>
      </w:r>
      <w:r w:rsidR="00027AE6" w:rsidRPr="00032A5C">
        <w:rPr>
          <w:rFonts w:ascii="Times New Roman" w:hAnsi="Times New Roman" w:cs="Times New Roman"/>
          <w:sz w:val="24"/>
          <w:szCs w:val="24"/>
        </w:rPr>
        <w:t xml:space="preserve">palankūs nepaisant to, kad </w:t>
      </w:r>
      <w:r w:rsidR="00AD76BF">
        <w:rPr>
          <w:rFonts w:ascii="Times New Roman" w:hAnsi="Times New Roman" w:cs="Times New Roman"/>
          <w:sz w:val="24"/>
          <w:szCs w:val="24"/>
        </w:rPr>
        <w:t xml:space="preserve">metų pradžioje </w:t>
      </w:r>
      <w:r w:rsidR="00A13399">
        <w:rPr>
          <w:rFonts w:ascii="Times New Roman" w:hAnsi="Times New Roman" w:cs="Times New Roman"/>
          <w:sz w:val="24"/>
          <w:szCs w:val="24"/>
        </w:rPr>
        <w:t xml:space="preserve">laikėsi </w:t>
      </w:r>
      <w:r w:rsidR="00AD76BF">
        <w:rPr>
          <w:rFonts w:ascii="Times New Roman" w:hAnsi="Times New Roman" w:cs="Times New Roman"/>
          <w:sz w:val="24"/>
          <w:szCs w:val="24"/>
        </w:rPr>
        <w:t>aukšta</w:t>
      </w:r>
      <w:r w:rsidR="00027AE6" w:rsidRPr="00032A5C">
        <w:rPr>
          <w:rFonts w:ascii="Times New Roman" w:hAnsi="Times New Roman" w:cs="Times New Roman"/>
          <w:sz w:val="24"/>
          <w:szCs w:val="24"/>
        </w:rPr>
        <w:t xml:space="preserve"> infliacija</w:t>
      </w:r>
      <w:r w:rsidR="00AD76BF">
        <w:rPr>
          <w:rFonts w:ascii="Times New Roman" w:hAnsi="Times New Roman" w:cs="Times New Roman"/>
          <w:sz w:val="24"/>
          <w:szCs w:val="24"/>
        </w:rPr>
        <w:t xml:space="preserve">, </w:t>
      </w:r>
      <w:r w:rsidR="00A13399">
        <w:rPr>
          <w:rFonts w:ascii="Times New Roman" w:hAnsi="Times New Roman" w:cs="Times New Roman"/>
          <w:sz w:val="24"/>
          <w:szCs w:val="24"/>
        </w:rPr>
        <w:t>c</w:t>
      </w:r>
      <w:r w:rsidR="00AD76BF">
        <w:rPr>
          <w:rFonts w:ascii="Times New Roman" w:hAnsi="Times New Roman" w:cs="Times New Roman"/>
          <w:sz w:val="24"/>
          <w:szCs w:val="24"/>
        </w:rPr>
        <w:t>entrini</w:t>
      </w:r>
      <w:r w:rsidR="00A13399">
        <w:rPr>
          <w:rFonts w:ascii="Times New Roman" w:hAnsi="Times New Roman" w:cs="Times New Roman"/>
          <w:sz w:val="24"/>
          <w:szCs w:val="24"/>
        </w:rPr>
        <w:t>ai</w:t>
      </w:r>
      <w:r w:rsidR="00AD76BF">
        <w:rPr>
          <w:rFonts w:ascii="Times New Roman" w:hAnsi="Times New Roman" w:cs="Times New Roman"/>
          <w:sz w:val="24"/>
          <w:szCs w:val="24"/>
        </w:rPr>
        <w:t xml:space="preserve"> bank</w:t>
      </w:r>
      <w:r w:rsidR="00A13399">
        <w:rPr>
          <w:rFonts w:ascii="Times New Roman" w:hAnsi="Times New Roman" w:cs="Times New Roman"/>
          <w:sz w:val="24"/>
          <w:szCs w:val="24"/>
        </w:rPr>
        <w:t>ai kėlė</w:t>
      </w:r>
      <w:r w:rsidR="00AD76BF">
        <w:rPr>
          <w:rFonts w:ascii="Times New Roman" w:hAnsi="Times New Roman" w:cs="Times New Roman"/>
          <w:sz w:val="24"/>
          <w:szCs w:val="24"/>
        </w:rPr>
        <w:t xml:space="preserve"> palūkanų norm</w:t>
      </w:r>
      <w:r w:rsidR="00A13399">
        <w:rPr>
          <w:rFonts w:ascii="Times New Roman" w:hAnsi="Times New Roman" w:cs="Times New Roman"/>
          <w:sz w:val="24"/>
          <w:szCs w:val="24"/>
        </w:rPr>
        <w:t xml:space="preserve">as, buvo </w:t>
      </w:r>
      <w:r w:rsidR="004B2027" w:rsidRPr="00032A5C">
        <w:rPr>
          <w:rFonts w:ascii="Times New Roman" w:hAnsi="Times New Roman" w:cs="Times New Roman"/>
          <w:sz w:val="24"/>
          <w:szCs w:val="24"/>
        </w:rPr>
        <w:t xml:space="preserve">reali </w:t>
      </w:r>
      <w:r w:rsidR="005174AA">
        <w:rPr>
          <w:rFonts w:ascii="Times New Roman" w:hAnsi="Times New Roman" w:cs="Times New Roman"/>
          <w:sz w:val="24"/>
          <w:szCs w:val="24"/>
        </w:rPr>
        <w:t xml:space="preserve">ekonominės </w:t>
      </w:r>
      <w:r w:rsidR="00027AE6" w:rsidRPr="00032A5C">
        <w:rPr>
          <w:rFonts w:ascii="Times New Roman" w:hAnsi="Times New Roman" w:cs="Times New Roman"/>
          <w:sz w:val="24"/>
          <w:szCs w:val="24"/>
        </w:rPr>
        <w:t xml:space="preserve">recesijos rizika. </w:t>
      </w:r>
      <w:r w:rsidR="007C313F" w:rsidRPr="00032A5C">
        <w:rPr>
          <w:rFonts w:ascii="Times New Roman" w:hAnsi="Times New Roman" w:cs="Times New Roman"/>
          <w:sz w:val="24"/>
          <w:szCs w:val="24"/>
        </w:rPr>
        <w:t>Pernai y</w:t>
      </w:r>
      <w:r w:rsidR="00027AE6" w:rsidRPr="00032A5C">
        <w:rPr>
          <w:rFonts w:ascii="Times New Roman" w:hAnsi="Times New Roman" w:cs="Times New Roman"/>
          <w:sz w:val="24"/>
          <w:szCs w:val="24"/>
        </w:rPr>
        <w:t xml:space="preserve">pač gerai sekėsi technologijų </w:t>
      </w:r>
      <w:r w:rsidR="009F2B27">
        <w:rPr>
          <w:rFonts w:ascii="Times New Roman" w:hAnsi="Times New Roman" w:cs="Times New Roman"/>
          <w:sz w:val="24"/>
          <w:szCs w:val="24"/>
        </w:rPr>
        <w:t xml:space="preserve">įmonių </w:t>
      </w:r>
      <w:r w:rsidR="00027AE6" w:rsidRPr="00032A5C">
        <w:rPr>
          <w:rFonts w:ascii="Times New Roman" w:hAnsi="Times New Roman" w:cs="Times New Roman"/>
          <w:sz w:val="24"/>
          <w:szCs w:val="24"/>
        </w:rPr>
        <w:t>akcijoms ir kito</w:t>
      </w:r>
      <w:r w:rsidR="004B2027" w:rsidRPr="00032A5C">
        <w:rPr>
          <w:rFonts w:ascii="Times New Roman" w:hAnsi="Times New Roman" w:cs="Times New Roman"/>
          <w:sz w:val="24"/>
          <w:szCs w:val="24"/>
        </w:rPr>
        <w:t>m</w:t>
      </w:r>
      <w:r w:rsidR="00027AE6" w:rsidRPr="00032A5C">
        <w:rPr>
          <w:rFonts w:ascii="Times New Roman" w:hAnsi="Times New Roman" w:cs="Times New Roman"/>
          <w:sz w:val="24"/>
          <w:szCs w:val="24"/>
        </w:rPr>
        <w:t xml:space="preserve">s augančioms bendrovėms, kurios patyrė smukimą per 2022 metų meškų rinką. Obligacijų grąža </w:t>
      </w:r>
      <w:r w:rsidR="005174AA">
        <w:rPr>
          <w:rFonts w:ascii="Times New Roman" w:hAnsi="Times New Roman" w:cs="Times New Roman"/>
          <w:sz w:val="24"/>
          <w:szCs w:val="24"/>
        </w:rPr>
        <w:t>–</w:t>
      </w:r>
      <w:r w:rsidR="00AD76BF">
        <w:rPr>
          <w:rFonts w:ascii="Times New Roman" w:hAnsi="Times New Roman" w:cs="Times New Roman"/>
          <w:sz w:val="24"/>
          <w:szCs w:val="24"/>
        </w:rPr>
        <w:t xml:space="preserve"> arti dviženklių ir </w:t>
      </w:r>
      <w:r w:rsidR="00027AE6" w:rsidRPr="00032A5C">
        <w:rPr>
          <w:rFonts w:ascii="Times New Roman" w:hAnsi="Times New Roman" w:cs="Times New Roman"/>
          <w:sz w:val="24"/>
          <w:szCs w:val="24"/>
        </w:rPr>
        <w:t>ši turto klasė pensijų fondų valdytojams yra ne mažiau svarbi realizuojant konservatyvesnius investavim</w:t>
      </w:r>
      <w:r w:rsidR="2745F352" w:rsidRPr="00032A5C">
        <w:rPr>
          <w:rFonts w:ascii="Times New Roman" w:hAnsi="Times New Roman" w:cs="Times New Roman"/>
          <w:sz w:val="24"/>
          <w:szCs w:val="24"/>
        </w:rPr>
        <w:t>o</w:t>
      </w:r>
      <w:r w:rsidR="00027AE6" w:rsidRPr="00032A5C">
        <w:rPr>
          <w:rFonts w:ascii="Times New Roman" w:hAnsi="Times New Roman" w:cs="Times New Roman"/>
          <w:sz w:val="24"/>
          <w:szCs w:val="24"/>
        </w:rPr>
        <w:t xml:space="preserve"> sprendimus, būtinus pagal </w:t>
      </w:r>
      <w:r w:rsidR="007C313F" w:rsidRPr="00032A5C">
        <w:rPr>
          <w:rFonts w:ascii="Times New Roman" w:hAnsi="Times New Roman" w:cs="Times New Roman"/>
          <w:sz w:val="24"/>
          <w:szCs w:val="24"/>
        </w:rPr>
        <w:t>II pensijų pakopo</w:t>
      </w:r>
      <w:r w:rsidR="4FFB4B23" w:rsidRPr="00032A5C">
        <w:rPr>
          <w:rFonts w:ascii="Times New Roman" w:hAnsi="Times New Roman" w:cs="Times New Roman"/>
          <w:sz w:val="24"/>
          <w:szCs w:val="24"/>
        </w:rPr>
        <w:t>s</w:t>
      </w:r>
      <w:r w:rsidR="007C313F" w:rsidRPr="00032A5C">
        <w:rPr>
          <w:rFonts w:ascii="Times New Roman" w:hAnsi="Times New Roman" w:cs="Times New Roman"/>
          <w:sz w:val="24"/>
          <w:szCs w:val="24"/>
        </w:rPr>
        <w:t xml:space="preserve"> </w:t>
      </w:r>
      <w:r w:rsidR="00027AE6" w:rsidRPr="00032A5C">
        <w:rPr>
          <w:rFonts w:ascii="Times New Roman" w:hAnsi="Times New Roman" w:cs="Times New Roman"/>
          <w:sz w:val="24"/>
          <w:szCs w:val="24"/>
        </w:rPr>
        <w:t>gyvenimo ciklo fondų koncepciją</w:t>
      </w:r>
      <w:r w:rsidR="00A13399">
        <w:rPr>
          <w:rFonts w:ascii="Times New Roman" w:hAnsi="Times New Roman" w:cs="Times New Roman"/>
          <w:sz w:val="24"/>
          <w:szCs w:val="24"/>
        </w:rPr>
        <w:t>. Be</w:t>
      </w:r>
      <w:r w:rsidR="009F2B27">
        <w:rPr>
          <w:rFonts w:ascii="Times New Roman" w:hAnsi="Times New Roman" w:cs="Times New Roman"/>
          <w:sz w:val="24"/>
          <w:szCs w:val="24"/>
        </w:rPr>
        <w:t>n</w:t>
      </w:r>
      <w:r w:rsidR="00A13399">
        <w:rPr>
          <w:rFonts w:ascii="Times New Roman" w:hAnsi="Times New Roman" w:cs="Times New Roman"/>
          <w:sz w:val="24"/>
          <w:szCs w:val="24"/>
        </w:rPr>
        <w:t xml:space="preserve">drai vertinant, Lietuvoje pensijų fondams </w:t>
      </w:r>
      <w:r w:rsidR="00A13399" w:rsidRPr="00A13399">
        <w:rPr>
          <w:rFonts w:ascii="Times New Roman" w:hAnsi="Times New Roman" w:cs="Times New Roman"/>
          <w:sz w:val="24"/>
          <w:szCs w:val="24"/>
        </w:rPr>
        <w:t>2023-ieji buvo vieni i</w:t>
      </w:r>
      <w:r w:rsidR="00A13399">
        <w:rPr>
          <w:rFonts w:ascii="Times New Roman" w:hAnsi="Times New Roman" w:cs="Times New Roman"/>
          <w:sz w:val="24"/>
          <w:szCs w:val="24"/>
        </w:rPr>
        <w:t>š trijų geriausių metų per pastarąjį dešimtmetį</w:t>
      </w:r>
      <w:r w:rsidR="00027AE6" w:rsidRPr="00032A5C">
        <w:rPr>
          <w:rFonts w:ascii="Times New Roman" w:hAnsi="Times New Roman" w:cs="Times New Roman"/>
          <w:sz w:val="24"/>
          <w:szCs w:val="24"/>
        </w:rPr>
        <w:t>“, – sako LIPFA vadovas.</w:t>
      </w:r>
    </w:p>
    <w:p w14:paraId="2819FC74" w14:textId="28CA4114" w:rsidR="007C313F" w:rsidRPr="00032A5C" w:rsidRDefault="007C313F" w:rsidP="00645CA2">
      <w:pPr>
        <w:jc w:val="both"/>
        <w:rPr>
          <w:rFonts w:ascii="Times New Roman" w:hAnsi="Times New Roman" w:cs="Times New Roman"/>
          <w:sz w:val="24"/>
          <w:szCs w:val="24"/>
        </w:rPr>
      </w:pPr>
      <w:r w:rsidRPr="00032A5C">
        <w:rPr>
          <w:rFonts w:ascii="Times New Roman" w:hAnsi="Times New Roman" w:cs="Times New Roman"/>
          <w:sz w:val="24"/>
          <w:szCs w:val="24"/>
        </w:rPr>
        <w:t>T. Gudaitis pažymi, kad optimizmo finansų rinkoje netrūksta</w:t>
      </w:r>
      <w:r w:rsidR="00AD76BF">
        <w:rPr>
          <w:rFonts w:ascii="Times New Roman" w:hAnsi="Times New Roman" w:cs="Times New Roman"/>
          <w:sz w:val="24"/>
          <w:szCs w:val="24"/>
        </w:rPr>
        <w:t xml:space="preserve"> ir žvelgiant į šiuos metus</w:t>
      </w:r>
      <w:r w:rsidRPr="00032A5C">
        <w:rPr>
          <w:rFonts w:ascii="Times New Roman" w:hAnsi="Times New Roman" w:cs="Times New Roman"/>
          <w:sz w:val="24"/>
          <w:szCs w:val="24"/>
        </w:rPr>
        <w:t xml:space="preserve">, ypač dėl sėkmingai suvaldytos infliacijos ir prognozuojamo </w:t>
      </w:r>
      <w:r w:rsidR="005174AA">
        <w:rPr>
          <w:rFonts w:ascii="Times New Roman" w:hAnsi="Times New Roman" w:cs="Times New Roman"/>
          <w:sz w:val="24"/>
          <w:szCs w:val="24"/>
        </w:rPr>
        <w:t xml:space="preserve">centrinių bankų </w:t>
      </w:r>
      <w:r w:rsidRPr="00032A5C">
        <w:rPr>
          <w:rFonts w:ascii="Times New Roman" w:hAnsi="Times New Roman" w:cs="Times New Roman"/>
          <w:sz w:val="24"/>
          <w:szCs w:val="24"/>
        </w:rPr>
        <w:t>palūkanų karpymo</w:t>
      </w:r>
      <w:r w:rsidR="00AD76BF">
        <w:rPr>
          <w:rFonts w:ascii="Times New Roman" w:hAnsi="Times New Roman" w:cs="Times New Roman"/>
          <w:sz w:val="24"/>
          <w:szCs w:val="24"/>
        </w:rPr>
        <w:t>.</w:t>
      </w:r>
    </w:p>
    <w:p w14:paraId="22CCFD3C" w14:textId="7E3690D6" w:rsidR="007C313F" w:rsidRPr="00032A5C" w:rsidRDefault="007C313F" w:rsidP="00645CA2">
      <w:pPr>
        <w:jc w:val="both"/>
        <w:rPr>
          <w:rFonts w:ascii="Times New Roman" w:hAnsi="Times New Roman" w:cs="Times New Roman"/>
          <w:sz w:val="24"/>
          <w:szCs w:val="24"/>
        </w:rPr>
      </w:pPr>
      <w:r w:rsidRPr="00032A5C">
        <w:rPr>
          <w:rFonts w:ascii="Times New Roman" w:hAnsi="Times New Roman" w:cs="Times New Roman"/>
          <w:sz w:val="24"/>
          <w:szCs w:val="24"/>
        </w:rPr>
        <w:t>„</w:t>
      </w:r>
      <w:r w:rsidR="006D478C">
        <w:rPr>
          <w:rFonts w:ascii="Times New Roman" w:hAnsi="Times New Roman" w:cs="Times New Roman"/>
          <w:sz w:val="24"/>
          <w:szCs w:val="24"/>
        </w:rPr>
        <w:t>Pasitikime</w:t>
      </w:r>
      <w:r w:rsidRPr="00032A5C">
        <w:rPr>
          <w:rFonts w:ascii="Times New Roman" w:hAnsi="Times New Roman" w:cs="Times New Roman"/>
          <w:sz w:val="24"/>
          <w:szCs w:val="24"/>
        </w:rPr>
        <w:t xml:space="preserve"> ilgalaikėmis teigiamomis akcijų bei obligacijų augimo perspektyvomis. Juo labiau, kad kaupimas pensijai yra keletą dešimtmečių trunkantis procesas, kurio galutinis rezultatas paaiškės asmeniškai pasiekus pensijos amžių. Ilgalaikė užsienio praktika rodo, kad </w:t>
      </w:r>
      <w:r w:rsidR="00AD76BF">
        <w:rPr>
          <w:rFonts w:ascii="Times New Roman" w:hAnsi="Times New Roman" w:cs="Times New Roman"/>
          <w:sz w:val="24"/>
          <w:szCs w:val="24"/>
        </w:rPr>
        <w:t xml:space="preserve">nuolat reguliariai investuojamos lėšos stabiliai auga ir trumpalaikiai </w:t>
      </w:r>
      <w:r w:rsidR="00221EA8" w:rsidRPr="00032A5C">
        <w:rPr>
          <w:rFonts w:ascii="Times New Roman" w:hAnsi="Times New Roman" w:cs="Times New Roman"/>
          <w:sz w:val="24"/>
          <w:szCs w:val="24"/>
        </w:rPr>
        <w:t xml:space="preserve">neigiami </w:t>
      </w:r>
      <w:r w:rsidRPr="00032A5C">
        <w:rPr>
          <w:rFonts w:ascii="Times New Roman" w:hAnsi="Times New Roman" w:cs="Times New Roman"/>
          <w:sz w:val="24"/>
          <w:szCs w:val="24"/>
        </w:rPr>
        <w:t>rinkų svyravimai kaupiantiesiems nesutrukdo pasiekti turto augimo tikslų“, – teigia jis.</w:t>
      </w:r>
    </w:p>
    <w:p w14:paraId="09AF9D4F" w14:textId="77FCF1A1" w:rsidR="007C313F" w:rsidRPr="00AD76BF" w:rsidRDefault="007C313F" w:rsidP="00645CA2">
      <w:pPr>
        <w:jc w:val="both"/>
        <w:rPr>
          <w:rFonts w:ascii="Times New Roman" w:hAnsi="Times New Roman" w:cs="Times New Roman"/>
          <w:b/>
          <w:bCs/>
          <w:sz w:val="24"/>
          <w:szCs w:val="24"/>
        </w:rPr>
      </w:pPr>
      <w:r w:rsidRPr="00032A5C">
        <w:rPr>
          <w:rFonts w:ascii="Times New Roman" w:hAnsi="Times New Roman" w:cs="Times New Roman"/>
          <w:b/>
          <w:bCs/>
          <w:sz w:val="24"/>
          <w:szCs w:val="24"/>
        </w:rPr>
        <w:t>Akcijų ralis</w:t>
      </w:r>
      <w:r w:rsidR="00AD76BF">
        <w:rPr>
          <w:rFonts w:ascii="Times New Roman" w:hAnsi="Times New Roman" w:cs="Times New Roman"/>
          <w:b/>
          <w:bCs/>
          <w:sz w:val="24"/>
          <w:szCs w:val="24"/>
        </w:rPr>
        <w:t>: +16% grąža</w:t>
      </w:r>
    </w:p>
    <w:p w14:paraId="31432AFC" w14:textId="3FAB16EA" w:rsidR="00DE6299" w:rsidRPr="00032A5C" w:rsidRDefault="00DE6299" w:rsidP="00645CA2">
      <w:pPr>
        <w:jc w:val="both"/>
        <w:rPr>
          <w:rFonts w:ascii="Times New Roman" w:hAnsi="Times New Roman" w:cs="Times New Roman"/>
          <w:sz w:val="24"/>
          <w:szCs w:val="24"/>
        </w:rPr>
      </w:pPr>
      <w:r w:rsidRPr="00032A5C">
        <w:rPr>
          <w:rFonts w:ascii="Times New Roman" w:hAnsi="Times New Roman" w:cs="Times New Roman"/>
          <w:sz w:val="24"/>
          <w:szCs w:val="24"/>
        </w:rPr>
        <w:t xml:space="preserve">Pernai tarp II pakopos pensijų fondų didžiausią grąžą uždirbo jauniausių klientų turtą valdantys ir daugiausiai į akcijas investuojantys pensijų fondai. 22-28 metų amžiaus kaupiančiųjų fondų grupė pernai uždirbo +16,3 proc. svertinę </w:t>
      </w:r>
      <w:r w:rsidR="00AD76BF">
        <w:rPr>
          <w:rFonts w:ascii="Times New Roman" w:hAnsi="Times New Roman" w:cs="Times New Roman"/>
          <w:sz w:val="24"/>
          <w:szCs w:val="24"/>
        </w:rPr>
        <w:t xml:space="preserve">investicinę </w:t>
      </w:r>
      <w:r w:rsidRPr="00032A5C">
        <w:rPr>
          <w:rFonts w:ascii="Times New Roman" w:hAnsi="Times New Roman" w:cs="Times New Roman"/>
          <w:sz w:val="24"/>
          <w:szCs w:val="24"/>
        </w:rPr>
        <w:t>grąžą. 29-35 metų kaupiančiųjų grąža sudarė +16,</w:t>
      </w:r>
      <w:r w:rsidR="00AD76BF">
        <w:rPr>
          <w:rFonts w:ascii="Times New Roman" w:hAnsi="Times New Roman" w:cs="Times New Roman"/>
          <w:sz w:val="24"/>
          <w:szCs w:val="24"/>
        </w:rPr>
        <w:t>1</w:t>
      </w:r>
      <w:r w:rsidR="00AD76BF" w:rsidRPr="00032A5C">
        <w:rPr>
          <w:rFonts w:ascii="Times New Roman" w:hAnsi="Times New Roman" w:cs="Times New Roman"/>
          <w:sz w:val="24"/>
          <w:szCs w:val="24"/>
        </w:rPr>
        <w:t xml:space="preserve"> </w:t>
      </w:r>
      <w:r w:rsidRPr="00032A5C">
        <w:rPr>
          <w:rFonts w:ascii="Times New Roman" w:hAnsi="Times New Roman" w:cs="Times New Roman"/>
          <w:sz w:val="24"/>
          <w:szCs w:val="24"/>
        </w:rPr>
        <w:t xml:space="preserve">proc., 36-42 metų </w:t>
      </w:r>
      <w:r w:rsidR="00AD76BF">
        <w:rPr>
          <w:rFonts w:ascii="Times New Roman" w:hAnsi="Times New Roman" w:cs="Times New Roman"/>
          <w:sz w:val="24"/>
          <w:szCs w:val="24"/>
        </w:rPr>
        <w:t xml:space="preserve">ir </w:t>
      </w:r>
      <w:r w:rsidR="00AD76BF" w:rsidRPr="00032A5C">
        <w:rPr>
          <w:rFonts w:ascii="Times New Roman" w:hAnsi="Times New Roman" w:cs="Times New Roman"/>
          <w:sz w:val="24"/>
          <w:szCs w:val="24"/>
        </w:rPr>
        <w:t xml:space="preserve">43-49 metų amžiaus </w:t>
      </w:r>
      <w:r w:rsidR="00AD76BF">
        <w:rPr>
          <w:rFonts w:ascii="Times New Roman" w:hAnsi="Times New Roman" w:cs="Times New Roman"/>
          <w:sz w:val="24"/>
          <w:szCs w:val="24"/>
        </w:rPr>
        <w:t>dirbantiesiems</w:t>
      </w:r>
      <w:r w:rsidR="00AD76BF" w:rsidRPr="00032A5C">
        <w:rPr>
          <w:rFonts w:ascii="Times New Roman" w:hAnsi="Times New Roman" w:cs="Times New Roman"/>
          <w:sz w:val="24"/>
          <w:szCs w:val="24"/>
        </w:rPr>
        <w:t xml:space="preserve"> </w:t>
      </w:r>
      <w:r w:rsidRPr="00032A5C">
        <w:rPr>
          <w:rFonts w:ascii="Times New Roman" w:hAnsi="Times New Roman" w:cs="Times New Roman"/>
          <w:sz w:val="24"/>
          <w:szCs w:val="24"/>
        </w:rPr>
        <w:t>skirti II pakopos pensijų fondai praėjusiais metais uždirbo +15,9 proc.</w:t>
      </w:r>
      <w:r w:rsidR="00AD76BF">
        <w:rPr>
          <w:rFonts w:ascii="Times New Roman" w:hAnsi="Times New Roman" w:cs="Times New Roman"/>
          <w:sz w:val="24"/>
          <w:szCs w:val="24"/>
        </w:rPr>
        <w:t xml:space="preserve"> </w:t>
      </w:r>
      <w:r w:rsidR="00AD76BF" w:rsidRPr="00032A5C">
        <w:rPr>
          <w:rFonts w:ascii="Times New Roman" w:hAnsi="Times New Roman" w:cs="Times New Roman"/>
          <w:sz w:val="24"/>
          <w:szCs w:val="24"/>
        </w:rPr>
        <w:t>metinę svertinę grąžą</w:t>
      </w:r>
      <w:r w:rsidR="00AD76BF">
        <w:rPr>
          <w:rFonts w:ascii="Times New Roman" w:hAnsi="Times New Roman" w:cs="Times New Roman"/>
          <w:sz w:val="24"/>
          <w:szCs w:val="24"/>
        </w:rPr>
        <w:t xml:space="preserve">. </w:t>
      </w:r>
    </w:p>
    <w:p w14:paraId="0AA3A3D6" w14:textId="48469864" w:rsidR="005A6A00" w:rsidRDefault="005A6A00" w:rsidP="005A6A00">
      <w:pPr>
        <w:jc w:val="both"/>
        <w:rPr>
          <w:rFonts w:ascii="Times New Roman" w:hAnsi="Times New Roman" w:cs="Times New Roman"/>
          <w:sz w:val="24"/>
          <w:szCs w:val="24"/>
        </w:rPr>
      </w:pPr>
      <w:r w:rsidRPr="00032A5C">
        <w:rPr>
          <w:rFonts w:ascii="Times New Roman" w:hAnsi="Times New Roman" w:cs="Times New Roman"/>
          <w:sz w:val="24"/>
          <w:szCs w:val="24"/>
        </w:rPr>
        <w:t>50-56 metų amžiaus kaupiančiųjų grąža sudarė +14,1 proc., o 57-63 metų amžiaus kaupiantieji pernai finansų rinkoje uždirbo +10,</w:t>
      </w:r>
      <w:r w:rsidR="005064B6" w:rsidRPr="005064B6">
        <w:rPr>
          <w:rFonts w:ascii="Times New Roman" w:hAnsi="Times New Roman" w:cs="Times New Roman"/>
          <w:sz w:val="24"/>
          <w:szCs w:val="24"/>
        </w:rPr>
        <w:t>6</w:t>
      </w:r>
      <w:r w:rsidRPr="00032A5C">
        <w:rPr>
          <w:rFonts w:ascii="Times New Roman" w:hAnsi="Times New Roman" w:cs="Times New Roman"/>
          <w:sz w:val="24"/>
          <w:szCs w:val="24"/>
        </w:rPr>
        <w:t xml:space="preserve"> proc. svertinę grąžą.</w:t>
      </w:r>
      <w:r>
        <w:rPr>
          <w:rFonts w:ascii="Times New Roman" w:hAnsi="Times New Roman" w:cs="Times New Roman"/>
          <w:sz w:val="24"/>
          <w:szCs w:val="24"/>
        </w:rPr>
        <w:t xml:space="preserve"> Šių amžiaus grupių investavimo strategijoje </w:t>
      </w:r>
      <w:r w:rsidRPr="005A6A00">
        <w:rPr>
          <w:rFonts w:ascii="Times New Roman" w:hAnsi="Times New Roman" w:cs="Times New Roman"/>
          <w:sz w:val="24"/>
          <w:szCs w:val="24"/>
        </w:rPr>
        <w:t xml:space="preserve">akcijų dalis fonde (ir rizika) yra palaipsniui mažinama, o obligacijų ir kitų </w:t>
      </w:r>
      <w:r w:rsidRPr="005A6A00">
        <w:rPr>
          <w:rFonts w:ascii="Times New Roman" w:hAnsi="Times New Roman" w:cs="Times New Roman"/>
          <w:sz w:val="24"/>
          <w:szCs w:val="24"/>
        </w:rPr>
        <w:lastRenderedPageBreak/>
        <w:t>saugesnių investavimo instrumentų (</w:t>
      </w:r>
      <w:r>
        <w:rPr>
          <w:rFonts w:ascii="Times New Roman" w:hAnsi="Times New Roman" w:cs="Times New Roman"/>
          <w:sz w:val="24"/>
          <w:szCs w:val="24"/>
        </w:rPr>
        <w:t xml:space="preserve">pvz. </w:t>
      </w:r>
      <w:r w:rsidRPr="005A6A00">
        <w:rPr>
          <w:rFonts w:ascii="Times New Roman" w:hAnsi="Times New Roman" w:cs="Times New Roman"/>
          <w:sz w:val="24"/>
          <w:szCs w:val="24"/>
        </w:rPr>
        <w:t>indėlių) dalis yra didinama, kad būtų apsaugotos sukauptos lėšos</w:t>
      </w:r>
      <w:r>
        <w:rPr>
          <w:rFonts w:ascii="Times New Roman" w:hAnsi="Times New Roman" w:cs="Times New Roman"/>
          <w:sz w:val="24"/>
          <w:szCs w:val="24"/>
        </w:rPr>
        <w:t xml:space="preserve">. </w:t>
      </w:r>
    </w:p>
    <w:p w14:paraId="713D42FD" w14:textId="41854851" w:rsidR="00221EA8" w:rsidRPr="00032A5C" w:rsidRDefault="00221EA8" w:rsidP="00645CA2">
      <w:pPr>
        <w:jc w:val="both"/>
        <w:rPr>
          <w:rFonts w:ascii="Times New Roman" w:hAnsi="Times New Roman" w:cs="Times New Roman"/>
          <w:sz w:val="24"/>
          <w:szCs w:val="24"/>
        </w:rPr>
      </w:pPr>
      <w:r w:rsidRPr="00032A5C">
        <w:rPr>
          <w:rFonts w:ascii="Times New Roman" w:hAnsi="Times New Roman" w:cs="Times New Roman"/>
          <w:sz w:val="24"/>
          <w:szCs w:val="24"/>
        </w:rPr>
        <w:t>Vyriausių amžiumi 64-70 metų II pakopos pensijų fondų grąža pernai buvo +7,</w:t>
      </w:r>
      <w:r w:rsidR="005A6A00">
        <w:rPr>
          <w:rFonts w:ascii="Times New Roman" w:hAnsi="Times New Roman" w:cs="Times New Roman"/>
          <w:sz w:val="24"/>
          <w:szCs w:val="24"/>
        </w:rPr>
        <w:t>6</w:t>
      </w:r>
      <w:r w:rsidR="005A6A00" w:rsidRPr="00032A5C">
        <w:rPr>
          <w:rFonts w:ascii="Times New Roman" w:hAnsi="Times New Roman" w:cs="Times New Roman"/>
          <w:sz w:val="24"/>
          <w:szCs w:val="24"/>
        </w:rPr>
        <w:t xml:space="preserve"> </w:t>
      </w:r>
      <w:r w:rsidRPr="00032A5C">
        <w:rPr>
          <w:rFonts w:ascii="Times New Roman" w:hAnsi="Times New Roman" w:cs="Times New Roman"/>
          <w:sz w:val="24"/>
          <w:szCs w:val="24"/>
        </w:rPr>
        <w:t>proc. Tuo tarpu turto išsaugojimo fondai fiksavo +7,</w:t>
      </w:r>
      <w:r w:rsidR="005A6A00">
        <w:rPr>
          <w:rFonts w:ascii="Times New Roman" w:hAnsi="Times New Roman" w:cs="Times New Roman"/>
          <w:sz w:val="24"/>
          <w:szCs w:val="24"/>
        </w:rPr>
        <w:t>4</w:t>
      </w:r>
      <w:r w:rsidR="005A6A00" w:rsidRPr="00032A5C">
        <w:rPr>
          <w:rFonts w:ascii="Times New Roman" w:hAnsi="Times New Roman" w:cs="Times New Roman"/>
          <w:sz w:val="24"/>
          <w:szCs w:val="24"/>
        </w:rPr>
        <w:t xml:space="preserve"> </w:t>
      </w:r>
      <w:r w:rsidRPr="00032A5C">
        <w:rPr>
          <w:rFonts w:ascii="Times New Roman" w:hAnsi="Times New Roman" w:cs="Times New Roman"/>
          <w:sz w:val="24"/>
          <w:szCs w:val="24"/>
        </w:rPr>
        <w:t>proc. svertinės grąžos rezultatą.</w:t>
      </w:r>
    </w:p>
    <w:p w14:paraId="687C5A06" w14:textId="3353C6D4" w:rsidR="005A6A00" w:rsidRPr="005A6A00" w:rsidRDefault="005A6A00" w:rsidP="00645CA2">
      <w:pPr>
        <w:jc w:val="both"/>
        <w:rPr>
          <w:rFonts w:ascii="Times New Roman" w:hAnsi="Times New Roman" w:cs="Times New Roman"/>
          <w:b/>
          <w:bCs/>
          <w:sz w:val="24"/>
          <w:szCs w:val="24"/>
        </w:rPr>
      </w:pPr>
      <w:r w:rsidRPr="005A6A00">
        <w:rPr>
          <w:rFonts w:ascii="Times New Roman" w:hAnsi="Times New Roman" w:cs="Times New Roman"/>
          <w:b/>
          <w:bCs/>
          <w:sz w:val="24"/>
          <w:szCs w:val="24"/>
        </w:rPr>
        <w:t>Gyvenimo ciklo</w:t>
      </w:r>
      <w:r w:rsidR="00A13399">
        <w:rPr>
          <w:rFonts w:ascii="Times New Roman" w:hAnsi="Times New Roman" w:cs="Times New Roman"/>
          <w:b/>
          <w:bCs/>
          <w:sz w:val="24"/>
          <w:szCs w:val="24"/>
        </w:rPr>
        <w:t xml:space="preserve"> </w:t>
      </w:r>
      <w:r w:rsidRPr="005A6A00">
        <w:rPr>
          <w:rFonts w:ascii="Times New Roman" w:hAnsi="Times New Roman" w:cs="Times New Roman"/>
          <w:b/>
          <w:bCs/>
          <w:sz w:val="24"/>
          <w:szCs w:val="24"/>
        </w:rPr>
        <w:t xml:space="preserve">fondų penkmetis </w:t>
      </w:r>
    </w:p>
    <w:p w14:paraId="21B93EB5" w14:textId="2FFF75DA" w:rsidR="005A6A00" w:rsidRDefault="00221EA8" w:rsidP="00645CA2">
      <w:pPr>
        <w:jc w:val="both"/>
        <w:rPr>
          <w:rFonts w:ascii="Times New Roman" w:hAnsi="Times New Roman" w:cs="Times New Roman"/>
          <w:sz w:val="24"/>
          <w:szCs w:val="24"/>
        </w:rPr>
      </w:pPr>
      <w:r w:rsidRPr="00032A5C">
        <w:rPr>
          <w:rFonts w:ascii="Times New Roman" w:hAnsi="Times New Roman" w:cs="Times New Roman"/>
          <w:sz w:val="24"/>
          <w:szCs w:val="24"/>
        </w:rPr>
        <w:t>Prieš 5 metus II pakopoje įdiegta gyvenimo ciklo fondų koncepcija kaupiančiuosius perskirstė į jų amžiui tinkamiausius pensijų fondus, kuri</w:t>
      </w:r>
      <w:r w:rsidR="0043771F" w:rsidRPr="00032A5C">
        <w:rPr>
          <w:rFonts w:ascii="Times New Roman" w:hAnsi="Times New Roman" w:cs="Times New Roman"/>
          <w:sz w:val="24"/>
          <w:szCs w:val="24"/>
        </w:rPr>
        <w:t xml:space="preserve">uose investavimo strategija pritaikoma pagal kaupiančiojo amžių. </w:t>
      </w:r>
    </w:p>
    <w:p w14:paraId="176BF05F" w14:textId="687F2DB0" w:rsidR="005A6A00" w:rsidRDefault="005A6A00" w:rsidP="00645CA2">
      <w:pPr>
        <w:jc w:val="both"/>
        <w:rPr>
          <w:rFonts w:ascii="Times New Roman" w:hAnsi="Times New Roman" w:cs="Times New Roman"/>
          <w:sz w:val="24"/>
          <w:szCs w:val="24"/>
        </w:rPr>
      </w:pPr>
      <w:r>
        <w:rPr>
          <w:rFonts w:ascii="Times New Roman" w:hAnsi="Times New Roman" w:cs="Times New Roman"/>
          <w:sz w:val="24"/>
          <w:szCs w:val="24"/>
        </w:rPr>
        <w:t>Praėjus 5 metams nuo šių fondų veiklos pradžios galima teigi, kad jų įsteigimas ir pasirinkta investavimo strategija pasiteisino su kaupu</w:t>
      </w:r>
      <w:r w:rsidR="00A13399">
        <w:rPr>
          <w:rFonts w:ascii="Times New Roman" w:hAnsi="Times New Roman" w:cs="Times New Roman"/>
          <w:sz w:val="24"/>
          <w:szCs w:val="24"/>
        </w:rPr>
        <w:t>. G</w:t>
      </w:r>
      <w:r w:rsidR="00B468BC">
        <w:rPr>
          <w:rFonts w:ascii="Times New Roman" w:hAnsi="Times New Roman" w:cs="Times New Roman"/>
          <w:sz w:val="24"/>
          <w:szCs w:val="24"/>
        </w:rPr>
        <w:t>yventojams, kuriems iki pensij</w:t>
      </w:r>
      <w:r w:rsidR="00A13399">
        <w:rPr>
          <w:rFonts w:ascii="Times New Roman" w:hAnsi="Times New Roman" w:cs="Times New Roman"/>
          <w:sz w:val="24"/>
          <w:szCs w:val="24"/>
        </w:rPr>
        <w:t>os</w:t>
      </w:r>
      <w:r w:rsidR="00B468BC">
        <w:rPr>
          <w:rFonts w:ascii="Times New Roman" w:hAnsi="Times New Roman" w:cs="Times New Roman"/>
          <w:sz w:val="24"/>
          <w:szCs w:val="24"/>
        </w:rPr>
        <w:t xml:space="preserve"> amžiaus liko apie 17-20 ir jaunesniems</w:t>
      </w:r>
      <w:r w:rsidR="00A13399">
        <w:rPr>
          <w:rFonts w:ascii="Times New Roman" w:hAnsi="Times New Roman" w:cs="Times New Roman"/>
          <w:sz w:val="24"/>
          <w:szCs w:val="24"/>
        </w:rPr>
        <w:t>,</w:t>
      </w:r>
      <w:r w:rsidR="00B468BC">
        <w:rPr>
          <w:rFonts w:ascii="Times New Roman" w:hAnsi="Times New Roman" w:cs="Times New Roman"/>
          <w:sz w:val="24"/>
          <w:szCs w:val="24"/>
        </w:rPr>
        <w:t xml:space="preserve"> jų svertinės investicinės grąžos per pastarąjį penkmetį pasiekusios 60 proc. ribą ir svyruoja tarp 59</w:t>
      </w:r>
      <w:r w:rsidR="00A13399">
        <w:rPr>
          <w:rFonts w:ascii="Times New Roman" w:hAnsi="Times New Roman" w:cs="Times New Roman"/>
          <w:sz w:val="24"/>
          <w:szCs w:val="24"/>
        </w:rPr>
        <w:t>,</w:t>
      </w:r>
      <w:r w:rsidR="00B468BC">
        <w:rPr>
          <w:rFonts w:ascii="Times New Roman" w:hAnsi="Times New Roman" w:cs="Times New Roman"/>
          <w:sz w:val="24"/>
          <w:szCs w:val="24"/>
        </w:rPr>
        <w:t>2</w:t>
      </w:r>
      <w:r w:rsidR="00A13399">
        <w:rPr>
          <w:rFonts w:ascii="Times New Roman" w:hAnsi="Times New Roman" w:cs="Times New Roman"/>
          <w:sz w:val="24"/>
          <w:szCs w:val="24"/>
        </w:rPr>
        <w:t>-</w:t>
      </w:r>
      <w:r w:rsidR="00B468BC">
        <w:rPr>
          <w:rFonts w:ascii="Times New Roman" w:hAnsi="Times New Roman" w:cs="Times New Roman"/>
          <w:sz w:val="24"/>
          <w:szCs w:val="24"/>
        </w:rPr>
        <w:t>62</w:t>
      </w:r>
      <w:r w:rsidR="00A13399">
        <w:rPr>
          <w:rFonts w:ascii="Times New Roman" w:hAnsi="Times New Roman" w:cs="Times New Roman"/>
          <w:sz w:val="24"/>
          <w:szCs w:val="24"/>
        </w:rPr>
        <w:t>,</w:t>
      </w:r>
      <w:r w:rsidR="00B468BC">
        <w:rPr>
          <w:rFonts w:ascii="Times New Roman" w:hAnsi="Times New Roman" w:cs="Times New Roman"/>
          <w:sz w:val="24"/>
          <w:szCs w:val="24"/>
        </w:rPr>
        <w:t xml:space="preserve">9 proc. </w:t>
      </w:r>
    </w:p>
    <w:p w14:paraId="5B230DD1" w14:textId="77777777" w:rsidR="003146A3" w:rsidRDefault="0043771F" w:rsidP="42212926">
      <w:pPr>
        <w:jc w:val="both"/>
        <w:rPr>
          <w:rFonts w:ascii="Times New Roman" w:hAnsi="Times New Roman" w:cs="Times New Roman"/>
          <w:color w:val="000000" w:themeColor="text1"/>
          <w:sz w:val="24"/>
          <w:szCs w:val="24"/>
        </w:rPr>
      </w:pPr>
      <w:r w:rsidRPr="00032A5C">
        <w:rPr>
          <w:rFonts w:ascii="Times New Roman" w:hAnsi="Times New Roman" w:cs="Times New Roman"/>
          <w:color w:val="000000" w:themeColor="text1"/>
          <w:sz w:val="24"/>
          <w:szCs w:val="24"/>
          <w:shd w:val="clear" w:color="auto" w:fill="FFFFFF"/>
        </w:rPr>
        <w:t xml:space="preserve">Nuo II pakopos veikimo pradžios 2004-aisiais, agreguotas pelnas pakopoje siekia </w:t>
      </w:r>
      <w:r w:rsidR="00756912" w:rsidRPr="000231EB">
        <w:rPr>
          <w:rFonts w:ascii="Times New Roman" w:hAnsi="Times New Roman" w:cs="Times New Roman"/>
          <w:color w:val="000000" w:themeColor="text1"/>
          <w:sz w:val="24"/>
          <w:szCs w:val="24"/>
          <w:shd w:val="clear" w:color="auto" w:fill="FFFFFF"/>
        </w:rPr>
        <w:t>2,</w:t>
      </w:r>
      <w:r w:rsidR="005A6A00">
        <w:rPr>
          <w:rFonts w:ascii="Times New Roman" w:hAnsi="Times New Roman" w:cs="Times New Roman"/>
          <w:color w:val="000000" w:themeColor="text1"/>
          <w:sz w:val="24"/>
          <w:szCs w:val="24"/>
          <w:shd w:val="clear" w:color="auto" w:fill="FFFFFF"/>
        </w:rPr>
        <w:t>2</w:t>
      </w:r>
      <w:r w:rsidR="005A6A00" w:rsidRPr="000231EB">
        <w:rPr>
          <w:rFonts w:ascii="Times New Roman" w:hAnsi="Times New Roman" w:cs="Times New Roman"/>
          <w:color w:val="000000" w:themeColor="text1"/>
          <w:sz w:val="24"/>
          <w:szCs w:val="24"/>
          <w:shd w:val="clear" w:color="auto" w:fill="FFFFFF"/>
        </w:rPr>
        <w:t xml:space="preserve"> </w:t>
      </w:r>
      <w:r w:rsidRPr="00032A5C">
        <w:rPr>
          <w:rFonts w:ascii="Times New Roman" w:hAnsi="Times New Roman" w:cs="Times New Roman"/>
          <w:color w:val="000000" w:themeColor="text1"/>
          <w:sz w:val="24"/>
          <w:szCs w:val="24"/>
          <w:shd w:val="clear" w:color="auto" w:fill="FFFFFF"/>
        </w:rPr>
        <w:t>mlrd. eurų. Per visą kaupimo laikotarpį nerealizuota investicinė grąža (skirtumas tarp esamo turto ir įmokų) gyventojams, kaupiantiems papildomas lėšas savo pensijai antroje pensijų pakopoje</w:t>
      </w:r>
      <w:r w:rsidR="14C619C0" w:rsidRPr="00032A5C">
        <w:rPr>
          <w:rFonts w:ascii="Times New Roman" w:hAnsi="Times New Roman" w:cs="Times New Roman"/>
          <w:color w:val="000000" w:themeColor="text1"/>
          <w:sz w:val="24"/>
          <w:szCs w:val="24"/>
          <w:shd w:val="clear" w:color="auto" w:fill="FFFFFF"/>
        </w:rPr>
        <w:t>,</w:t>
      </w:r>
      <w:r w:rsidRPr="00032A5C">
        <w:rPr>
          <w:rFonts w:ascii="Times New Roman" w:hAnsi="Times New Roman" w:cs="Times New Roman"/>
          <w:color w:val="000000" w:themeColor="text1"/>
          <w:sz w:val="24"/>
          <w:szCs w:val="24"/>
          <w:shd w:val="clear" w:color="auto" w:fill="FFFFFF"/>
        </w:rPr>
        <w:t xml:space="preserve"> sudaro </w:t>
      </w:r>
      <w:r w:rsidR="00756912" w:rsidRPr="00032A5C">
        <w:rPr>
          <w:rFonts w:ascii="Times New Roman" w:hAnsi="Times New Roman" w:cs="Times New Roman"/>
          <w:color w:val="000000" w:themeColor="text1"/>
          <w:sz w:val="24"/>
          <w:szCs w:val="24"/>
          <w:shd w:val="clear" w:color="auto" w:fill="FFFFFF"/>
        </w:rPr>
        <w:t>1,</w:t>
      </w:r>
      <w:r w:rsidR="00B468BC">
        <w:rPr>
          <w:rFonts w:ascii="Times New Roman" w:hAnsi="Times New Roman" w:cs="Times New Roman"/>
          <w:color w:val="000000" w:themeColor="text1"/>
          <w:sz w:val="24"/>
          <w:szCs w:val="24"/>
          <w:shd w:val="clear" w:color="auto" w:fill="FFFFFF"/>
        </w:rPr>
        <w:t>7</w:t>
      </w:r>
      <w:r w:rsidR="00B468BC" w:rsidRPr="00032A5C">
        <w:rPr>
          <w:rFonts w:ascii="Times New Roman" w:hAnsi="Times New Roman" w:cs="Times New Roman"/>
          <w:color w:val="000000" w:themeColor="text1"/>
          <w:sz w:val="24"/>
          <w:szCs w:val="24"/>
          <w:shd w:val="clear" w:color="auto" w:fill="FFFFFF"/>
        </w:rPr>
        <w:t xml:space="preserve"> </w:t>
      </w:r>
      <w:r w:rsidRPr="00032A5C">
        <w:rPr>
          <w:rFonts w:ascii="Times New Roman" w:hAnsi="Times New Roman" w:cs="Times New Roman"/>
          <w:color w:val="000000" w:themeColor="text1"/>
          <w:sz w:val="24"/>
          <w:szCs w:val="24"/>
          <w:shd w:val="clear" w:color="auto" w:fill="FFFFFF"/>
        </w:rPr>
        <w:t>ml</w:t>
      </w:r>
      <w:r w:rsidR="00756912" w:rsidRPr="00032A5C">
        <w:rPr>
          <w:rFonts w:ascii="Times New Roman" w:hAnsi="Times New Roman" w:cs="Times New Roman"/>
          <w:color w:val="000000" w:themeColor="text1"/>
          <w:sz w:val="24"/>
          <w:szCs w:val="24"/>
          <w:shd w:val="clear" w:color="auto" w:fill="FFFFFF"/>
        </w:rPr>
        <w:t>rd</w:t>
      </w:r>
      <w:r w:rsidRPr="00032A5C">
        <w:rPr>
          <w:rFonts w:ascii="Times New Roman" w:hAnsi="Times New Roman" w:cs="Times New Roman"/>
          <w:color w:val="000000" w:themeColor="text1"/>
          <w:sz w:val="24"/>
          <w:szCs w:val="24"/>
          <w:shd w:val="clear" w:color="auto" w:fill="FFFFFF"/>
        </w:rPr>
        <w:t xml:space="preserve">. eurų, o išmokėtos sumos investavusiems antroje pensijų pakopoje ir jau sulaukusiems senatvės pensijos (ar jų mirties atveju </w:t>
      </w:r>
      <w:r w:rsidR="40B91C5A" w:rsidRPr="00032A5C">
        <w:rPr>
          <w:rFonts w:ascii="Times New Roman" w:hAnsi="Times New Roman" w:cs="Times New Roman"/>
          <w:color w:val="000000" w:themeColor="text1"/>
          <w:sz w:val="24"/>
          <w:szCs w:val="24"/>
        </w:rPr>
        <w:t xml:space="preserve">– </w:t>
      </w:r>
      <w:r w:rsidRPr="00032A5C">
        <w:rPr>
          <w:rFonts w:ascii="Times New Roman" w:hAnsi="Times New Roman" w:cs="Times New Roman"/>
          <w:color w:val="000000" w:themeColor="text1"/>
          <w:sz w:val="24"/>
          <w:szCs w:val="24"/>
          <w:shd w:val="clear" w:color="auto" w:fill="FFFFFF"/>
        </w:rPr>
        <w:t xml:space="preserve">paveldėtojams) </w:t>
      </w:r>
      <w:r w:rsidR="00756912" w:rsidRPr="00032A5C">
        <w:rPr>
          <w:rFonts w:ascii="Times New Roman" w:hAnsi="Times New Roman" w:cs="Times New Roman"/>
          <w:color w:val="000000" w:themeColor="text1"/>
          <w:sz w:val="24"/>
          <w:szCs w:val="24"/>
          <w:shd w:val="clear" w:color="auto" w:fill="FFFFFF"/>
        </w:rPr>
        <w:t>sudaro 51</w:t>
      </w:r>
      <w:r w:rsidR="00B468BC">
        <w:rPr>
          <w:rFonts w:ascii="Times New Roman" w:hAnsi="Times New Roman" w:cs="Times New Roman"/>
          <w:color w:val="000000" w:themeColor="text1"/>
          <w:sz w:val="24"/>
          <w:szCs w:val="24"/>
          <w:shd w:val="clear" w:color="auto" w:fill="FFFFFF"/>
        </w:rPr>
        <w:t xml:space="preserve">8 </w:t>
      </w:r>
      <w:r w:rsidRPr="00032A5C">
        <w:rPr>
          <w:rFonts w:ascii="Times New Roman" w:hAnsi="Times New Roman" w:cs="Times New Roman"/>
          <w:color w:val="000000" w:themeColor="text1"/>
          <w:sz w:val="24"/>
          <w:szCs w:val="24"/>
          <w:shd w:val="clear" w:color="auto" w:fill="FFFFFF"/>
        </w:rPr>
        <w:t>mln. eurų.</w:t>
      </w:r>
      <w:r w:rsidRPr="00032A5C">
        <w:rPr>
          <w:rFonts w:ascii="Times New Roman" w:hAnsi="Times New Roman" w:cs="Times New Roman"/>
          <w:color w:val="000000" w:themeColor="text1"/>
          <w:sz w:val="24"/>
          <w:szCs w:val="24"/>
        </w:rPr>
        <w:t xml:space="preserve"> </w:t>
      </w:r>
    </w:p>
    <w:p w14:paraId="0370E902" w14:textId="2D1D2933" w:rsidR="001E4E61" w:rsidRPr="00032A5C" w:rsidRDefault="003146A3" w:rsidP="42212926">
      <w:pPr>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14:ligatures w14:val="standardContextual"/>
        </w:rPr>
        <w:drawing>
          <wp:inline distT="0" distB="0" distL="0" distR="0" wp14:anchorId="52C2635E" wp14:editId="05A42A74">
            <wp:extent cx="5731368" cy="3223895"/>
            <wp:effectExtent l="0" t="0" r="3175" b="0"/>
            <wp:docPr id="12711771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177178"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368" cy="3223895"/>
                    </a:xfrm>
                    <a:prstGeom prst="rect">
                      <a:avLst/>
                    </a:prstGeom>
                  </pic:spPr>
                </pic:pic>
              </a:graphicData>
            </a:graphic>
          </wp:inline>
        </w:drawing>
      </w:r>
      <w:r w:rsidR="007C313F" w:rsidRPr="00032A5C">
        <w:rPr>
          <w:rFonts w:ascii="Times New Roman" w:hAnsi="Times New Roman" w:cs="Times New Roman"/>
          <w:color w:val="000000" w:themeColor="text1"/>
          <w:sz w:val="24"/>
          <w:szCs w:val="24"/>
        </w:rPr>
        <w:t xml:space="preserve"> </w:t>
      </w:r>
    </w:p>
    <w:p w14:paraId="3D4815E9" w14:textId="35B1CF09" w:rsidR="006E2A95" w:rsidRPr="00032A5C" w:rsidRDefault="00756912" w:rsidP="00645CA2">
      <w:pPr>
        <w:jc w:val="both"/>
        <w:rPr>
          <w:rFonts w:ascii="Times New Roman" w:hAnsi="Times New Roman" w:cs="Times New Roman"/>
          <w:b/>
          <w:bCs/>
          <w:sz w:val="24"/>
          <w:szCs w:val="24"/>
        </w:rPr>
      </w:pPr>
      <w:r w:rsidRPr="00032A5C">
        <w:rPr>
          <w:rFonts w:ascii="Times New Roman" w:hAnsi="Times New Roman" w:cs="Times New Roman"/>
          <w:b/>
          <w:bCs/>
          <w:sz w:val="24"/>
          <w:szCs w:val="24"/>
        </w:rPr>
        <w:t>III pakopos grąžos</w:t>
      </w:r>
    </w:p>
    <w:p w14:paraId="676A6A6B" w14:textId="512667DF" w:rsidR="00756912" w:rsidRPr="00032A5C" w:rsidRDefault="005174AA" w:rsidP="00645CA2">
      <w:pPr>
        <w:jc w:val="both"/>
        <w:rPr>
          <w:rFonts w:ascii="Times New Roman" w:hAnsi="Times New Roman" w:cs="Times New Roman"/>
          <w:sz w:val="24"/>
          <w:szCs w:val="24"/>
        </w:rPr>
      </w:pPr>
      <w:r w:rsidRPr="00032A5C">
        <w:rPr>
          <w:rFonts w:ascii="Times New Roman" w:hAnsi="Times New Roman" w:cs="Times New Roman"/>
          <w:sz w:val="24"/>
          <w:szCs w:val="24"/>
        </w:rPr>
        <w:t>III pakopos pensijų fond</w:t>
      </w:r>
      <w:r>
        <w:rPr>
          <w:rFonts w:ascii="Times New Roman" w:hAnsi="Times New Roman" w:cs="Times New Roman"/>
          <w:sz w:val="24"/>
          <w:szCs w:val="24"/>
        </w:rPr>
        <w:t>ų grąža</w:t>
      </w:r>
      <w:r w:rsidRPr="00032A5C">
        <w:rPr>
          <w:rFonts w:ascii="Times New Roman" w:hAnsi="Times New Roman" w:cs="Times New Roman"/>
          <w:sz w:val="24"/>
          <w:szCs w:val="24"/>
        </w:rPr>
        <w:t xml:space="preserve"> 2023 metais buvo dviženklė</w:t>
      </w:r>
      <w:r>
        <w:rPr>
          <w:rFonts w:ascii="Times New Roman" w:hAnsi="Times New Roman" w:cs="Times New Roman"/>
          <w:sz w:val="24"/>
          <w:szCs w:val="24"/>
        </w:rPr>
        <w:t>, i</w:t>
      </w:r>
      <w:r w:rsidR="00756912" w:rsidRPr="00032A5C">
        <w:rPr>
          <w:rFonts w:ascii="Times New Roman" w:hAnsi="Times New Roman" w:cs="Times New Roman"/>
          <w:sz w:val="24"/>
          <w:szCs w:val="24"/>
        </w:rPr>
        <w:t>šskyrus mažesnės rizikos, konservatyviau investuojančius</w:t>
      </w:r>
      <w:r>
        <w:rPr>
          <w:rFonts w:ascii="Times New Roman" w:hAnsi="Times New Roman" w:cs="Times New Roman"/>
          <w:sz w:val="24"/>
          <w:szCs w:val="24"/>
        </w:rPr>
        <w:t xml:space="preserve"> fondus</w:t>
      </w:r>
      <w:r w:rsidR="00756912" w:rsidRPr="00032A5C">
        <w:rPr>
          <w:rFonts w:ascii="Times New Roman" w:hAnsi="Times New Roman" w:cs="Times New Roman"/>
          <w:sz w:val="24"/>
          <w:szCs w:val="24"/>
        </w:rPr>
        <w:t>.</w:t>
      </w:r>
    </w:p>
    <w:p w14:paraId="696AF300" w14:textId="5A6E08CD" w:rsidR="00756912" w:rsidRPr="00032A5C" w:rsidRDefault="00756912" w:rsidP="00645CA2">
      <w:pPr>
        <w:jc w:val="both"/>
        <w:rPr>
          <w:rFonts w:ascii="Times New Roman" w:hAnsi="Times New Roman" w:cs="Times New Roman"/>
          <w:sz w:val="24"/>
          <w:szCs w:val="24"/>
        </w:rPr>
      </w:pPr>
      <w:r w:rsidRPr="00032A5C">
        <w:rPr>
          <w:rFonts w:ascii="Times New Roman" w:hAnsi="Times New Roman" w:cs="Times New Roman"/>
          <w:sz w:val="24"/>
          <w:szCs w:val="24"/>
        </w:rPr>
        <w:t>Didesnės akcijų dalies III pakopos pensijų fondai pernai uždirbo +14,</w:t>
      </w:r>
      <w:r w:rsidR="00B468BC">
        <w:rPr>
          <w:rFonts w:ascii="Times New Roman" w:hAnsi="Times New Roman" w:cs="Times New Roman"/>
          <w:sz w:val="24"/>
          <w:szCs w:val="24"/>
        </w:rPr>
        <w:t>6</w:t>
      </w:r>
      <w:r w:rsidR="00B468BC" w:rsidRPr="00032A5C">
        <w:rPr>
          <w:rFonts w:ascii="Times New Roman" w:hAnsi="Times New Roman" w:cs="Times New Roman"/>
          <w:sz w:val="24"/>
          <w:szCs w:val="24"/>
        </w:rPr>
        <w:t xml:space="preserve"> </w:t>
      </w:r>
      <w:r w:rsidRPr="00032A5C">
        <w:rPr>
          <w:rFonts w:ascii="Times New Roman" w:hAnsi="Times New Roman" w:cs="Times New Roman"/>
          <w:sz w:val="24"/>
          <w:szCs w:val="24"/>
        </w:rPr>
        <w:t>proc. svertinę grąžą. Mišraus investavimo pensijų fondai taip pat peržengė 10 proc. grąžos ribą: jų grąža pernai buvo +10,</w:t>
      </w:r>
      <w:r w:rsidR="00B468BC">
        <w:rPr>
          <w:rFonts w:ascii="Times New Roman" w:hAnsi="Times New Roman" w:cs="Times New Roman"/>
          <w:sz w:val="24"/>
          <w:szCs w:val="24"/>
        </w:rPr>
        <w:t>6</w:t>
      </w:r>
      <w:r w:rsidR="00B468BC" w:rsidRPr="00032A5C">
        <w:rPr>
          <w:rFonts w:ascii="Times New Roman" w:hAnsi="Times New Roman" w:cs="Times New Roman"/>
          <w:sz w:val="24"/>
          <w:szCs w:val="24"/>
        </w:rPr>
        <w:t xml:space="preserve"> </w:t>
      </w:r>
      <w:r w:rsidRPr="00032A5C">
        <w:rPr>
          <w:rFonts w:ascii="Times New Roman" w:hAnsi="Times New Roman" w:cs="Times New Roman"/>
          <w:sz w:val="24"/>
          <w:szCs w:val="24"/>
        </w:rPr>
        <w:t>proc. Tuo tarpu mažesnės rizikos III pakopos pensijų fondų grupės vidutinė svertinė praėjusių metų grąža buvo +6,9 proc.</w:t>
      </w:r>
    </w:p>
    <w:p w14:paraId="679FEDF9" w14:textId="1C062A61" w:rsidR="00B07040" w:rsidRDefault="002C2947" w:rsidP="00645CA2">
      <w:pPr>
        <w:jc w:val="both"/>
        <w:rPr>
          <w:rFonts w:ascii="Times New Roman" w:hAnsi="Times New Roman" w:cs="Times New Roman"/>
          <w:sz w:val="24"/>
          <w:szCs w:val="24"/>
        </w:rPr>
      </w:pPr>
      <w:r w:rsidRPr="00032A5C">
        <w:rPr>
          <w:rFonts w:ascii="Times New Roman" w:hAnsi="Times New Roman" w:cs="Times New Roman"/>
          <w:sz w:val="24"/>
          <w:szCs w:val="24"/>
        </w:rPr>
        <w:lastRenderedPageBreak/>
        <w:t xml:space="preserve">„Ir II, ir III pakopos </w:t>
      </w:r>
      <w:r w:rsidR="005174AA" w:rsidRPr="00032A5C">
        <w:rPr>
          <w:rFonts w:ascii="Times New Roman" w:hAnsi="Times New Roman" w:cs="Times New Roman"/>
          <w:sz w:val="24"/>
          <w:szCs w:val="24"/>
        </w:rPr>
        <w:t xml:space="preserve">pensijų </w:t>
      </w:r>
      <w:r w:rsidRPr="00032A5C">
        <w:rPr>
          <w:rFonts w:ascii="Times New Roman" w:hAnsi="Times New Roman" w:cs="Times New Roman"/>
          <w:sz w:val="24"/>
          <w:szCs w:val="24"/>
        </w:rPr>
        <w:t xml:space="preserve">fondų valdomas turtas nuosekliai auga. Tai lemia daugybė faktorių, tarp kurių – reguliarios įmokos, sudėtinių palūkanų efektas, vis ilgėjantis ir jau 20 metų II pakopoje pasiektas bendras kaupimo laikotarpis. Visa tai prisideda prie didesnių būsimųjų pensininkų pajamų ateityje. Kadangi šiais metais matysime ne vieną rinkimų kampaniją, norėtųsi palinkėti išsaugoti </w:t>
      </w:r>
      <w:r w:rsidR="00B07040" w:rsidRPr="00032A5C">
        <w:rPr>
          <w:rFonts w:ascii="Times New Roman" w:hAnsi="Times New Roman" w:cs="Times New Roman"/>
          <w:sz w:val="24"/>
          <w:szCs w:val="24"/>
        </w:rPr>
        <w:t>šią papildomų pensijos pakopų sistemą, kuri neturi kitų alternatyvų šalyje kaip papildomų pajamų šaltinis pensijoje“,  – sako LIPFA vadovas.</w:t>
      </w:r>
    </w:p>
    <w:tbl>
      <w:tblPr>
        <w:tblStyle w:val="TableGrid"/>
        <w:tblW w:w="7420" w:type="dxa"/>
        <w:tblLook w:val="04A0" w:firstRow="1" w:lastRow="0" w:firstColumn="1" w:lastColumn="0" w:noHBand="0" w:noVBand="1"/>
      </w:tblPr>
      <w:tblGrid>
        <w:gridCol w:w="4360"/>
        <w:gridCol w:w="1120"/>
        <w:gridCol w:w="1940"/>
      </w:tblGrid>
      <w:tr w:rsidR="003146A3" w:rsidRPr="003146A3" w14:paraId="203114DF" w14:textId="77777777" w:rsidTr="000E245E">
        <w:trPr>
          <w:trHeight w:val="576"/>
        </w:trPr>
        <w:tc>
          <w:tcPr>
            <w:tcW w:w="4360" w:type="dxa"/>
            <w:hideMark/>
          </w:tcPr>
          <w:p w14:paraId="688F49D3" w14:textId="77777777"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II pakopos fondų kategorijos grąžos vidurkis</w:t>
            </w:r>
          </w:p>
        </w:tc>
        <w:tc>
          <w:tcPr>
            <w:tcW w:w="1120" w:type="dxa"/>
            <w:noWrap/>
            <w:hideMark/>
          </w:tcPr>
          <w:p w14:paraId="5C102115" w14:textId="77777777"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2023 m.</w:t>
            </w:r>
          </w:p>
        </w:tc>
        <w:tc>
          <w:tcPr>
            <w:tcW w:w="1940" w:type="dxa"/>
            <w:hideMark/>
          </w:tcPr>
          <w:p w14:paraId="71D1FF03" w14:textId="77777777"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Nuo veiklos pradžios (2019 m.)</w:t>
            </w:r>
          </w:p>
        </w:tc>
      </w:tr>
      <w:tr w:rsidR="003146A3" w:rsidRPr="003146A3" w14:paraId="214FB2EB" w14:textId="77777777" w:rsidTr="000E245E">
        <w:trPr>
          <w:trHeight w:val="288"/>
        </w:trPr>
        <w:tc>
          <w:tcPr>
            <w:tcW w:w="4360" w:type="dxa"/>
            <w:noWrap/>
            <w:hideMark/>
          </w:tcPr>
          <w:p w14:paraId="15FA6F61" w14:textId="77777777" w:rsidR="003146A3" w:rsidRPr="003146A3" w:rsidRDefault="003146A3" w:rsidP="003146A3">
            <w:pPr>
              <w:spacing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Pensija 1996-2002</w:t>
            </w:r>
          </w:p>
        </w:tc>
        <w:tc>
          <w:tcPr>
            <w:tcW w:w="1120" w:type="dxa"/>
            <w:noWrap/>
            <w:hideMark/>
          </w:tcPr>
          <w:p w14:paraId="438F90D7" w14:textId="4DE127A3"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16,3%</w:t>
            </w:r>
          </w:p>
        </w:tc>
        <w:tc>
          <w:tcPr>
            <w:tcW w:w="1940" w:type="dxa"/>
            <w:noWrap/>
            <w:hideMark/>
          </w:tcPr>
          <w:p w14:paraId="75B44F36" w14:textId="51BA743A"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59,</w:t>
            </w:r>
            <w:r w:rsidR="006D478C">
              <w:rPr>
                <w:rFonts w:ascii="Calibri" w:eastAsia="Times New Roman" w:hAnsi="Calibri" w:cs="Calibri"/>
                <w:color w:val="000000"/>
                <w:lang w:eastAsia="lt-LT"/>
              </w:rPr>
              <w:t>2</w:t>
            </w:r>
            <w:r w:rsidRPr="003146A3">
              <w:rPr>
                <w:rFonts w:ascii="Calibri" w:eastAsia="Times New Roman" w:hAnsi="Calibri" w:cs="Calibri"/>
                <w:color w:val="000000"/>
                <w:lang w:eastAsia="lt-LT"/>
              </w:rPr>
              <w:t>%</w:t>
            </w:r>
          </w:p>
        </w:tc>
      </w:tr>
      <w:tr w:rsidR="003146A3" w:rsidRPr="003146A3" w14:paraId="1DE70370" w14:textId="77777777" w:rsidTr="000E245E">
        <w:trPr>
          <w:trHeight w:val="288"/>
        </w:trPr>
        <w:tc>
          <w:tcPr>
            <w:tcW w:w="4360" w:type="dxa"/>
            <w:noWrap/>
            <w:hideMark/>
          </w:tcPr>
          <w:p w14:paraId="098FB538" w14:textId="77777777" w:rsidR="003146A3" w:rsidRPr="003146A3" w:rsidRDefault="003146A3" w:rsidP="003146A3">
            <w:pPr>
              <w:spacing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Pensija 1989-1995</w:t>
            </w:r>
          </w:p>
        </w:tc>
        <w:tc>
          <w:tcPr>
            <w:tcW w:w="1120" w:type="dxa"/>
            <w:noWrap/>
            <w:hideMark/>
          </w:tcPr>
          <w:p w14:paraId="6927E2A2" w14:textId="6A76200F"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16,</w:t>
            </w:r>
            <w:r w:rsidR="006D478C">
              <w:rPr>
                <w:rFonts w:ascii="Calibri" w:eastAsia="Times New Roman" w:hAnsi="Calibri" w:cs="Calibri"/>
                <w:color w:val="000000"/>
                <w:lang w:eastAsia="lt-LT"/>
              </w:rPr>
              <w:t>1</w:t>
            </w:r>
            <w:r w:rsidRPr="003146A3">
              <w:rPr>
                <w:rFonts w:ascii="Calibri" w:eastAsia="Times New Roman" w:hAnsi="Calibri" w:cs="Calibri"/>
                <w:color w:val="000000"/>
                <w:lang w:eastAsia="lt-LT"/>
              </w:rPr>
              <w:t>%</w:t>
            </w:r>
          </w:p>
        </w:tc>
        <w:tc>
          <w:tcPr>
            <w:tcW w:w="1940" w:type="dxa"/>
            <w:noWrap/>
            <w:hideMark/>
          </w:tcPr>
          <w:p w14:paraId="3A2E5105" w14:textId="2BAECA89"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61,</w:t>
            </w:r>
            <w:r w:rsidR="006D478C">
              <w:rPr>
                <w:rFonts w:ascii="Calibri" w:eastAsia="Times New Roman" w:hAnsi="Calibri" w:cs="Calibri"/>
                <w:color w:val="000000"/>
                <w:lang w:eastAsia="lt-LT"/>
              </w:rPr>
              <w:t>6</w:t>
            </w:r>
            <w:r w:rsidRPr="003146A3">
              <w:rPr>
                <w:rFonts w:ascii="Calibri" w:eastAsia="Times New Roman" w:hAnsi="Calibri" w:cs="Calibri"/>
                <w:color w:val="000000"/>
                <w:lang w:eastAsia="lt-LT"/>
              </w:rPr>
              <w:t>%</w:t>
            </w:r>
          </w:p>
        </w:tc>
      </w:tr>
      <w:tr w:rsidR="003146A3" w:rsidRPr="003146A3" w14:paraId="499A28FD" w14:textId="77777777" w:rsidTr="000E245E">
        <w:trPr>
          <w:trHeight w:val="288"/>
        </w:trPr>
        <w:tc>
          <w:tcPr>
            <w:tcW w:w="4360" w:type="dxa"/>
            <w:noWrap/>
            <w:hideMark/>
          </w:tcPr>
          <w:p w14:paraId="427B9244" w14:textId="77777777" w:rsidR="003146A3" w:rsidRPr="003146A3" w:rsidRDefault="003146A3" w:rsidP="003146A3">
            <w:pPr>
              <w:spacing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Pensija 1982-1988</w:t>
            </w:r>
          </w:p>
        </w:tc>
        <w:tc>
          <w:tcPr>
            <w:tcW w:w="1120" w:type="dxa"/>
            <w:noWrap/>
            <w:hideMark/>
          </w:tcPr>
          <w:p w14:paraId="19A7057C" w14:textId="74DA72BC"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15,9%</w:t>
            </w:r>
          </w:p>
        </w:tc>
        <w:tc>
          <w:tcPr>
            <w:tcW w:w="1940" w:type="dxa"/>
            <w:noWrap/>
            <w:hideMark/>
          </w:tcPr>
          <w:p w14:paraId="378A242A" w14:textId="7B708E67"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61,9%</w:t>
            </w:r>
          </w:p>
        </w:tc>
      </w:tr>
      <w:tr w:rsidR="003146A3" w:rsidRPr="003146A3" w14:paraId="3AC11AD9" w14:textId="77777777" w:rsidTr="000E245E">
        <w:trPr>
          <w:trHeight w:val="288"/>
        </w:trPr>
        <w:tc>
          <w:tcPr>
            <w:tcW w:w="4360" w:type="dxa"/>
            <w:noWrap/>
            <w:hideMark/>
          </w:tcPr>
          <w:p w14:paraId="3A23418F" w14:textId="77777777" w:rsidR="003146A3" w:rsidRPr="003146A3" w:rsidRDefault="003146A3" w:rsidP="003146A3">
            <w:pPr>
              <w:spacing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Pensija 1975-1981</w:t>
            </w:r>
          </w:p>
        </w:tc>
        <w:tc>
          <w:tcPr>
            <w:tcW w:w="1120" w:type="dxa"/>
            <w:noWrap/>
            <w:hideMark/>
          </w:tcPr>
          <w:p w14:paraId="7596E802" w14:textId="28140C37"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15,</w:t>
            </w:r>
            <w:r w:rsidR="006D478C">
              <w:rPr>
                <w:rFonts w:ascii="Calibri" w:eastAsia="Times New Roman" w:hAnsi="Calibri" w:cs="Calibri"/>
                <w:color w:val="000000"/>
                <w:lang w:eastAsia="lt-LT"/>
              </w:rPr>
              <w:t>9</w:t>
            </w:r>
            <w:r w:rsidRPr="003146A3">
              <w:rPr>
                <w:rFonts w:ascii="Calibri" w:eastAsia="Times New Roman" w:hAnsi="Calibri" w:cs="Calibri"/>
                <w:color w:val="000000"/>
                <w:lang w:eastAsia="lt-LT"/>
              </w:rPr>
              <w:t>%</w:t>
            </w:r>
          </w:p>
        </w:tc>
        <w:tc>
          <w:tcPr>
            <w:tcW w:w="1940" w:type="dxa"/>
            <w:noWrap/>
            <w:hideMark/>
          </w:tcPr>
          <w:p w14:paraId="394F857F" w14:textId="6048E5D6"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62,</w:t>
            </w:r>
            <w:r w:rsidR="006D478C">
              <w:rPr>
                <w:rFonts w:ascii="Calibri" w:eastAsia="Times New Roman" w:hAnsi="Calibri" w:cs="Calibri"/>
                <w:color w:val="000000"/>
                <w:lang w:eastAsia="lt-LT"/>
              </w:rPr>
              <w:t>9</w:t>
            </w:r>
            <w:r w:rsidRPr="003146A3">
              <w:rPr>
                <w:rFonts w:ascii="Calibri" w:eastAsia="Times New Roman" w:hAnsi="Calibri" w:cs="Calibri"/>
                <w:color w:val="000000"/>
                <w:lang w:eastAsia="lt-LT"/>
              </w:rPr>
              <w:t>%</w:t>
            </w:r>
          </w:p>
        </w:tc>
      </w:tr>
      <w:tr w:rsidR="003146A3" w:rsidRPr="003146A3" w14:paraId="49829DFC" w14:textId="77777777" w:rsidTr="000E245E">
        <w:trPr>
          <w:trHeight w:val="288"/>
        </w:trPr>
        <w:tc>
          <w:tcPr>
            <w:tcW w:w="4360" w:type="dxa"/>
            <w:noWrap/>
            <w:hideMark/>
          </w:tcPr>
          <w:p w14:paraId="1D2FDC23" w14:textId="77777777" w:rsidR="003146A3" w:rsidRPr="003146A3" w:rsidRDefault="003146A3" w:rsidP="003146A3">
            <w:pPr>
              <w:spacing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Pensija 1968-1974</w:t>
            </w:r>
          </w:p>
        </w:tc>
        <w:tc>
          <w:tcPr>
            <w:tcW w:w="1120" w:type="dxa"/>
            <w:noWrap/>
            <w:hideMark/>
          </w:tcPr>
          <w:p w14:paraId="501CF45E" w14:textId="47D8B547"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14,1%</w:t>
            </w:r>
          </w:p>
        </w:tc>
        <w:tc>
          <w:tcPr>
            <w:tcW w:w="1940" w:type="dxa"/>
            <w:noWrap/>
            <w:hideMark/>
          </w:tcPr>
          <w:p w14:paraId="01D7A932" w14:textId="5FAF4C91"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54,</w:t>
            </w:r>
            <w:r w:rsidR="006D478C">
              <w:rPr>
                <w:rFonts w:ascii="Calibri" w:eastAsia="Times New Roman" w:hAnsi="Calibri" w:cs="Calibri"/>
                <w:color w:val="000000"/>
                <w:lang w:eastAsia="lt-LT"/>
              </w:rPr>
              <w:t>9</w:t>
            </w:r>
            <w:r w:rsidRPr="003146A3">
              <w:rPr>
                <w:rFonts w:ascii="Calibri" w:eastAsia="Times New Roman" w:hAnsi="Calibri" w:cs="Calibri"/>
                <w:color w:val="000000"/>
                <w:lang w:eastAsia="lt-LT"/>
              </w:rPr>
              <w:t>%</w:t>
            </w:r>
          </w:p>
        </w:tc>
      </w:tr>
      <w:tr w:rsidR="003146A3" w:rsidRPr="003146A3" w14:paraId="7D10B52E" w14:textId="77777777" w:rsidTr="000E245E">
        <w:trPr>
          <w:trHeight w:val="288"/>
        </w:trPr>
        <w:tc>
          <w:tcPr>
            <w:tcW w:w="4360" w:type="dxa"/>
            <w:noWrap/>
            <w:hideMark/>
          </w:tcPr>
          <w:p w14:paraId="32F39694" w14:textId="77777777" w:rsidR="003146A3" w:rsidRPr="003146A3" w:rsidRDefault="003146A3" w:rsidP="003146A3">
            <w:pPr>
              <w:spacing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Pensija 1961-1967</w:t>
            </w:r>
          </w:p>
        </w:tc>
        <w:tc>
          <w:tcPr>
            <w:tcW w:w="1120" w:type="dxa"/>
            <w:noWrap/>
            <w:hideMark/>
          </w:tcPr>
          <w:p w14:paraId="45E487ED" w14:textId="1407F278"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10,</w:t>
            </w:r>
            <w:r w:rsidR="006D478C">
              <w:rPr>
                <w:rFonts w:ascii="Calibri" w:eastAsia="Times New Roman" w:hAnsi="Calibri" w:cs="Calibri"/>
                <w:color w:val="000000"/>
                <w:lang w:eastAsia="lt-LT"/>
              </w:rPr>
              <w:t>6</w:t>
            </w:r>
            <w:r w:rsidRPr="003146A3">
              <w:rPr>
                <w:rFonts w:ascii="Calibri" w:eastAsia="Times New Roman" w:hAnsi="Calibri" w:cs="Calibri"/>
                <w:color w:val="000000"/>
                <w:lang w:eastAsia="lt-LT"/>
              </w:rPr>
              <w:t>%</w:t>
            </w:r>
          </w:p>
        </w:tc>
        <w:tc>
          <w:tcPr>
            <w:tcW w:w="1940" w:type="dxa"/>
            <w:noWrap/>
            <w:hideMark/>
          </w:tcPr>
          <w:p w14:paraId="6B3F78F8" w14:textId="1C1AA75C"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29,9%</w:t>
            </w:r>
          </w:p>
        </w:tc>
      </w:tr>
      <w:tr w:rsidR="003146A3" w:rsidRPr="003146A3" w14:paraId="6F02B335" w14:textId="77777777" w:rsidTr="000E245E">
        <w:trPr>
          <w:trHeight w:val="288"/>
        </w:trPr>
        <w:tc>
          <w:tcPr>
            <w:tcW w:w="4360" w:type="dxa"/>
            <w:noWrap/>
            <w:hideMark/>
          </w:tcPr>
          <w:p w14:paraId="0503A5EB" w14:textId="77777777" w:rsidR="003146A3" w:rsidRPr="003146A3" w:rsidRDefault="003146A3" w:rsidP="003146A3">
            <w:pPr>
              <w:spacing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Pensija 1954-1960</w:t>
            </w:r>
          </w:p>
        </w:tc>
        <w:tc>
          <w:tcPr>
            <w:tcW w:w="1120" w:type="dxa"/>
            <w:noWrap/>
            <w:hideMark/>
          </w:tcPr>
          <w:p w14:paraId="7800D3C0" w14:textId="45933DA0"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7,</w:t>
            </w:r>
            <w:r w:rsidR="006D478C">
              <w:rPr>
                <w:rFonts w:ascii="Calibri" w:eastAsia="Times New Roman" w:hAnsi="Calibri" w:cs="Calibri"/>
                <w:color w:val="000000"/>
                <w:lang w:eastAsia="lt-LT"/>
              </w:rPr>
              <w:t>6</w:t>
            </w:r>
            <w:r w:rsidRPr="003146A3">
              <w:rPr>
                <w:rFonts w:ascii="Calibri" w:eastAsia="Times New Roman" w:hAnsi="Calibri" w:cs="Calibri"/>
                <w:color w:val="000000"/>
                <w:lang w:eastAsia="lt-LT"/>
              </w:rPr>
              <w:t>%</w:t>
            </w:r>
          </w:p>
        </w:tc>
        <w:tc>
          <w:tcPr>
            <w:tcW w:w="1940" w:type="dxa"/>
            <w:noWrap/>
            <w:hideMark/>
          </w:tcPr>
          <w:p w14:paraId="52C87378" w14:textId="491450F9"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8,7%</w:t>
            </w:r>
          </w:p>
        </w:tc>
      </w:tr>
      <w:tr w:rsidR="003146A3" w:rsidRPr="003146A3" w14:paraId="37534247" w14:textId="77777777" w:rsidTr="000E245E">
        <w:trPr>
          <w:trHeight w:val="288"/>
        </w:trPr>
        <w:tc>
          <w:tcPr>
            <w:tcW w:w="4360" w:type="dxa"/>
            <w:noWrap/>
            <w:hideMark/>
          </w:tcPr>
          <w:p w14:paraId="55A1F8AE" w14:textId="77777777" w:rsidR="003146A3" w:rsidRPr="003146A3" w:rsidRDefault="003146A3" w:rsidP="003146A3">
            <w:pPr>
              <w:spacing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Turto išsaugojimo fondas</w:t>
            </w:r>
          </w:p>
        </w:tc>
        <w:tc>
          <w:tcPr>
            <w:tcW w:w="1120" w:type="dxa"/>
            <w:noWrap/>
            <w:hideMark/>
          </w:tcPr>
          <w:p w14:paraId="41CE11F0" w14:textId="2B733D98"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7,4%</w:t>
            </w:r>
          </w:p>
        </w:tc>
        <w:tc>
          <w:tcPr>
            <w:tcW w:w="1940" w:type="dxa"/>
            <w:noWrap/>
            <w:hideMark/>
          </w:tcPr>
          <w:p w14:paraId="1992FF27" w14:textId="7F0EC196" w:rsidR="003146A3" w:rsidRPr="003146A3" w:rsidRDefault="003146A3" w:rsidP="003146A3">
            <w:pPr>
              <w:spacing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6,</w:t>
            </w:r>
            <w:r w:rsidR="006D478C">
              <w:rPr>
                <w:rFonts w:ascii="Calibri" w:eastAsia="Times New Roman" w:hAnsi="Calibri" w:cs="Calibri"/>
                <w:color w:val="000000"/>
                <w:lang w:eastAsia="lt-LT"/>
              </w:rPr>
              <w:t>8</w:t>
            </w:r>
            <w:r w:rsidRPr="003146A3">
              <w:rPr>
                <w:rFonts w:ascii="Calibri" w:eastAsia="Times New Roman" w:hAnsi="Calibri" w:cs="Calibri"/>
                <w:color w:val="000000"/>
                <w:lang w:eastAsia="lt-LT"/>
              </w:rPr>
              <w:t>%</w:t>
            </w:r>
          </w:p>
        </w:tc>
      </w:tr>
      <w:tr w:rsidR="00FD19B5" w:rsidRPr="003146A3" w14:paraId="5A65EBB1" w14:textId="77777777" w:rsidTr="000E245E">
        <w:trPr>
          <w:trHeight w:val="288"/>
        </w:trPr>
        <w:tc>
          <w:tcPr>
            <w:tcW w:w="4360" w:type="dxa"/>
            <w:noWrap/>
          </w:tcPr>
          <w:p w14:paraId="24174F4B" w14:textId="60A55536" w:rsidR="00FD19B5" w:rsidRPr="003146A3" w:rsidRDefault="00FD19B5" w:rsidP="003146A3">
            <w:pPr>
              <w:spacing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Bendras svertinis vidurkis</w:t>
            </w:r>
          </w:p>
        </w:tc>
        <w:tc>
          <w:tcPr>
            <w:tcW w:w="1120" w:type="dxa"/>
            <w:noWrap/>
          </w:tcPr>
          <w:p w14:paraId="2D49C4EB" w14:textId="293FE55C" w:rsidR="00FD19B5" w:rsidRPr="000E245E" w:rsidRDefault="000E245E" w:rsidP="003146A3">
            <w:pPr>
              <w:spacing w:line="240" w:lineRule="auto"/>
              <w:jc w:val="center"/>
              <w:rPr>
                <w:rFonts w:ascii="Calibri" w:eastAsia="Times New Roman" w:hAnsi="Calibri" w:cs="Calibri"/>
                <w:color w:val="000000"/>
                <w:lang w:val="en-GB" w:eastAsia="lt-LT"/>
              </w:rPr>
            </w:pPr>
            <w:r>
              <w:rPr>
                <w:rFonts w:ascii="Calibri" w:eastAsia="Times New Roman" w:hAnsi="Calibri" w:cs="Calibri"/>
                <w:color w:val="000000"/>
                <w:lang w:eastAsia="lt-LT"/>
              </w:rPr>
              <w:t>14,2</w:t>
            </w:r>
            <w:r w:rsidRPr="003146A3">
              <w:rPr>
                <w:rFonts w:ascii="Calibri" w:eastAsia="Times New Roman" w:hAnsi="Calibri" w:cs="Calibri"/>
                <w:color w:val="000000"/>
                <w:lang w:eastAsia="lt-LT"/>
              </w:rPr>
              <w:t>%</w:t>
            </w:r>
          </w:p>
        </w:tc>
        <w:tc>
          <w:tcPr>
            <w:tcW w:w="1940" w:type="dxa"/>
            <w:noWrap/>
          </w:tcPr>
          <w:p w14:paraId="02142897" w14:textId="7A381FFB" w:rsidR="00FD19B5" w:rsidRPr="003146A3" w:rsidRDefault="000E245E" w:rsidP="003146A3">
            <w:pPr>
              <w:spacing w:line="240" w:lineRule="auto"/>
              <w:jc w:val="center"/>
              <w:rPr>
                <w:rFonts w:ascii="Calibri" w:eastAsia="Times New Roman" w:hAnsi="Calibri" w:cs="Calibri"/>
                <w:color w:val="000000"/>
                <w:lang w:eastAsia="lt-LT"/>
              </w:rPr>
            </w:pPr>
            <w:r>
              <w:rPr>
                <w:rFonts w:ascii="Calibri" w:eastAsia="Times New Roman" w:hAnsi="Calibri" w:cs="Calibri"/>
                <w:color w:val="000000"/>
                <w:lang w:eastAsia="lt-LT"/>
              </w:rPr>
              <w:t>52.5</w:t>
            </w:r>
            <w:r w:rsidRPr="003146A3">
              <w:rPr>
                <w:rFonts w:ascii="Calibri" w:eastAsia="Times New Roman" w:hAnsi="Calibri" w:cs="Calibri"/>
                <w:color w:val="000000"/>
                <w:lang w:eastAsia="lt-LT"/>
              </w:rPr>
              <w:t>%</w:t>
            </w:r>
          </w:p>
        </w:tc>
      </w:tr>
    </w:tbl>
    <w:p w14:paraId="6D029907" w14:textId="77777777" w:rsidR="003146A3" w:rsidRDefault="003146A3" w:rsidP="00645CA2">
      <w:pPr>
        <w:jc w:val="both"/>
        <w:rPr>
          <w:rFonts w:ascii="Times New Roman" w:hAnsi="Times New Roman" w:cs="Times New Roman"/>
          <w:sz w:val="24"/>
          <w:szCs w:val="24"/>
        </w:rPr>
      </w:pPr>
    </w:p>
    <w:tbl>
      <w:tblPr>
        <w:tblW w:w="5480" w:type="dxa"/>
        <w:tblLook w:val="04A0" w:firstRow="1" w:lastRow="0" w:firstColumn="1" w:lastColumn="0" w:noHBand="0" w:noVBand="1"/>
      </w:tblPr>
      <w:tblGrid>
        <w:gridCol w:w="4360"/>
        <w:gridCol w:w="1120"/>
      </w:tblGrid>
      <w:tr w:rsidR="003146A3" w:rsidRPr="003146A3" w14:paraId="59B17838" w14:textId="77777777" w:rsidTr="003146A3">
        <w:trPr>
          <w:trHeight w:val="288"/>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54D8F" w14:textId="77777777" w:rsidR="003146A3" w:rsidRPr="003146A3" w:rsidRDefault="003146A3" w:rsidP="003146A3">
            <w:pPr>
              <w:spacing w:after="0"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III pakopos fondų kategorijos grąžos vidurkis</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069D401E" w14:textId="77777777" w:rsidR="003146A3" w:rsidRPr="003146A3" w:rsidRDefault="003146A3" w:rsidP="003146A3">
            <w:pPr>
              <w:spacing w:after="0" w:line="240" w:lineRule="auto"/>
              <w:jc w:val="center"/>
              <w:rPr>
                <w:rFonts w:ascii="Calibri" w:eastAsia="Times New Roman" w:hAnsi="Calibri" w:cs="Calibri"/>
                <w:color w:val="000000"/>
                <w:lang w:eastAsia="lt-LT"/>
              </w:rPr>
            </w:pPr>
            <w:r w:rsidRPr="003146A3">
              <w:rPr>
                <w:rFonts w:ascii="Calibri" w:eastAsia="Times New Roman" w:hAnsi="Calibri" w:cs="Calibri"/>
                <w:color w:val="000000"/>
                <w:lang w:eastAsia="lt-LT"/>
              </w:rPr>
              <w:t>2023 m.</w:t>
            </w:r>
          </w:p>
        </w:tc>
      </w:tr>
      <w:tr w:rsidR="003146A3" w:rsidRPr="003146A3" w14:paraId="7E5FE74A" w14:textId="77777777" w:rsidTr="003146A3">
        <w:trPr>
          <w:trHeight w:val="288"/>
        </w:trPr>
        <w:tc>
          <w:tcPr>
            <w:tcW w:w="4360" w:type="dxa"/>
            <w:tcBorders>
              <w:top w:val="nil"/>
              <w:left w:val="single" w:sz="4" w:space="0" w:color="auto"/>
              <w:bottom w:val="single" w:sz="4" w:space="0" w:color="auto"/>
              <w:right w:val="single" w:sz="4" w:space="0" w:color="auto"/>
            </w:tcBorders>
            <w:shd w:val="clear" w:color="auto" w:fill="auto"/>
            <w:vAlign w:val="bottom"/>
            <w:hideMark/>
          </w:tcPr>
          <w:p w14:paraId="085DD477" w14:textId="77777777" w:rsidR="003146A3" w:rsidRPr="003146A3" w:rsidRDefault="003146A3" w:rsidP="003146A3">
            <w:pPr>
              <w:spacing w:after="0"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Didesnės akcijų dalies P3P fondai</w:t>
            </w:r>
          </w:p>
        </w:tc>
        <w:tc>
          <w:tcPr>
            <w:tcW w:w="1120" w:type="dxa"/>
            <w:tcBorders>
              <w:top w:val="nil"/>
              <w:left w:val="nil"/>
              <w:bottom w:val="single" w:sz="4" w:space="0" w:color="auto"/>
              <w:right w:val="single" w:sz="4" w:space="0" w:color="auto"/>
            </w:tcBorders>
            <w:shd w:val="clear" w:color="auto" w:fill="auto"/>
            <w:noWrap/>
            <w:vAlign w:val="bottom"/>
            <w:hideMark/>
          </w:tcPr>
          <w:p w14:paraId="12AC7DB9" w14:textId="721D3323" w:rsidR="003146A3" w:rsidRPr="003146A3" w:rsidRDefault="003146A3" w:rsidP="003146A3">
            <w:pPr>
              <w:spacing w:after="0" w:line="240" w:lineRule="auto"/>
              <w:jc w:val="right"/>
              <w:rPr>
                <w:rFonts w:ascii="Calibri" w:eastAsia="Times New Roman" w:hAnsi="Calibri" w:cs="Calibri"/>
                <w:color w:val="000000"/>
                <w:lang w:eastAsia="lt-LT"/>
              </w:rPr>
            </w:pPr>
            <w:r w:rsidRPr="003146A3">
              <w:rPr>
                <w:rFonts w:ascii="Calibri" w:eastAsia="Times New Roman" w:hAnsi="Calibri" w:cs="Calibri"/>
                <w:color w:val="000000"/>
                <w:lang w:eastAsia="lt-LT"/>
              </w:rPr>
              <w:t>14,5%</w:t>
            </w:r>
          </w:p>
        </w:tc>
      </w:tr>
      <w:tr w:rsidR="003146A3" w:rsidRPr="003146A3" w14:paraId="074A9F8B" w14:textId="77777777" w:rsidTr="003146A3">
        <w:trPr>
          <w:trHeight w:val="288"/>
        </w:trPr>
        <w:tc>
          <w:tcPr>
            <w:tcW w:w="4360" w:type="dxa"/>
            <w:tcBorders>
              <w:top w:val="nil"/>
              <w:left w:val="single" w:sz="4" w:space="0" w:color="auto"/>
              <w:bottom w:val="single" w:sz="4" w:space="0" w:color="auto"/>
              <w:right w:val="single" w:sz="4" w:space="0" w:color="auto"/>
            </w:tcBorders>
            <w:shd w:val="clear" w:color="auto" w:fill="auto"/>
            <w:vAlign w:val="bottom"/>
            <w:hideMark/>
          </w:tcPr>
          <w:p w14:paraId="4038EDDB" w14:textId="77777777" w:rsidR="003146A3" w:rsidRPr="003146A3" w:rsidRDefault="003146A3" w:rsidP="003146A3">
            <w:pPr>
              <w:spacing w:after="0"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Mišraus investavimo P3P fondai</w:t>
            </w:r>
          </w:p>
        </w:tc>
        <w:tc>
          <w:tcPr>
            <w:tcW w:w="1120" w:type="dxa"/>
            <w:tcBorders>
              <w:top w:val="nil"/>
              <w:left w:val="nil"/>
              <w:bottom w:val="single" w:sz="4" w:space="0" w:color="auto"/>
              <w:right w:val="single" w:sz="4" w:space="0" w:color="auto"/>
            </w:tcBorders>
            <w:shd w:val="clear" w:color="auto" w:fill="auto"/>
            <w:noWrap/>
            <w:vAlign w:val="bottom"/>
            <w:hideMark/>
          </w:tcPr>
          <w:p w14:paraId="6309BAA8" w14:textId="653FBFD9" w:rsidR="003146A3" w:rsidRPr="003146A3" w:rsidRDefault="003146A3" w:rsidP="003146A3">
            <w:pPr>
              <w:spacing w:after="0" w:line="240" w:lineRule="auto"/>
              <w:jc w:val="right"/>
              <w:rPr>
                <w:rFonts w:ascii="Calibri" w:eastAsia="Times New Roman" w:hAnsi="Calibri" w:cs="Calibri"/>
                <w:color w:val="000000"/>
                <w:lang w:eastAsia="lt-LT"/>
              </w:rPr>
            </w:pPr>
            <w:r w:rsidRPr="003146A3">
              <w:rPr>
                <w:rFonts w:ascii="Calibri" w:eastAsia="Times New Roman" w:hAnsi="Calibri" w:cs="Calibri"/>
                <w:color w:val="000000"/>
                <w:lang w:eastAsia="lt-LT"/>
              </w:rPr>
              <w:t>10,5%</w:t>
            </w:r>
          </w:p>
        </w:tc>
      </w:tr>
      <w:tr w:rsidR="003146A3" w:rsidRPr="003146A3" w14:paraId="5B655200" w14:textId="77777777" w:rsidTr="003146A3">
        <w:trPr>
          <w:trHeight w:val="288"/>
        </w:trPr>
        <w:tc>
          <w:tcPr>
            <w:tcW w:w="4360" w:type="dxa"/>
            <w:tcBorders>
              <w:top w:val="nil"/>
              <w:left w:val="single" w:sz="4" w:space="0" w:color="auto"/>
              <w:bottom w:val="single" w:sz="4" w:space="0" w:color="auto"/>
              <w:right w:val="single" w:sz="4" w:space="0" w:color="auto"/>
            </w:tcBorders>
            <w:shd w:val="clear" w:color="auto" w:fill="auto"/>
            <w:vAlign w:val="bottom"/>
            <w:hideMark/>
          </w:tcPr>
          <w:p w14:paraId="54D7492C" w14:textId="77777777" w:rsidR="003146A3" w:rsidRPr="003146A3" w:rsidRDefault="003146A3" w:rsidP="003146A3">
            <w:pPr>
              <w:spacing w:after="0"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Mažesnės rizikos P3P fondai</w:t>
            </w:r>
          </w:p>
        </w:tc>
        <w:tc>
          <w:tcPr>
            <w:tcW w:w="1120" w:type="dxa"/>
            <w:tcBorders>
              <w:top w:val="nil"/>
              <w:left w:val="nil"/>
              <w:bottom w:val="single" w:sz="4" w:space="0" w:color="auto"/>
              <w:right w:val="single" w:sz="4" w:space="0" w:color="auto"/>
            </w:tcBorders>
            <w:shd w:val="clear" w:color="auto" w:fill="auto"/>
            <w:noWrap/>
            <w:vAlign w:val="bottom"/>
            <w:hideMark/>
          </w:tcPr>
          <w:p w14:paraId="621F073B" w14:textId="59AFC4AB" w:rsidR="003146A3" w:rsidRPr="003146A3" w:rsidRDefault="003146A3" w:rsidP="003146A3">
            <w:pPr>
              <w:spacing w:after="0" w:line="240" w:lineRule="auto"/>
              <w:jc w:val="right"/>
              <w:rPr>
                <w:rFonts w:ascii="Calibri" w:eastAsia="Times New Roman" w:hAnsi="Calibri" w:cs="Calibri"/>
                <w:color w:val="000000"/>
                <w:lang w:eastAsia="lt-LT"/>
              </w:rPr>
            </w:pPr>
            <w:r w:rsidRPr="003146A3">
              <w:rPr>
                <w:rFonts w:ascii="Calibri" w:eastAsia="Times New Roman" w:hAnsi="Calibri" w:cs="Calibri"/>
                <w:color w:val="000000"/>
                <w:lang w:eastAsia="lt-LT"/>
              </w:rPr>
              <w:t>6,9%</w:t>
            </w:r>
          </w:p>
        </w:tc>
      </w:tr>
      <w:tr w:rsidR="003146A3" w:rsidRPr="003146A3" w14:paraId="6862F3C4" w14:textId="77777777" w:rsidTr="003146A3">
        <w:trPr>
          <w:trHeight w:val="288"/>
        </w:trPr>
        <w:tc>
          <w:tcPr>
            <w:tcW w:w="4360" w:type="dxa"/>
            <w:tcBorders>
              <w:top w:val="nil"/>
              <w:left w:val="single" w:sz="4" w:space="0" w:color="auto"/>
              <w:bottom w:val="single" w:sz="4" w:space="0" w:color="auto"/>
              <w:right w:val="single" w:sz="4" w:space="0" w:color="auto"/>
            </w:tcBorders>
            <w:shd w:val="clear" w:color="auto" w:fill="auto"/>
            <w:vAlign w:val="bottom"/>
            <w:hideMark/>
          </w:tcPr>
          <w:p w14:paraId="5907B599" w14:textId="77777777" w:rsidR="003146A3" w:rsidRPr="003146A3" w:rsidRDefault="003146A3" w:rsidP="003146A3">
            <w:pPr>
              <w:spacing w:after="0" w:line="240" w:lineRule="auto"/>
              <w:rPr>
                <w:rFonts w:ascii="Calibri" w:eastAsia="Times New Roman" w:hAnsi="Calibri" w:cs="Calibri"/>
                <w:color w:val="000000"/>
                <w:lang w:eastAsia="lt-LT"/>
              </w:rPr>
            </w:pPr>
            <w:r w:rsidRPr="003146A3">
              <w:rPr>
                <w:rFonts w:ascii="Calibri" w:eastAsia="Times New Roman" w:hAnsi="Calibri" w:cs="Calibri"/>
                <w:color w:val="000000"/>
                <w:lang w:eastAsia="lt-LT"/>
              </w:rPr>
              <w:t>Bendras svertinis vidurkis</w:t>
            </w:r>
          </w:p>
        </w:tc>
        <w:tc>
          <w:tcPr>
            <w:tcW w:w="1120" w:type="dxa"/>
            <w:tcBorders>
              <w:top w:val="nil"/>
              <w:left w:val="nil"/>
              <w:bottom w:val="single" w:sz="4" w:space="0" w:color="auto"/>
              <w:right w:val="single" w:sz="4" w:space="0" w:color="auto"/>
            </w:tcBorders>
            <w:shd w:val="clear" w:color="auto" w:fill="auto"/>
            <w:noWrap/>
            <w:vAlign w:val="bottom"/>
            <w:hideMark/>
          </w:tcPr>
          <w:p w14:paraId="17CE8221" w14:textId="4718AFFC" w:rsidR="003146A3" w:rsidRPr="003146A3" w:rsidRDefault="003146A3" w:rsidP="003146A3">
            <w:pPr>
              <w:spacing w:after="0" w:line="240" w:lineRule="auto"/>
              <w:jc w:val="right"/>
              <w:rPr>
                <w:rFonts w:ascii="Calibri" w:eastAsia="Times New Roman" w:hAnsi="Calibri" w:cs="Calibri"/>
                <w:color w:val="000000"/>
                <w:lang w:eastAsia="lt-LT"/>
              </w:rPr>
            </w:pPr>
            <w:r w:rsidRPr="003146A3">
              <w:rPr>
                <w:rFonts w:ascii="Calibri" w:eastAsia="Times New Roman" w:hAnsi="Calibri" w:cs="Calibri"/>
                <w:color w:val="000000"/>
                <w:lang w:eastAsia="lt-LT"/>
              </w:rPr>
              <w:t>12,5%</w:t>
            </w:r>
          </w:p>
        </w:tc>
      </w:tr>
    </w:tbl>
    <w:p w14:paraId="2ABE3115" w14:textId="77777777" w:rsidR="003146A3" w:rsidRPr="00032A5C" w:rsidRDefault="003146A3" w:rsidP="00645CA2">
      <w:pPr>
        <w:jc w:val="both"/>
        <w:rPr>
          <w:rFonts w:ascii="Times New Roman" w:hAnsi="Times New Roman" w:cs="Times New Roman"/>
          <w:sz w:val="24"/>
          <w:szCs w:val="24"/>
        </w:rPr>
      </w:pPr>
    </w:p>
    <w:p w14:paraId="4293BECE" w14:textId="77777777" w:rsidR="00032A5C" w:rsidRDefault="00032A5C" w:rsidP="00645CA2">
      <w:pPr>
        <w:jc w:val="both"/>
        <w:rPr>
          <w:rFonts w:ascii="Times New Roman" w:hAnsi="Times New Roman" w:cs="Times New Roman"/>
        </w:rPr>
      </w:pPr>
    </w:p>
    <w:p w14:paraId="702435EB" w14:textId="77777777" w:rsidR="00032A5C" w:rsidRPr="00B67B61" w:rsidRDefault="00032A5C" w:rsidP="00032A5C">
      <w:pPr>
        <w:pStyle w:val="NormalWeb"/>
        <w:shd w:val="clear" w:color="auto" w:fill="FFFFFF"/>
        <w:rPr>
          <w:rFonts w:ascii="Times New Roman" w:hAnsi="Times New Roman" w:cs="Times New Roman"/>
          <w:color w:val="000000"/>
          <w:sz w:val="24"/>
          <w:szCs w:val="24"/>
        </w:rPr>
      </w:pPr>
      <w:r w:rsidRPr="00B67B61">
        <w:rPr>
          <w:rStyle w:val="xcontentpasted0"/>
          <w:rFonts w:ascii="Times New Roman" w:hAnsi="Times New Roman" w:cs="Times New Roman"/>
          <w:b/>
          <w:bCs/>
          <w:color w:val="000000"/>
          <w:sz w:val="24"/>
          <w:szCs w:val="24"/>
          <w:bdr w:val="none" w:sz="0" w:space="0" w:color="auto" w:frame="1"/>
        </w:rPr>
        <w:t>Daugiau informacijos: </w:t>
      </w:r>
    </w:p>
    <w:p w14:paraId="3835629F" w14:textId="77777777" w:rsidR="00032A5C" w:rsidRPr="00B67B61" w:rsidRDefault="00032A5C" w:rsidP="00032A5C">
      <w:pPr>
        <w:pStyle w:val="NormalWeb"/>
        <w:shd w:val="clear" w:color="auto" w:fill="FFFFFF"/>
        <w:rPr>
          <w:rFonts w:ascii="Times New Roman" w:hAnsi="Times New Roman" w:cs="Times New Roman"/>
          <w:color w:val="000000"/>
          <w:sz w:val="24"/>
          <w:szCs w:val="24"/>
        </w:rPr>
      </w:pPr>
      <w:r w:rsidRPr="00B67B61">
        <w:rPr>
          <w:rStyle w:val="xcontentpasted0"/>
          <w:rFonts w:ascii="Times New Roman" w:hAnsi="Times New Roman" w:cs="Times New Roman"/>
          <w:color w:val="000000"/>
          <w:sz w:val="24"/>
          <w:szCs w:val="24"/>
          <w:bdr w:val="none" w:sz="0" w:space="0" w:color="auto" w:frame="1"/>
        </w:rPr>
        <w:t>Edgaras Batušan</w:t>
      </w:r>
    </w:p>
    <w:p w14:paraId="7315371D" w14:textId="77777777" w:rsidR="00032A5C" w:rsidRPr="00B67B61" w:rsidRDefault="00032A5C" w:rsidP="00032A5C">
      <w:pPr>
        <w:pStyle w:val="NormalWeb"/>
        <w:shd w:val="clear" w:color="auto" w:fill="FFFFFF"/>
        <w:rPr>
          <w:rFonts w:ascii="Times New Roman" w:hAnsi="Times New Roman" w:cs="Times New Roman"/>
          <w:color w:val="000000"/>
          <w:sz w:val="24"/>
          <w:szCs w:val="24"/>
        </w:rPr>
      </w:pPr>
      <w:r w:rsidRPr="00B67B61">
        <w:rPr>
          <w:rStyle w:val="xcontentpasted0"/>
          <w:rFonts w:ascii="Times New Roman" w:hAnsi="Times New Roman" w:cs="Times New Roman"/>
          <w:color w:val="000000"/>
          <w:sz w:val="24"/>
          <w:szCs w:val="24"/>
          <w:bdr w:val="none" w:sz="0" w:space="0" w:color="auto" w:frame="1"/>
        </w:rPr>
        <w:t>+37060260474</w:t>
      </w:r>
    </w:p>
    <w:p w14:paraId="0FF04D12" w14:textId="77777777" w:rsidR="00032A5C" w:rsidRPr="00B67B61" w:rsidRDefault="00000000" w:rsidP="00032A5C">
      <w:pPr>
        <w:pStyle w:val="NormalWeb"/>
        <w:shd w:val="clear" w:color="auto" w:fill="FFFFFF"/>
        <w:rPr>
          <w:rFonts w:ascii="Times New Roman" w:hAnsi="Times New Roman" w:cs="Times New Roman"/>
          <w:color w:val="000000"/>
          <w:sz w:val="24"/>
          <w:szCs w:val="24"/>
        </w:rPr>
      </w:pPr>
      <w:hyperlink r:id="rId11" w:history="1">
        <w:r w:rsidR="00032A5C" w:rsidRPr="00B67B61">
          <w:rPr>
            <w:rStyle w:val="Hyperlink"/>
            <w:rFonts w:ascii="Times New Roman" w:hAnsi="Times New Roman" w:cs="Times New Roman"/>
            <w:sz w:val="24"/>
            <w:szCs w:val="24"/>
            <w:bdr w:val="none" w:sz="0" w:space="0" w:color="auto" w:frame="1"/>
          </w:rPr>
          <w:t>info@lipfa.lt</w:t>
        </w:r>
      </w:hyperlink>
      <w:r w:rsidR="00032A5C" w:rsidRPr="00B67B61">
        <w:rPr>
          <w:rStyle w:val="xcontentpasted0"/>
          <w:rFonts w:ascii="Times New Roman" w:hAnsi="Times New Roman" w:cs="Times New Roman"/>
          <w:color w:val="000000"/>
          <w:sz w:val="24"/>
          <w:szCs w:val="24"/>
          <w:bdr w:val="none" w:sz="0" w:space="0" w:color="auto" w:frame="1"/>
        </w:rPr>
        <w:t> </w:t>
      </w:r>
    </w:p>
    <w:p w14:paraId="11291556" w14:textId="77777777" w:rsidR="00032A5C" w:rsidRDefault="00032A5C" w:rsidP="00645CA2">
      <w:pPr>
        <w:jc w:val="both"/>
        <w:rPr>
          <w:rFonts w:ascii="Times New Roman" w:hAnsi="Times New Roman" w:cs="Times New Roman"/>
        </w:rPr>
      </w:pPr>
    </w:p>
    <w:p w14:paraId="4F9BB954" w14:textId="1EC10FA6" w:rsidR="00756912" w:rsidRPr="003146A3" w:rsidRDefault="00756912" w:rsidP="00645CA2">
      <w:pPr>
        <w:jc w:val="both"/>
        <w:rPr>
          <w:rFonts w:ascii="Times New Roman" w:hAnsi="Times New Roman" w:cs="Times New Roman"/>
          <w:b/>
        </w:rPr>
      </w:pPr>
    </w:p>
    <w:sectPr w:rsidR="00756912" w:rsidRPr="003146A3">
      <w:headerReference w:type="default" r:id="rId12"/>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1DF8B" w14:textId="77777777" w:rsidR="00224A4A" w:rsidRDefault="00224A4A" w:rsidP="00032A5C">
      <w:pPr>
        <w:spacing w:after="0" w:line="240" w:lineRule="auto"/>
      </w:pPr>
      <w:r>
        <w:separator/>
      </w:r>
    </w:p>
  </w:endnote>
  <w:endnote w:type="continuationSeparator" w:id="0">
    <w:p w14:paraId="05C44DE0" w14:textId="77777777" w:rsidR="00224A4A" w:rsidRDefault="00224A4A" w:rsidP="0003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C7BEA" w14:textId="77777777" w:rsidR="00224A4A" w:rsidRDefault="00224A4A" w:rsidP="00032A5C">
      <w:pPr>
        <w:spacing w:after="0" w:line="240" w:lineRule="auto"/>
      </w:pPr>
      <w:r>
        <w:separator/>
      </w:r>
    </w:p>
  </w:footnote>
  <w:footnote w:type="continuationSeparator" w:id="0">
    <w:p w14:paraId="109F1916" w14:textId="77777777" w:rsidR="00224A4A" w:rsidRDefault="00224A4A" w:rsidP="00032A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5BA73" w14:textId="083DFD63" w:rsidR="00032A5C" w:rsidRDefault="00032A5C" w:rsidP="00032A5C">
    <w:pPr>
      <w:pStyle w:val="Header"/>
      <w:jc w:val="right"/>
    </w:pPr>
    <w:r w:rsidRPr="00163D60">
      <w:rPr>
        <w:noProof/>
      </w:rPr>
      <w:drawing>
        <wp:inline distT="0" distB="0" distL="0" distR="0" wp14:anchorId="4D2E7CDB" wp14:editId="0B78B8C0">
          <wp:extent cx="2396490" cy="385521"/>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stretch>
                    <a:fillRect/>
                  </a:stretch>
                </pic:blipFill>
                <pic:spPr>
                  <a:xfrm>
                    <a:off x="0" y="0"/>
                    <a:ext cx="2397618" cy="38570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CA2"/>
    <w:rsid w:val="000231EB"/>
    <w:rsid w:val="00027AE6"/>
    <w:rsid w:val="00032A5C"/>
    <w:rsid w:val="000C59B2"/>
    <w:rsid w:val="000E245E"/>
    <w:rsid w:val="00125F81"/>
    <w:rsid w:val="00162DBD"/>
    <w:rsid w:val="001E4E61"/>
    <w:rsid w:val="00221EA8"/>
    <w:rsid w:val="00224A4A"/>
    <w:rsid w:val="00256225"/>
    <w:rsid w:val="002A4982"/>
    <w:rsid w:val="002C2947"/>
    <w:rsid w:val="003146A3"/>
    <w:rsid w:val="003E4F36"/>
    <w:rsid w:val="00436290"/>
    <w:rsid w:val="0043771F"/>
    <w:rsid w:val="00445D0B"/>
    <w:rsid w:val="004B2027"/>
    <w:rsid w:val="005064B6"/>
    <w:rsid w:val="005174AA"/>
    <w:rsid w:val="005A6A00"/>
    <w:rsid w:val="00645CA2"/>
    <w:rsid w:val="006D478C"/>
    <w:rsid w:val="006E2A95"/>
    <w:rsid w:val="00756912"/>
    <w:rsid w:val="007C313F"/>
    <w:rsid w:val="00810F62"/>
    <w:rsid w:val="0082195B"/>
    <w:rsid w:val="008447B9"/>
    <w:rsid w:val="00981AE6"/>
    <w:rsid w:val="009946CC"/>
    <w:rsid w:val="009E3A04"/>
    <w:rsid w:val="009F2B27"/>
    <w:rsid w:val="00A13399"/>
    <w:rsid w:val="00AD76BF"/>
    <w:rsid w:val="00B07040"/>
    <w:rsid w:val="00B468BC"/>
    <w:rsid w:val="00BC460F"/>
    <w:rsid w:val="00BE7BA9"/>
    <w:rsid w:val="00C27DD9"/>
    <w:rsid w:val="00CF14B7"/>
    <w:rsid w:val="00CF284B"/>
    <w:rsid w:val="00DE6299"/>
    <w:rsid w:val="00E67851"/>
    <w:rsid w:val="00F017CA"/>
    <w:rsid w:val="00F51CA6"/>
    <w:rsid w:val="00FA1929"/>
    <w:rsid w:val="00FD19B5"/>
    <w:rsid w:val="14C619C0"/>
    <w:rsid w:val="2745F352"/>
    <w:rsid w:val="40B91C5A"/>
    <w:rsid w:val="42212926"/>
    <w:rsid w:val="4FFB4B23"/>
    <w:rsid w:val="6EDA80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7BBFB"/>
  <w15:chartTrackingRefBased/>
  <w15:docId w15:val="{AB69D8C6-236C-4959-8883-4C5A1D50A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CA2"/>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2A5C"/>
    <w:pPr>
      <w:tabs>
        <w:tab w:val="center" w:pos="4819"/>
        <w:tab w:val="right" w:pos="9638"/>
      </w:tabs>
      <w:spacing w:after="0" w:line="240" w:lineRule="auto"/>
    </w:pPr>
  </w:style>
  <w:style w:type="character" w:customStyle="1" w:styleId="HeaderChar">
    <w:name w:val="Header Char"/>
    <w:basedOn w:val="DefaultParagraphFont"/>
    <w:link w:val="Header"/>
    <w:uiPriority w:val="99"/>
    <w:rsid w:val="00032A5C"/>
    <w:rPr>
      <w:kern w:val="0"/>
      <w14:ligatures w14:val="none"/>
    </w:rPr>
  </w:style>
  <w:style w:type="paragraph" w:styleId="Footer">
    <w:name w:val="footer"/>
    <w:basedOn w:val="Normal"/>
    <w:link w:val="FooterChar"/>
    <w:uiPriority w:val="99"/>
    <w:unhideWhenUsed/>
    <w:rsid w:val="00032A5C"/>
    <w:pPr>
      <w:tabs>
        <w:tab w:val="center" w:pos="4819"/>
        <w:tab w:val="right" w:pos="9638"/>
      </w:tabs>
      <w:spacing w:after="0" w:line="240" w:lineRule="auto"/>
    </w:pPr>
  </w:style>
  <w:style w:type="character" w:customStyle="1" w:styleId="FooterChar">
    <w:name w:val="Footer Char"/>
    <w:basedOn w:val="DefaultParagraphFont"/>
    <w:link w:val="Footer"/>
    <w:uiPriority w:val="99"/>
    <w:rsid w:val="00032A5C"/>
    <w:rPr>
      <w:kern w:val="0"/>
      <w14:ligatures w14:val="none"/>
    </w:rPr>
  </w:style>
  <w:style w:type="paragraph" w:styleId="NormalWeb">
    <w:name w:val="Normal (Web)"/>
    <w:basedOn w:val="Normal"/>
    <w:uiPriority w:val="99"/>
    <w:semiHidden/>
    <w:unhideWhenUsed/>
    <w:rsid w:val="00032A5C"/>
    <w:pPr>
      <w:spacing w:after="0" w:line="240" w:lineRule="auto"/>
    </w:pPr>
    <w:rPr>
      <w:rFonts w:ascii="Calibri" w:hAnsi="Calibri" w:cs="Calibri"/>
      <w:lang w:eastAsia="lt-LT"/>
    </w:rPr>
  </w:style>
  <w:style w:type="character" w:styleId="Hyperlink">
    <w:name w:val="Hyperlink"/>
    <w:basedOn w:val="DefaultParagraphFont"/>
    <w:uiPriority w:val="99"/>
    <w:semiHidden/>
    <w:unhideWhenUsed/>
    <w:rsid w:val="00032A5C"/>
    <w:rPr>
      <w:color w:val="0563C1"/>
      <w:u w:val="single"/>
    </w:rPr>
  </w:style>
  <w:style w:type="character" w:customStyle="1" w:styleId="xcontentpasted0">
    <w:name w:val="x_contentpasted0"/>
    <w:basedOn w:val="DefaultParagraphFont"/>
    <w:rsid w:val="00032A5C"/>
  </w:style>
  <w:style w:type="character" w:styleId="CommentReference">
    <w:name w:val="annotation reference"/>
    <w:basedOn w:val="DefaultParagraphFont"/>
    <w:uiPriority w:val="99"/>
    <w:semiHidden/>
    <w:unhideWhenUsed/>
    <w:rsid w:val="000231EB"/>
    <w:rPr>
      <w:sz w:val="16"/>
      <w:szCs w:val="16"/>
    </w:rPr>
  </w:style>
  <w:style w:type="paragraph" w:styleId="CommentText">
    <w:name w:val="annotation text"/>
    <w:basedOn w:val="Normal"/>
    <w:link w:val="CommentTextChar"/>
    <w:uiPriority w:val="99"/>
    <w:unhideWhenUsed/>
    <w:rsid w:val="000231EB"/>
    <w:pPr>
      <w:spacing w:line="240" w:lineRule="auto"/>
    </w:pPr>
    <w:rPr>
      <w:sz w:val="20"/>
      <w:szCs w:val="20"/>
    </w:rPr>
  </w:style>
  <w:style w:type="character" w:customStyle="1" w:styleId="CommentTextChar">
    <w:name w:val="Comment Text Char"/>
    <w:basedOn w:val="DefaultParagraphFont"/>
    <w:link w:val="CommentText"/>
    <w:uiPriority w:val="99"/>
    <w:rsid w:val="000231EB"/>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231EB"/>
    <w:rPr>
      <w:b/>
      <w:bCs/>
    </w:rPr>
  </w:style>
  <w:style w:type="character" w:customStyle="1" w:styleId="CommentSubjectChar">
    <w:name w:val="Comment Subject Char"/>
    <w:basedOn w:val="CommentTextChar"/>
    <w:link w:val="CommentSubject"/>
    <w:uiPriority w:val="99"/>
    <w:semiHidden/>
    <w:rsid w:val="000231EB"/>
    <w:rPr>
      <w:b/>
      <w:bCs/>
      <w:kern w:val="0"/>
      <w:sz w:val="20"/>
      <w:szCs w:val="20"/>
      <w14:ligatures w14:val="none"/>
    </w:rPr>
  </w:style>
  <w:style w:type="paragraph" w:styleId="Revision">
    <w:name w:val="Revision"/>
    <w:hidden/>
    <w:uiPriority w:val="99"/>
    <w:semiHidden/>
    <w:rsid w:val="000231EB"/>
    <w:pPr>
      <w:spacing w:after="0" w:line="240" w:lineRule="auto"/>
    </w:pPr>
    <w:rPr>
      <w:kern w:val="0"/>
      <w14:ligatures w14:val="none"/>
    </w:rPr>
  </w:style>
  <w:style w:type="table" w:styleId="TableGrid">
    <w:name w:val="Table Grid"/>
    <w:basedOn w:val="TableNormal"/>
    <w:uiPriority w:val="39"/>
    <w:rsid w:val="000E2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88728">
      <w:bodyDiv w:val="1"/>
      <w:marLeft w:val="0"/>
      <w:marRight w:val="0"/>
      <w:marTop w:val="0"/>
      <w:marBottom w:val="0"/>
      <w:divBdr>
        <w:top w:val="none" w:sz="0" w:space="0" w:color="auto"/>
        <w:left w:val="none" w:sz="0" w:space="0" w:color="auto"/>
        <w:bottom w:val="none" w:sz="0" w:space="0" w:color="auto"/>
        <w:right w:val="none" w:sz="0" w:space="0" w:color="auto"/>
      </w:divBdr>
    </w:div>
    <w:div w:id="75898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lipfa.lt"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1DFBB8CF-74CC-4CAE-9911-1CF011377B22}">
  <ds:schemaRefs>
    <ds:schemaRef ds:uri="http://schemas.microsoft.com/sharepoint/v3/contenttype/forms"/>
  </ds:schemaRefs>
</ds:datastoreItem>
</file>

<file path=customXml/itemProps2.xml><?xml version="1.0" encoding="utf-8"?>
<ds:datastoreItem xmlns:ds="http://schemas.openxmlformats.org/officeDocument/2006/customXml" ds:itemID="{36B29089-49A2-4941-83A7-8AF39C50CF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08B82-4FB0-4135-A252-E8E12E8B4AA4}">
  <ds:schemaRefs>
    <ds:schemaRef ds:uri="http://schemas.openxmlformats.org/officeDocument/2006/bibliography"/>
  </ds:schemaRefs>
</ds:datastoreItem>
</file>

<file path=customXml/itemProps4.xml><?xml version="1.0" encoding="utf-8"?>
<ds:datastoreItem xmlns:ds="http://schemas.openxmlformats.org/officeDocument/2006/customXml" ds:itemID="{2FD92BA7-B06E-4A83-92C8-3CF0FABDE70A}">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3834</Words>
  <Characters>2186</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Gudaitis</dc:creator>
  <cp:keywords/>
  <dc:description/>
  <cp:lastModifiedBy>Edgaras Batušan</cp:lastModifiedBy>
  <cp:revision>5</cp:revision>
  <cp:lastPrinted>2024-01-05T06:50:00Z</cp:lastPrinted>
  <dcterms:created xsi:type="dcterms:W3CDTF">2024-01-05T06:58:00Z</dcterms:created>
  <dcterms:modified xsi:type="dcterms:W3CDTF">2024-01-05T07:16:00Z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