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2F547" w14:textId="134AC3CB" w:rsidR="00D23F3F" w:rsidRPr="00942600" w:rsidRDefault="00D23F3F" w:rsidP="00D23F3F">
      <w:pPr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fldChar w:fldCharType="begin"/>
      </w:r>
      <w:r w:rsidR="0099127E" w:rsidRPr="00942600">
        <w:rPr>
          <w:rFonts w:ascii="Calibri" w:hAnsi="Calibri"/>
          <w:color w:val="000000"/>
          <w:sz w:val="22"/>
          <w:szCs w:val="22"/>
          <w:lang w:val="lt-LT" w:eastAsia="en-GB"/>
        </w:rPr>
        <w:instrText xml:space="preserve"> INCLUDEPICTURE "C:\\var\\folders\\q5\\f6v03tf9341_fz2635mdq3_h0000gq\\T\\com.microsoft.Word\\WebArchiveCopyPasteTempFiles\\cidimage001.png@01D6F4C4.992F9C90" \* MERGEFORMAT </w:instrText>
      </w: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fldChar w:fldCharType="separate"/>
      </w:r>
      <w:r w:rsidRPr="00942600">
        <w:rPr>
          <w:rFonts w:ascii="Calibri" w:hAnsi="Calibri"/>
          <w:noProof/>
          <w:color w:val="000000"/>
          <w:sz w:val="22"/>
          <w:szCs w:val="22"/>
          <w:lang w:val="en-GB" w:eastAsia="en-GB"/>
        </w:rPr>
        <w:drawing>
          <wp:inline distT="0" distB="0" distL="0" distR="0" wp14:anchorId="588B87A4" wp14:editId="7BDF7FFB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fldChar w:fldCharType="end"/>
      </w: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       </w:t>
      </w:r>
      <w:r w:rsidRPr="00942600"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  <w:t>Kontaktai:</w:t>
      </w:r>
    </w:p>
    <w:p w14:paraId="46A6EE92" w14:textId="77777777" w:rsidR="004C668E" w:rsidRPr="00FF3BCF" w:rsidRDefault="004C668E" w:rsidP="004C668E">
      <w:pPr>
        <w:jc w:val="right"/>
        <w:rPr>
          <w:rFonts w:ascii="Arial" w:hAnsi="Arial" w:cs="Arial"/>
          <w:color w:val="000000"/>
          <w:sz w:val="16"/>
          <w:szCs w:val="16"/>
          <w:lang w:val="lt-LT" w:eastAsia="en-GB"/>
        </w:rPr>
      </w:pPr>
      <w:r w:rsidRPr="00FF3BCF">
        <w:rPr>
          <w:rFonts w:ascii="Arial" w:hAnsi="Arial" w:cs="Arial"/>
          <w:color w:val="000000"/>
          <w:sz w:val="16"/>
          <w:szCs w:val="16"/>
          <w:lang w:val="lt-LT" w:eastAsia="en-GB"/>
        </w:rPr>
        <w:t xml:space="preserve">Eglė </w:t>
      </w:r>
      <w:proofErr w:type="spellStart"/>
      <w:r w:rsidRPr="00FF3BCF">
        <w:rPr>
          <w:rFonts w:ascii="Arial" w:hAnsi="Arial" w:cs="Arial"/>
          <w:color w:val="000000"/>
          <w:sz w:val="16"/>
          <w:szCs w:val="16"/>
          <w:lang w:val="lt-LT" w:eastAsia="en-GB"/>
        </w:rPr>
        <w:t>Tamelytė</w:t>
      </w:r>
      <w:proofErr w:type="spellEnd"/>
    </w:p>
    <w:p w14:paraId="0D1B42A4" w14:textId="77777777" w:rsidR="004C668E" w:rsidRPr="00FF3BCF" w:rsidRDefault="004C668E" w:rsidP="004C668E">
      <w:pPr>
        <w:jc w:val="right"/>
        <w:rPr>
          <w:rFonts w:ascii="Arial" w:hAnsi="Arial" w:cs="Arial"/>
          <w:color w:val="000000"/>
          <w:sz w:val="16"/>
          <w:szCs w:val="16"/>
          <w:lang w:val="lt-LT" w:eastAsia="en-GB"/>
        </w:rPr>
      </w:pPr>
      <w:r w:rsidRPr="00FF3BCF">
        <w:rPr>
          <w:rFonts w:ascii="Arial" w:hAnsi="Arial" w:cs="Arial"/>
          <w:color w:val="000000"/>
          <w:sz w:val="16"/>
          <w:szCs w:val="16"/>
          <w:lang w:val="lt-LT" w:eastAsia="en-GB"/>
        </w:rPr>
        <w:t xml:space="preserve">„Samsung Electronics </w:t>
      </w:r>
      <w:proofErr w:type="spellStart"/>
      <w:r w:rsidRPr="00FF3BCF">
        <w:rPr>
          <w:rFonts w:ascii="Arial" w:hAnsi="Arial" w:cs="Arial"/>
          <w:color w:val="000000"/>
          <w:sz w:val="16"/>
          <w:szCs w:val="16"/>
          <w:lang w:val="lt-LT" w:eastAsia="en-GB"/>
        </w:rPr>
        <w:t>Baltics</w:t>
      </w:r>
      <w:proofErr w:type="spellEnd"/>
      <w:r w:rsidRPr="00FF3BCF">
        <w:rPr>
          <w:rFonts w:ascii="Arial" w:hAnsi="Arial" w:cs="Arial"/>
          <w:color w:val="000000"/>
          <w:sz w:val="16"/>
          <w:szCs w:val="16"/>
          <w:lang w:val="lt-LT" w:eastAsia="en-GB"/>
        </w:rPr>
        <w:t>”</w:t>
      </w:r>
    </w:p>
    <w:p w14:paraId="69D83AC2" w14:textId="77777777" w:rsidR="004C668E" w:rsidRPr="00FF3BCF" w:rsidRDefault="004C668E" w:rsidP="004C668E">
      <w:pPr>
        <w:jc w:val="right"/>
        <w:rPr>
          <w:rFonts w:ascii="Arial" w:hAnsi="Arial" w:cs="Arial"/>
          <w:color w:val="000000"/>
          <w:sz w:val="16"/>
          <w:szCs w:val="16"/>
          <w:lang w:val="lt-LT" w:eastAsia="en-GB"/>
        </w:rPr>
      </w:pPr>
      <w:r w:rsidRPr="00FF3BCF">
        <w:rPr>
          <w:rFonts w:ascii="Arial" w:hAnsi="Arial" w:cs="Arial"/>
          <w:color w:val="000000"/>
          <w:sz w:val="16"/>
          <w:szCs w:val="16"/>
          <w:lang w:val="lt-LT" w:eastAsia="en-GB"/>
        </w:rPr>
        <w:t>Tel: +370 694 14 57</w:t>
      </w:r>
    </w:p>
    <w:p w14:paraId="5A0BDBAD" w14:textId="76E4965C" w:rsidR="00D23F3F" w:rsidRPr="00942600" w:rsidRDefault="00000000" w:rsidP="004C668E">
      <w:pPr>
        <w:ind w:left="7200"/>
        <w:jc w:val="right"/>
        <w:rPr>
          <w:rFonts w:ascii="Calibri" w:hAnsi="Calibri"/>
          <w:color w:val="000000"/>
          <w:sz w:val="22"/>
          <w:szCs w:val="22"/>
          <w:lang w:val="lt-LT" w:eastAsia="en-GB"/>
        </w:rPr>
      </w:pPr>
      <w:hyperlink r:id="rId9" w:history="1">
        <w:r w:rsidR="004C668E" w:rsidRPr="00826734">
          <w:rPr>
            <w:rStyle w:val="Hyperlink"/>
            <w:rFonts w:ascii="Arial" w:hAnsi="Arial" w:cs="Arial"/>
            <w:sz w:val="16"/>
            <w:szCs w:val="16"/>
            <w:lang w:val="lt-LT" w:eastAsia="en-GB"/>
          </w:rPr>
          <w:t>e.tamelyte@samsung.com</w:t>
        </w:r>
      </w:hyperlink>
    </w:p>
    <w:p w14:paraId="593894D7" w14:textId="215BB4E5" w:rsidR="008451E5" w:rsidRPr="008F69EB" w:rsidRDefault="008451E5" w:rsidP="006A3C69">
      <w:pPr>
        <w:jc w:val="both"/>
        <w:rPr>
          <w:rFonts w:ascii="Calibri" w:hAnsi="Calibri"/>
          <w:b/>
          <w:bCs/>
          <w:color w:val="000000"/>
          <w:sz w:val="22"/>
          <w:szCs w:val="22"/>
          <w:lang w:val="lt-LT" w:eastAsia="en-GB"/>
        </w:rPr>
      </w:pPr>
    </w:p>
    <w:p w14:paraId="0EE9FA2F" w14:textId="3E19BFAC" w:rsidR="00B1708C" w:rsidRPr="00B1708C" w:rsidRDefault="00B1708C" w:rsidP="008451E5">
      <w:pPr>
        <w:spacing w:after="200"/>
        <w:jc w:val="both"/>
        <w:rPr>
          <w:i/>
          <w:iCs/>
          <w:color w:val="000000"/>
          <w:sz w:val="22"/>
          <w:szCs w:val="22"/>
          <w:lang w:val="lt-LT" w:eastAsia="en-GB"/>
        </w:rPr>
      </w:pPr>
      <w:r w:rsidRPr="00B1708C">
        <w:rPr>
          <w:i/>
          <w:iCs/>
          <w:color w:val="000000"/>
          <w:sz w:val="22"/>
          <w:szCs w:val="22"/>
          <w:lang w:val="lt-LT" w:eastAsia="en-GB"/>
        </w:rPr>
        <w:t>Pranešimas žiniasklaidai</w:t>
      </w:r>
    </w:p>
    <w:p w14:paraId="7899FEA4" w14:textId="2A259017" w:rsidR="00B1708C" w:rsidRPr="00B1708C" w:rsidRDefault="00B1708C" w:rsidP="008451E5">
      <w:pPr>
        <w:spacing w:after="200"/>
        <w:jc w:val="both"/>
        <w:rPr>
          <w:color w:val="000000"/>
          <w:sz w:val="22"/>
          <w:szCs w:val="22"/>
          <w:lang w:eastAsia="en-GB"/>
        </w:rPr>
      </w:pPr>
      <w:r w:rsidRPr="00B1708C">
        <w:rPr>
          <w:color w:val="000000"/>
          <w:sz w:val="22"/>
          <w:szCs w:val="22"/>
          <w:lang w:val="lt-LT" w:eastAsia="en-GB"/>
        </w:rPr>
        <w:t>2</w:t>
      </w:r>
      <w:r w:rsidRPr="00B1708C">
        <w:rPr>
          <w:color w:val="000000"/>
          <w:sz w:val="22"/>
          <w:szCs w:val="22"/>
          <w:lang w:eastAsia="en-GB"/>
        </w:rPr>
        <w:t>024.03.12</w:t>
      </w:r>
    </w:p>
    <w:p w14:paraId="3089A030" w14:textId="7CFCF257" w:rsidR="00D56319" w:rsidRPr="00B1708C" w:rsidRDefault="00D06D0E" w:rsidP="008451E5">
      <w:pPr>
        <w:spacing w:after="200"/>
        <w:jc w:val="both"/>
        <w:rPr>
          <w:b/>
          <w:bCs/>
          <w:color w:val="000000"/>
          <w:sz w:val="22"/>
          <w:szCs w:val="22"/>
          <w:lang w:val="lt-LT" w:eastAsia="en-GB"/>
        </w:rPr>
      </w:pPr>
      <w:r w:rsidRPr="00B1708C">
        <w:rPr>
          <w:b/>
          <w:bCs/>
          <w:color w:val="000000"/>
          <w:sz w:val="22"/>
          <w:szCs w:val="22"/>
          <w:lang w:val="lt-LT" w:eastAsia="en-GB"/>
        </w:rPr>
        <w:t xml:space="preserve">„Samsung“ pristatė </w:t>
      </w:r>
      <w:r w:rsidR="00FA5C18" w:rsidRPr="00B1708C">
        <w:rPr>
          <w:b/>
          <w:bCs/>
          <w:color w:val="000000"/>
          <w:sz w:val="22"/>
          <w:szCs w:val="22"/>
          <w:lang w:val="lt-LT" w:eastAsia="en-GB"/>
        </w:rPr>
        <w:t>naujus populiariosios</w:t>
      </w:r>
      <w:r w:rsidRPr="00B1708C">
        <w:rPr>
          <w:b/>
          <w:bCs/>
          <w:color w:val="000000"/>
          <w:sz w:val="22"/>
          <w:szCs w:val="22"/>
          <w:lang w:val="lt-LT" w:eastAsia="en-GB"/>
        </w:rPr>
        <w:t xml:space="preserve"> „</w:t>
      </w:r>
      <w:proofErr w:type="spellStart"/>
      <w:r w:rsidRPr="00B1708C">
        <w:rPr>
          <w:b/>
          <w:bCs/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b/>
          <w:bCs/>
          <w:color w:val="000000"/>
          <w:sz w:val="22"/>
          <w:szCs w:val="22"/>
          <w:lang w:val="lt-LT" w:eastAsia="en-GB"/>
        </w:rPr>
        <w:t xml:space="preserve"> A“</w:t>
      </w:r>
      <w:r w:rsidR="00FA5C18" w:rsidRPr="00B1708C">
        <w:rPr>
          <w:b/>
          <w:bCs/>
          <w:color w:val="000000"/>
          <w:sz w:val="22"/>
          <w:szCs w:val="22"/>
          <w:lang w:val="lt-LT" w:eastAsia="en-GB"/>
        </w:rPr>
        <w:t xml:space="preserve"> serijos telefonus</w:t>
      </w:r>
      <w:r w:rsidRPr="00B1708C">
        <w:rPr>
          <w:b/>
          <w:bCs/>
          <w:color w:val="000000"/>
          <w:sz w:val="22"/>
          <w:szCs w:val="22"/>
          <w:lang w:val="lt-LT" w:eastAsia="en-GB"/>
        </w:rPr>
        <w:t>: ryškesnė naktinė fotografija ir flagmanų lygio duomenų sauga</w:t>
      </w:r>
    </w:p>
    <w:p w14:paraId="3066DAF8" w14:textId="522EFCDB" w:rsidR="0002511D" w:rsidRPr="00B1708C" w:rsidRDefault="0002511D" w:rsidP="008451E5">
      <w:pPr>
        <w:spacing w:after="200"/>
        <w:jc w:val="both"/>
        <w:rPr>
          <w:color w:val="000000"/>
          <w:sz w:val="22"/>
          <w:szCs w:val="22"/>
          <w:lang w:val="lt-LT" w:eastAsia="en-GB"/>
        </w:rPr>
      </w:pPr>
      <w:r w:rsidRPr="00B1708C">
        <w:rPr>
          <w:color w:val="000000"/>
          <w:sz w:val="22"/>
          <w:szCs w:val="22"/>
          <w:lang w:val="lt-LT" w:eastAsia="en-GB"/>
        </w:rPr>
        <w:t>Technologijų bendrovė „Samsung Electronics“ pristatė naujus išmaniuosius telefonus –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A55 5G“ ir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A35 5G“. Naujieji </w:t>
      </w:r>
      <w:r w:rsidR="006A3C69" w:rsidRPr="00B1708C">
        <w:rPr>
          <w:color w:val="000000"/>
          <w:sz w:val="22"/>
          <w:szCs w:val="22"/>
          <w:lang w:val="lt-LT" w:eastAsia="en-GB"/>
        </w:rPr>
        <w:t>prieinamos kainos</w:t>
      </w:r>
      <w:r w:rsidRPr="00B1708C">
        <w:rPr>
          <w:color w:val="000000"/>
          <w:sz w:val="22"/>
          <w:szCs w:val="22"/>
          <w:lang w:val="lt-LT" w:eastAsia="en-GB"/>
        </w:rPr>
        <w:t xml:space="preserve"> modeliai išsiskiria dar </w:t>
      </w:r>
      <w:r w:rsidR="00FA5C18" w:rsidRPr="00B1708C">
        <w:rPr>
          <w:color w:val="000000"/>
          <w:sz w:val="22"/>
          <w:szCs w:val="22"/>
          <w:lang w:val="lt-LT" w:eastAsia="en-GB"/>
        </w:rPr>
        <w:t>daugiau</w:t>
      </w:r>
      <w:r w:rsidRPr="00B1708C">
        <w:rPr>
          <w:color w:val="000000"/>
          <w:sz w:val="22"/>
          <w:szCs w:val="22"/>
          <w:lang w:val="lt-LT" w:eastAsia="en-GB"/>
        </w:rPr>
        <w:t xml:space="preserve">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>“ flagmanams būdingų funkcijų, įskaitant dirbtiniu intelektu (DI) paremtą naktinę fotografiją,</w:t>
      </w:r>
      <w:r w:rsidR="00E8262C" w:rsidRPr="00B1708C">
        <w:rPr>
          <w:color w:val="000000"/>
          <w:sz w:val="22"/>
          <w:szCs w:val="22"/>
          <w:lang w:val="lt-LT" w:eastAsia="en-GB"/>
        </w:rPr>
        <w:t xml:space="preserve"> itin ryškius ekranus</w:t>
      </w:r>
      <w:r w:rsidR="00FA5C18" w:rsidRPr="00B1708C">
        <w:rPr>
          <w:color w:val="000000"/>
          <w:sz w:val="22"/>
          <w:szCs w:val="22"/>
          <w:lang w:val="lt-LT" w:eastAsia="en-GB"/>
        </w:rPr>
        <w:t xml:space="preserve"> net ir šviečiant saulei</w:t>
      </w:r>
      <w:r w:rsidR="00E8262C" w:rsidRPr="00B1708C">
        <w:rPr>
          <w:color w:val="000000"/>
          <w:sz w:val="22"/>
          <w:szCs w:val="22"/>
          <w:lang w:val="lt-LT" w:eastAsia="en-GB"/>
        </w:rPr>
        <w:t xml:space="preserve"> </w:t>
      </w:r>
      <w:r w:rsidR="00FA5C18" w:rsidRPr="00B1708C">
        <w:rPr>
          <w:color w:val="000000"/>
          <w:sz w:val="22"/>
          <w:szCs w:val="22"/>
          <w:lang w:val="lt-LT" w:eastAsia="en-GB"/>
        </w:rPr>
        <w:t>bei</w:t>
      </w:r>
      <w:r w:rsidR="00E8262C" w:rsidRPr="00B1708C">
        <w:rPr>
          <w:color w:val="000000"/>
          <w:sz w:val="22"/>
          <w:szCs w:val="22"/>
          <w:lang w:val="lt-LT" w:eastAsia="en-GB"/>
        </w:rPr>
        <w:t xml:space="preserve"> </w:t>
      </w:r>
      <w:r w:rsidR="00FA5C18" w:rsidRPr="00B1708C">
        <w:rPr>
          <w:color w:val="000000"/>
          <w:sz w:val="22"/>
          <w:szCs w:val="22"/>
          <w:lang w:val="lt-LT" w:eastAsia="en-GB"/>
        </w:rPr>
        <w:t xml:space="preserve">patikimą duomenų apsaugą </w:t>
      </w:r>
      <w:r w:rsidRPr="00B1708C">
        <w:rPr>
          <w:color w:val="000000"/>
          <w:sz w:val="22"/>
          <w:szCs w:val="22"/>
          <w:lang w:val="lt-LT" w:eastAsia="en-GB"/>
        </w:rPr>
        <w:t>nuo įsilaužėlių. Lietuvoje šių išmaniųjų prekyba prasidė</w:t>
      </w:r>
      <w:r w:rsidR="008B4C2B" w:rsidRPr="00B1708C">
        <w:rPr>
          <w:color w:val="000000"/>
          <w:sz w:val="22"/>
          <w:szCs w:val="22"/>
          <w:lang w:val="lt-LT" w:eastAsia="en-GB"/>
        </w:rPr>
        <w:t>jo</w:t>
      </w:r>
      <w:r w:rsidRPr="00B1708C">
        <w:rPr>
          <w:color w:val="000000"/>
          <w:sz w:val="22"/>
          <w:szCs w:val="22"/>
          <w:lang w:val="lt-LT" w:eastAsia="en-GB"/>
        </w:rPr>
        <w:t xml:space="preserve"> jau </w:t>
      </w:r>
      <w:r w:rsidR="008B4C2B" w:rsidRPr="00B1708C">
        <w:rPr>
          <w:color w:val="000000"/>
          <w:sz w:val="22"/>
          <w:szCs w:val="22"/>
          <w:lang w:val="lt-LT" w:eastAsia="en-GB"/>
        </w:rPr>
        <w:t>kovo 11 d</w:t>
      </w:r>
      <w:r w:rsidRPr="00B1708C">
        <w:rPr>
          <w:color w:val="000000"/>
          <w:sz w:val="22"/>
          <w:szCs w:val="22"/>
          <w:lang w:val="lt-LT" w:eastAsia="en-GB"/>
        </w:rPr>
        <w:t>.</w:t>
      </w:r>
    </w:p>
    <w:p w14:paraId="7A989080" w14:textId="2AFD7937" w:rsidR="0002511D" w:rsidRPr="00B1708C" w:rsidRDefault="0002511D" w:rsidP="008451E5">
      <w:pPr>
        <w:spacing w:after="200"/>
        <w:jc w:val="both"/>
        <w:rPr>
          <w:color w:val="000000"/>
          <w:sz w:val="22"/>
          <w:szCs w:val="22"/>
          <w:lang w:val="lt-LT" w:eastAsia="en-GB"/>
        </w:rPr>
      </w:pPr>
      <w:r w:rsidRPr="00B1708C">
        <w:rPr>
          <w:color w:val="000000"/>
          <w:sz w:val="22"/>
          <w:szCs w:val="22"/>
          <w:lang w:val="lt-LT" w:eastAsia="en-GB"/>
        </w:rPr>
        <w:t>„Lietuvoje bei daugybėje kitų rinkų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A“ serijos išmanieji metai iš metų </w:t>
      </w:r>
      <w:r w:rsidR="006A3C69" w:rsidRPr="00B1708C">
        <w:rPr>
          <w:color w:val="000000"/>
          <w:sz w:val="22"/>
          <w:szCs w:val="22"/>
          <w:lang w:val="lt-LT" w:eastAsia="en-GB"/>
        </w:rPr>
        <w:t>rikiuojasi</w:t>
      </w:r>
      <w:r w:rsidRPr="00B1708C">
        <w:rPr>
          <w:color w:val="000000"/>
          <w:sz w:val="22"/>
          <w:szCs w:val="22"/>
          <w:lang w:val="lt-LT" w:eastAsia="en-GB"/>
        </w:rPr>
        <w:t xml:space="preserve"> perkamiausiųjų </w:t>
      </w:r>
      <w:r w:rsidR="006A3C69" w:rsidRPr="00B1708C">
        <w:rPr>
          <w:color w:val="000000"/>
          <w:sz w:val="22"/>
          <w:szCs w:val="22"/>
          <w:lang w:val="lt-LT" w:eastAsia="en-GB"/>
        </w:rPr>
        <w:t>įrenginių viršūnėje</w:t>
      </w:r>
      <w:r w:rsidRPr="00B1708C">
        <w:rPr>
          <w:color w:val="000000"/>
          <w:sz w:val="22"/>
          <w:szCs w:val="22"/>
          <w:lang w:val="lt-LT" w:eastAsia="en-GB"/>
        </w:rPr>
        <w:t>. Šiemet, pirmąkart</w:t>
      </w:r>
      <w:r w:rsidR="00FA5C18" w:rsidRPr="00B1708C">
        <w:rPr>
          <w:color w:val="000000"/>
          <w:sz w:val="22"/>
          <w:szCs w:val="22"/>
          <w:lang w:val="lt-LT" w:eastAsia="en-GB"/>
        </w:rPr>
        <w:t xml:space="preserve"> šios</w:t>
      </w:r>
      <w:r w:rsidRPr="00B1708C">
        <w:rPr>
          <w:color w:val="000000"/>
          <w:sz w:val="22"/>
          <w:szCs w:val="22"/>
          <w:lang w:val="lt-LT" w:eastAsia="en-GB"/>
        </w:rPr>
        <w:t xml:space="preserve"> linijos istorijoje, be svarbių techninių patobulinimų naujieji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A55 5G“ ir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A35 5G“ pasipildė šifruota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Knox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Vault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>“ aplinka, kuri</w:t>
      </w:r>
      <w:r w:rsidR="00E8262C" w:rsidRPr="00B1708C">
        <w:rPr>
          <w:color w:val="000000"/>
          <w:sz w:val="22"/>
          <w:szCs w:val="22"/>
          <w:lang w:val="lt-LT" w:eastAsia="en-GB"/>
        </w:rPr>
        <w:t xml:space="preserve"> leis dar efektyviau</w:t>
      </w:r>
      <w:r w:rsidRPr="00B1708C">
        <w:rPr>
          <w:color w:val="000000"/>
          <w:sz w:val="22"/>
          <w:szCs w:val="22"/>
          <w:lang w:val="lt-LT" w:eastAsia="en-GB"/>
        </w:rPr>
        <w:t xml:space="preserve"> užkirs</w:t>
      </w:r>
      <w:r w:rsidR="00E8262C" w:rsidRPr="00B1708C">
        <w:rPr>
          <w:color w:val="000000"/>
          <w:sz w:val="22"/>
          <w:szCs w:val="22"/>
          <w:lang w:val="lt-LT" w:eastAsia="en-GB"/>
        </w:rPr>
        <w:t>ti</w:t>
      </w:r>
      <w:r w:rsidRPr="00B1708C">
        <w:rPr>
          <w:color w:val="000000"/>
          <w:sz w:val="22"/>
          <w:szCs w:val="22"/>
          <w:lang w:val="lt-LT" w:eastAsia="en-GB"/>
        </w:rPr>
        <w:t xml:space="preserve"> kelią vartotojo slaptažodžių pasisavinimu</w:t>
      </w:r>
      <w:r w:rsidR="00FA5C18" w:rsidRPr="00B1708C">
        <w:rPr>
          <w:color w:val="000000"/>
          <w:sz w:val="22"/>
          <w:szCs w:val="22"/>
          <w:lang w:val="lt-LT" w:eastAsia="en-GB"/>
        </w:rPr>
        <w:t>i, taip</w:t>
      </w:r>
      <w:r w:rsidRPr="00B1708C">
        <w:rPr>
          <w:color w:val="000000"/>
          <w:sz w:val="22"/>
          <w:szCs w:val="22"/>
          <w:lang w:val="lt-LT" w:eastAsia="en-GB"/>
        </w:rPr>
        <w:t xml:space="preserve"> kasdienį išmaniojo naudojimą paver</w:t>
      </w:r>
      <w:r w:rsidR="00FA5C18" w:rsidRPr="00B1708C">
        <w:rPr>
          <w:color w:val="000000"/>
          <w:sz w:val="22"/>
          <w:szCs w:val="22"/>
          <w:lang w:val="lt-LT" w:eastAsia="en-GB"/>
        </w:rPr>
        <w:t>čiant</w:t>
      </w:r>
      <w:r w:rsidRPr="00B1708C">
        <w:rPr>
          <w:color w:val="000000"/>
          <w:sz w:val="22"/>
          <w:szCs w:val="22"/>
          <w:lang w:val="lt-LT" w:eastAsia="en-GB"/>
        </w:rPr>
        <w:t xml:space="preserve"> dar saugesniu“, – sako Simonas 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Skupas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, „Samsung Electronics 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Baltics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>“ vadovas Lietuvoje.</w:t>
      </w:r>
    </w:p>
    <w:p w14:paraId="0D2DBA86" w14:textId="591FEC13" w:rsidR="0002511D" w:rsidRPr="00B1708C" w:rsidRDefault="0002511D" w:rsidP="008451E5">
      <w:pPr>
        <w:spacing w:after="200"/>
        <w:jc w:val="both"/>
        <w:rPr>
          <w:b/>
          <w:bCs/>
          <w:color w:val="000000"/>
          <w:sz w:val="22"/>
          <w:szCs w:val="22"/>
          <w:lang w:val="lt-LT" w:eastAsia="en-GB"/>
        </w:rPr>
      </w:pPr>
      <w:r w:rsidRPr="00B1708C">
        <w:rPr>
          <w:b/>
          <w:bCs/>
          <w:color w:val="000000"/>
          <w:sz w:val="22"/>
          <w:szCs w:val="22"/>
          <w:lang w:val="lt-LT" w:eastAsia="en-GB"/>
        </w:rPr>
        <w:t>Aukštesnė fotografijos ir pramogų kokybė</w:t>
      </w:r>
    </w:p>
    <w:p w14:paraId="38067E1F" w14:textId="38B07E7A" w:rsidR="0002511D" w:rsidRPr="00B1708C" w:rsidRDefault="0002511D" w:rsidP="008451E5">
      <w:pPr>
        <w:spacing w:after="200"/>
        <w:jc w:val="both"/>
        <w:rPr>
          <w:color w:val="000000"/>
          <w:sz w:val="22"/>
          <w:szCs w:val="22"/>
          <w:lang w:val="lt-LT" w:eastAsia="en-GB"/>
        </w:rPr>
      </w:pPr>
      <w:r w:rsidRPr="00B1708C">
        <w:rPr>
          <w:color w:val="000000"/>
          <w:sz w:val="22"/>
          <w:szCs w:val="22"/>
          <w:lang w:val="lt-LT" w:eastAsia="en-GB"/>
        </w:rPr>
        <w:t>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A55 5G“ kamera buvo patobulinta taip, kad fiksuotų dar ryškesnes ir detalesnes nuotraukas tamsoje. Pažangūs DI algoritmai naktinių kadrų kokybę </w:t>
      </w:r>
      <w:r w:rsidR="005B3545" w:rsidRPr="00B1708C">
        <w:rPr>
          <w:color w:val="000000"/>
          <w:sz w:val="22"/>
          <w:szCs w:val="22"/>
          <w:lang w:val="lt-LT" w:eastAsia="en-GB"/>
        </w:rPr>
        <w:t xml:space="preserve">pagerina </w:t>
      </w:r>
      <w:r w:rsidR="00B34E75" w:rsidRPr="00B1708C">
        <w:rPr>
          <w:color w:val="000000"/>
          <w:sz w:val="22"/>
          <w:szCs w:val="22"/>
          <w:lang w:val="lt-LT" w:eastAsia="en-GB"/>
        </w:rPr>
        <w:t>dar labiau</w:t>
      </w:r>
      <w:r w:rsidRPr="00B1708C">
        <w:rPr>
          <w:color w:val="000000"/>
          <w:sz w:val="22"/>
          <w:szCs w:val="22"/>
          <w:lang w:val="lt-LT" w:eastAsia="en-GB"/>
        </w:rPr>
        <w:t xml:space="preserve"> ir</w:t>
      </w:r>
      <w:r w:rsidR="00B34E75" w:rsidRPr="00B1708C">
        <w:rPr>
          <w:color w:val="000000"/>
          <w:sz w:val="22"/>
          <w:szCs w:val="22"/>
          <w:lang w:val="lt-LT" w:eastAsia="en-GB"/>
        </w:rPr>
        <w:t>, esant prastam apšvietimui, leidžia neapsiriboti</w:t>
      </w:r>
      <w:r w:rsidRPr="00B1708C">
        <w:rPr>
          <w:color w:val="000000"/>
          <w:sz w:val="22"/>
          <w:szCs w:val="22"/>
          <w:lang w:val="lt-LT" w:eastAsia="en-GB"/>
        </w:rPr>
        <w:t xml:space="preserve"> </w:t>
      </w:r>
      <w:r w:rsidR="00746915" w:rsidRPr="00B1708C">
        <w:rPr>
          <w:color w:val="000000"/>
          <w:sz w:val="22"/>
          <w:szCs w:val="22"/>
          <w:lang w:val="lt-LT" w:eastAsia="en-GB"/>
        </w:rPr>
        <w:t xml:space="preserve">vien </w:t>
      </w:r>
      <w:r w:rsidRPr="00B1708C">
        <w:rPr>
          <w:color w:val="000000"/>
          <w:sz w:val="22"/>
          <w:szCs w:val="22"/>
          <w:lang w:val="lt-LT" w:eastAsia="en-GB"/>
        </w:rPr>
        <w:t>kraštovaizdži</w:t>
      </w:r>
      <w:r w:rsidR="00B34E75" w:rsidRPr="00B1708C">
        <w:rPr>
          <w:color w:val="000000"/>
          <w:sz w:val="22"/>
          <w:szCs w:val="22"/>
          <w:lang w:val="lt-LT" w:eastAsia="en-GB"/>
        </w:rPr>
        <w:t>ų fiksavimu</w:t>
      </w:r>
      <w:r w:rsidRPr="00B1708C">
        <w:rPr>
          <w:color w:val="000000"/>
          <w:sz w:val="22"/>
          <w:szCs w:val="22"/>
          <w:lang w:val="lt-LT" w:eastAsia="en-GB"/>
        </w:rPr>
        <w:t xml:space="preserve">. Naktinių portretų režimas, papildytas daugiau skirtingų atspalvių palaikančia 12 bitų HDR gama, padeda </w:t>
      </w:r>
      <w:r w:rsidR="00E8262C" w:rsidRPr="00B1708C">
        <w:rPr>
          <w:color w:val="000000"/>
          <w:sz w:val="22"/>
          <w:szCs w:val="22"/>
          <w:lang w:val="lt-LT" w:eastAsia="en-GB"/>
        </w:rPr>
        <w:t xml:space="preserve">šeimos narius ar draugus įamžinti dar </w:t>
      </w:r>
      <w:r w:rsidR="00746915" w:rsidRPr="00B1708C">
        <w:rPr>
          <w:color w:val="000000"/>
          <w:sz w:val="22"/>
          <w:szCs w:val="22"/>
          <w:lang w:val="lt-LT" w:eastAsia="en-GB"/>
        </w:rPr>
        <w:t>kokybiškiau</w:t>
      </w:r>
      <w:r w:rsidR="00E8262C" w:rsidRPr="00B1708C">
        <w:rPr>
          <w:color w:val="000000"/>
          <w:sz w:val="22"/>
          <w:szCs w:val="22"/>
          <w:lang w:val="lt-LT" w:eastAsia="en-GB"/>
        </w:rPr>
        <w:t xml:space="preserve">. </w:t>
      </w:r>
    </w:p>
    <w:p w14:paraId="537EA6F4" w14:textId="65F0E589" w:rsidR="0002511D" w:rsidRPr="00B1708C" w:rsidRDefault="0002511D" w:rsidP="008451E5">
      <w:pPr>
        <w:spacing w:after="200"/>
        <w:jc w:val="both"/>
        <w:rPr>
          <w:color w:val="000000"/>
          <w:sz w:val="22"/>
          <w:szCs w:val="22"/>
          <w:lang w:val="lt-LT" w:eastAsia="en-GB"/>
        </w:rPr>
      </w:pPr>
      <w:r w:rsidRPr="00B1708C">
        <w:rPr>
          <w:color w:val="000000"/>
          <w:sz w:val="22"/>
          <w:szCs w:val="22"/>
          <w:lang w:val="lt-LT" w:eastAsia="en-GB"/>
        </w:rPr>
        <w:t>Tiek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A55 5G“, tiek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A35 5G“ siūlo ir daugiau išplėstinių kameros galimybių</w:t>
      </w:r>
      <w:r w:rsidR="006A3C69" w:rsidRPr="00B1708C">
        <w:rPr>
          <w:color w:val="000000"/>
          <w:sz w:val="22"/>
          <w:szCs w:val="22"/>
          <w:lang w:val="lt-LT" w:eastAsia="en-GB"/>
        </w:rPr>
        <w:t xml:space="preserve">. </w:t>
      </w:r>
      <w:r w:rsidRPr="00B1708C">
        <w:rPr>
          <w:color w:val="000000"/>
          <w:sz w:val="22"/>
          <w:szCs w:val="22"/>
          <w:lang w:val="lt-LT" w:eastAsia="en-GB"/>
        </w:rPr>
        <w:t xml:space="preserve">Optinė vaizdo stabilizacija (OIS) ir skaitmeninė vaizdo įrašų stabilizacija (VDIS) leidžia išvengti susiliejusių kadrų net ir intensyviai judant, todėl ekrane paspaudę fiksavimo mygtuką vartotojai visada gali būti ramūs dėl </w:t>
      </w:r>
      <w:r w:rsidR="00905979" w:rsidRPr="00B1708C">
        <w:rPr>
          <w:color w:val="000000"/>
          <w:sz w:val="22"/>
          <w:szCs w:val="22"/>
          <w:lang w:val="lt-LT" w:eastAsia="en-GB"/>
        </w:rPr>
        <w:t>nuotraukų</w:t>
      </w:r>
      <w:r w:rsidR="005B3545" w:rsidRPr="00B1708C">
        <w:rPr>
          <w:color w:val="000000"/>
          <w:sz w:val="22"/>
          <w:szCs w:val="22"/>
          <w:lang w:val="lt-LT" w:eastAsia="en-GB"/>
        </w:rPr>
        <w:t xml:space="preserve"> ar vaizdo įrašų</w:t>
      </w:r>
      <w:r w:rsidRPr="00B1708C">
        <w:rPr>
          <w:color w:val="000000"/>
          <w:sz w:val="22"/>
          <w:szCs w:val="22"/>
          <w:lang w:val="lt-LT" w:eastAsia="en-GB"/>
        </w:rPr>
        <w:t xml:space="preserve"> kokybės.</w:t>
      </w:r>
    </w:p>
    <w:p w14:paraId="3AEF96CE" w14:textId="65A2A317" w:rsidR="0002511D" w:rsidRPr="00B1708C" w:rsidRDefault="0002511D" w:rsidP="008451E5">
      <w:pPr>
        <w:spacing w:after="200"/>
        <w:jc w:val="both"/>
        <w:rPr>
          <w:color w:val="000000"/>
          <w:sz w:val="22"/>
          <w:szCs w:val="22"/>
          <w:lang w:val="lt-LT" w:eastAsia="en-GB"/>
        </w:rPr>
      </w:pPr>
      <w:r w:rsidRPr="00B1708C">
        <w:rPr>
          <w:color w:val="000000"/>
          <w:sz w:val="22"/>
          <w:szCs w:val="22"/>
          <w:lang w:val="lt-LT" w:eastAsia="en-GB"/>
        </w:rPr>
        <w:t>Naujieji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A“ serijos </w:t>
      </w:r>
      <w:r w:rsidR="006A3C69" w:rsidRPr="00B1708C">
        <w:rPr>
          <w:color w:val="000000"/>
          <w:sz w:val="22"/>
          <w:szCs w:val="22"/>
          <w:lang w:val="lt-LT" w:eastAsia="en-GB"/>
        </w:rPr>
        <w:t>įrenginiai</w:t>
      </w:r>
      <w:r w:rsidRPr="00B1708C">
        <w:rPr>
          <w:color w:val="000000"/>
          <w:sz w:val="22"/>
          <w:szCs w:val="22"/>
          <w:lang w:val="lt-LT" w:eastAsia="en-GB"/>
        </w:rPr>
        <w:t xml:space="preserve"> </w:t>
      </w:r>
      <w:r w:rsidR="006A3C69" w:rsidRPr="00B1708C">
        <w:rPr>
          <w:color w:val="000000"/>
          <w:sz w:val="22"/>
          <w:szCs w:val="22"/>
          <w:lang w:val="lt-LT" w:eastAsia="en-GB"/>
        </w:rPr>
        <w:t>suteikia daugiau galimybių</w:t>
      </w:r>
      <w:r w:rsidRPr="00B1708C">
        <w:rPr>
          <w:color w:val="000000"/>
          <w:sz w:val="22"/>
          <w:szCs w:val="22"/>
          <w:lang w:val="lt-LT" w:eastAsia="en-GB"/>
        </w:rPr>
        <w:t xml:space="preserve"> ir pramogaujant. Didelė 6,6 colio ekrano įstrižainė leidžia komfortiškai žiūrėti filmus ir naršyti socialiniuose tinkluose, o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Super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AMOLED“ ekrano technologija užtikrina didelį vaizdo ryškumą. Tam, kad </w:t>
      </w:r>
      <w:r w:rsidR="006A3C69" w:rsidRPr="00B1708C">
        <w:rPr>
          <w:color w:val="000000"/>
          <w:sz w:val="22"/>
          <w:szCs w:val="22"/>
          <w:lang w:val="lt-LT" w:eastAsia="en-GB"/>
        </w:rPr>
        <w:t>išmaniaisiais telefonais</w:t>
      </w:r>
      <w:r w:rsidRPr="00B1708C">
        <w:rPr>
          <w:color w:val="000000"/>
          <w:sz w:val="22"/>
          <w:szCs w:val="22"/>
          <w:lang w:val="lt-LT" w:eastAsia="en-GB"/>
        </w:rPr>
        <w:t xml:space="preserve"> būtų patogu naudotis lauke, juose taip pat įdiegta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Vision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Booster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“ </w:t>
      </w:r>
      <w:r w:rsidR="006A3C69" w:rsidRPr="00B1708C">
        <w:rPr>
          <w:color w:val="000000"/>
          <w:sz w:val="22"/>
          <w:szCs w:val="22"/>
          <w:lang w:val="lt-LT" w:eastAsia="en-GB"/>
        </w:rPr>
        <w:t>funkcija</w:t>
      </w:r>
      <w:r w:rsidRPr="00B1708C">
        <w:rPr>
          <w:color w:val="000000"/>
          <w:sz w:val="22"/>
          <w:szCs w:val="22"/>
          <w:lang w:val="lt-LT" w:eastAsia="en-GB"/>
        </w:rPr>
        <w:t>,</w:t>
      </w:r>
      <w:r w:rsidR="00E8262C" w:rsidRPr="00B1708C">
        <w:rPr>
          <w:color w:val="000000"/>
          <w:sz w:val="22"/>
          <w:szCs w:val="22"/>
          <w:lang w:val="lt-LT" w:eastAsia="en-GB"/>
        </w:rPr>
        <w:t xml:space="preserve"> kuri iki šiol buvo prieinama tik</w:t>
      </w:r>
      <w:r w:rsidRPr="00B1708C">
        <w:rPr>
          <w:color w:val="000000"/>
          <w:sz w:val="22"/>
          <w:szCs w:val="22"/>
          <w:lang w:val="lt-LT" w:eastAsia="en-GB"/>
        </w:rPr>
        <w:t xml:space="preserve"> </w:t>
      </w:r>
      <w:r w:rsidR="00E8262C" w:rsidRPr="00B1708C">
        <w:rPr>
          <w:color w:val="000000"/>
          <w:sz w:val="22"/>
          <w:szCs w:val="22"/>
          <w:lang w:val="lt-LT" w:eastAsia="en-GB"/>
        </w:rPr>
        <w:t xml:space="preserve">bendrovės flagmanuose. Ji pritaiko </w:t>
      </w:r>
      <w:r w:rsidRPr="00B1708C">
        <w:rPr>
          <w:color w:val="000000"/>
          <w:sz w:val="22"/>
          <w:szCs w:val="22"/>
          <w:lang w:val="lt-LT" w:eastAsia="en-GB"/>
        </w:rPr>
        <w:t>ekrano spalvų toną taip, kad vaizdą būtų galima matyti net ir esant labai ryškiam apšvietimui.</w:t>
      </w:r>
    </w:p>
    <w:p w14:paraId="0778B071" w14:textId="5AC8DA1B" w:rsidR="0002511D" w:rsidRPr="00B1708C" w:rsidRDefault="0002511D" w:rsidP="008451E5">
      <w:pPr>
        <w:spacing w:after="200"/>
        <w:jc w:val="both"/>
        <w:rPr>
          <w:b/>
          <w:bCs/>
          <w:color w:val="000000"/>
          <w:sz w:val="22"/>
          <w:szCs w:val="22"/>
          <w:lang w:val="lt-LT" w:eastAsia="en-GB"/>
        </w:rPr>
      </w:pPr>
      <w:r w:rsidRPr="00B1708C">
        <w:rPr>
          <w:b/>
          <w:bCs/>
          <w:color w:val="000000"/>
          <w:sz w:val="22"/>
          <w:szCs w:val="22"/>
          <w:lang w:val="lt-LT" w:eastAsia="en-GB"/>
        </w:rPr>
        <w:t xml:space="preserve">Naujausios inovacijos didesniam saugumui </w:t>
      </w:r>
    </w:p>
    <w:p w14:paraId="1FF135C1" w14:textId="2B579FE5" w:rsidR="0002511D" w:rsidRPr="00B1708C" w:rsidRDefault="00E8262C" w:rsidP="008451E5">
      <w:pPr>
        <w:spacing w:after="200"/>
        <w:jc w:val="both"/>
        <w:rPr>
          <w:color w:val="000000"/>
          <w:sz w:val="22"/>
          <w:szCs w:val="22"/>
          <w:lang w:val="lt-LT" w:eastAsia="en-GB"/>
        </w:rPr>
      </w:pPr>
      <w:r w:rsidRPr="00B1708C">
        <w:rPr>
          <w:color w:val="000000"/>
          <w:sz w:val="22"/>
          <w:szCs w:val="22"/>
          <w:lang w:val="lt-LT" w:eastAsia="en-GB"/>
        </w:rPr>
        <w:t>Įrenginių saugumas – vienas pagrindinių bendrovės prioritetų. Naujuosiuose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A“ serijos įrenginiuose įdiegtas </w:t>
      </w:r>
      <w:r w:rsidR="0002511D" w:rsidRPr="00B1708C">
        <w:rPr>
          <w:color w:val="000000"/>
          <w:sz w:val="22"/>
          <w:szCs w:val="22"/>
          <w:lang w:val="lt-LT" w:eastAsia="en-GB"/>
        </w:rPr>
        <w:t xml:space="preserve">„Samsung </w:t>
      </w:r>
      <w:proofErr w:type="spellStart"/>
      <w:r w:rsidR="0002511D" w:rsidRPr="00B1708C">
        <w:rPr>
          <w:color w:val="000000"/>
          <w:sz w:val="22"/>
          <w:szCs w:val="22"/>
          <w:lang w:val="lt-LT" w:eastAsia="en-GB"/>
        </w:rPr>
        <w:t>Knox</w:t>
      </w:r>
      <w:proofErr w:type="spellEnd"/>
      <w:r w:rsidR="0002511D" w:rsidRPr="00B1708C">
        <w:rPr>
          <w:color w:val="000000"/>
          <w:sz w:val="22"/>
          <w:szCs w:val="22"/>
          <w:lang w:val="lt-LT" w:eastAsia="en-GB"/>
        </w:rPr>
        <w:t xml:space="preserve"> </w:t>
      </w:r>
      <w:proofErr w:type="spellStart"/>
      <w:r w:rsidR="0002511D" w:rsidRPr="00B1708C">
        <w:rPr>
          <w:color w:val="000000"/>
          <w:sz w:val="22"/>
          <w:szCs w:val="22"/>
          <w:lang w:val="lt-LT" w:eastAsia="en-GB"/>
        </w:rPr>
        <w:t>Vault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>“</w:t>
      </w:r>
      <w:r w:rsidR="006A3C69" w:rsidRPr="00B1708C">
        <w:rPr>
          <w:color w:val="000000"/>
          <w:sz w:val="22"/>
          <w:szCs w:val="22"/>
          <w:lang w:val="lt-LT" w:eastAsia="en-GB"/>
        </w:rPr>
        <w:t xml:space="preserve"> sprendimas</w:t>
      </w:r>
      <w:r w:rsidRPr="00B1708C">
        <w:rPr>
          <w:color w:val="000000"/>
          <w:sz w:val="22"/>
          <w:szCs w:val="22"/>
          <w:lang w:val="lt-LT" w:eastAsia="en-GB"/>
        </w:rPr>
        <w:t>, kuris</w:t>
      </w:r>
      <w:r w:rsidR="006A3C69" w:rsidRPr="00B1708C">
        <w:rPr>
          <w:color w:val="000000"/>
          <w:sz w:val="22"/>
          <w:szCs w:val="22"/>
          <w:lang w:val="lt-LT" w:eastAsia="en-GB"/>
        </w:rPr>
        <w:t xml:space="preserve"> </w:t>
      </w:r>
      <w:r w:rsidR="0002511D" w:rsidRPr="00B1708C">
        <w:rPr>
          <w:color w:val="000000"/>
          <w:sz w:val="22"/>
          <w:szCs w:val="22"/>
          <w:lang w:val="lt-LT" w:eastAsia="en-GB"/>
        </w:rPr>
        <w:t xml:space="preserve">suteikia išplėstinę apsaugą nuo atakų tiek programinės įrangos lygyje, tiek fiziškai nuskaitant duomenis. </w:t>
      </w:r>
    </w:p>
    <w:p w14:paraId="5ECC5F92" w14:textId="5B9DD54E" w:rsidR="0002511D" w:rsidRPr="00B1708C" w:rsidRDefault="0002511D" w:rsidP="008451E5">
      <w:pPr>
        <w:spacing w:after="200"/>
        <w:jc w:val="both"/>
        <w:rPr>
          <w:color w:val="000000"/>
          <w:sz w:val="22"/>
          <w:szCs w:val="22"/>
          <w:lang w:val="lt-LT" w:eastAsia="en-GB"/>
        </w:rPr>
      </w:pPr>
      <w:r w:rsidRPr="00B1708C">
        <w:rPr>
          <w:color w:val="000000"/>
          <w:sz w:val="22"/>
          <w:szCs w:val="22"/>
          <w:lang w:val="lt-LT" w:eastAsia="en-GB"/>
        </w:rPr>
        <w:t>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Knox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Vault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>“ aplinka izoliuota nuo pagrindinio įrenginio procesoriaus ir atmintinės, todėl joje gali būti saugomi tokie kritiniai vartotojo duomenys kaip slaptažodžiai, PIN numeriai</w:t>
      </w:r>
      <w:r w:rsidR="006A3C69" w:rsidRPr="00B1708C">
        <w:rPr>
          <w:color w:val="000000"/>
          <w:sz w:val="22"/>
          <w:szCs w:val="22"/>
          <w:lang w:val="lt-LT" w:eastAsia="en-GB"/>
        </w:rPr>
        <w:t xml:space="preserve"> ir</w:t>
      </w:r>
      <w:r w:rsidRPr="00B1708C">
        <w:rPr>
          <w:color w:val="000000"/>
          <w:sz w:val="22"/>
          <w:szCs w:val="22"/>
          <w:lang w:val="lt-LT" w:eastAsia="en-GB"/>
        </w:rPr>
        <w:t xml:space="preserve"> ekrano užrakto šablonai.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Knox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 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Vault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“ taip pat saugiai talpina šifravimo kodus, kurie naudojami išmaniajame </w:t>
      </w:r>
      <w:r w:rsidR="00905979" w:rsidRPr="00B1708C">
        <w:rPr>
          <w:color w:val="000000"/>
          <w:sz w:val="22"/>
          <w:szCs w:val="22"/>
          <w:lang w:val="lt-LT" w:eastAsia="en-GB"/>
        </w:rPr>
        <w:t xml:space="preserve">įrenginyje </w:t>
      </w:r>
      <w:r w:rsidRPr="00B1708C">
        <w:rPr>
          <w:color w:val="000000"/>
          <w:sz w:val="22"/>
          <w:szCs w:val="22"/>
          <w:lang w:val="lt-LT" w:eastAsia="en-GB"/>
        </w:rPr>
        <w:t xml:space="preserve">esančios </w:t>
      </w:r>
      <w:r w:rsidRPr="00B1708C">
        <w:rPr>
          <w:color w:val="000000"/>
          <w:sz w:val="22"/>
          <w:szCs w:val="22"/>
          <w:lang w:val="lt-LT" w:eastAsia="en-GB"/>
        </w:rPr>
        <w:lastRenderedPageBreak/>
        <w:t>informacijos užšifravimui. Telefono vagystės ar pametimo atveju užtikrina</w:t>
      </w:r>
      <w:r w:rsidR="005B3545" w:rsidRPr="00B1708C">
        <w:rPr>
          <w:color w:val="000000"/>
          <w:sz w:val="22"/>
          <w:szCs w:val="22"/>
          <w:lang w:val="lt-LT" w:eastAsia="en-GB"/>
        </w:rPr>
        <w:t>ma</w:t>
      </w:r>
      <w:r w:rsidRPr="00B1708C">
        <w:rPr>
          <w:color w:val="000000"/>
          <w:sz w:val="22"/>
          <w:szCs w:val="22"/>
          <w:lang w:val="lt-LT" w:eastAsia="en-GB"/>
        </w:rPr>
        <w:t>, kad išmaniajame esančius duomenis galėtų pasiekti tik įrenginio ekrano užrakto kodą žinantis asmuo.</w:t>
      </w:r>
    </w:p>
    <w:p w14:paraId="53D30670" w14:textId="510CE541" w:rsidR="0002511D" w:rsidRPr="00B1708C" w:rsidRDefault="0002511D" w:rsidP="008451E5">
      <w:pPr>
        <w:spacing w:after="200"/>
        <w:jc w:val="both"/>
        <w:rPr>
          <w:color w:val="000000"/>
          <w:sz w:val="22"/>
          <w:szCs w:val="22"/>
          <w:lang w:val="lt-LT" w:eastAsia="en-GB"/>
        </w:rPr>
      </w:pPr>
      <w:r w:rsidRPr="00B1708C">
        <w:rPr>
          <w:color w:val="000000"/>
          <w:sz w:val="22"/>
          <w:szCs w:val="22"/>
          <w:lang w:val="lt-LT" w:eastAsia="en-GB"/>
        </w:rPr>
        <w:t xml:space="preserve">Naujuosiuose modeliuose įdiegta daugiapakopė „Samsung 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Knox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>“ platforma taip pat apsaugo nuo kritinių programinės įrangos pažeid</w:t>
      </w:r>
      <w:r w:rsidR="006A3C69" w:rsidRPr="00B1708C">
        <w:rPr>
          <w:color w:val="000000"/>
          <w:sz w:val="22"/>
          <w:szCs w:val="22"/>
          <w:lang w:val="lt-LT" w:eastAsia="en-GB"/>
        </w:rPr>
        <w:t>imų</w:t>
      </w:r>
      <w:r w:rsidRPr="00B1708C">
        <w:rPr>
          <w:color w:val="000000"/>
          <w:sz w:val="22"/>
          <w:szCs w:val="22"/>
          <w:lang w:val="lt-LT" w:eastAsia="en-GB"/>
        </w:rPr>
        <w:t>, realiu laik</w:t>
      </w:r>
      <w:r w:rsidR="006A3C69" w:rsidRPr="00B1708C">
        <w:rPr>
          <w:color w:val="000000"/>
          <w:sz w:val="22"/>
          <w:szCs w:val="22"/>
          <w:lang w:val="lt-LT" w:eastAsia="en-GB"/>
        </w:rPr>
        <w:t>u</w:t>
      </w:r>
      <w:r w:rsidRPr="00B1708C">
        <w:rPr>
          <w:color w:val="000000"/>
          <w:sz w:val="22"/>
          <w:szCs w:val="22"/>
          <w:lang w:val="lt-LT" w:eastAsia="en-GB"/>
        </w:rPr>
        <w:t xml:space="preserve"> aptinka įrenginiui kylančias kiber</w:t>
      </w:r>
      <w:r w:rsidR="00D014D6" w:rsidRPr="00B1708C">
        <w:rPr>
          <w:color w:val="000000"/>
          <w:sz w:val="22"/>
          <w:szCs w:val="22"/>
          <w:lang w:val="lt-LT" w:eastAsia="en-GB"/>
        </w:rPr>
        <w:t>n</w:t>
      </w:r>
      <w:r w:rsidRPr="00B1708C">
        <w:rPr>
          <w:color w:val="000000"/>
          <w:sz w:val="22"/>
          <w:szCs w:val="22"/>
          <w:lang w:val="lt-LT" w:eastAsia="en-GB"/>
        </w:rPr>
        <w:t>etines grėsmes ir užtikrina saugumą visoje „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“ ekosistemoje. Norintiems papildomos apsaugos </w:t>
      </w:r>
      <w:r w:rsidR="006A3C69" w:rsidRPr="00B1708C">
        <w:rPr>
          <w:color w:val="000000"/>
          <w:sz w:val="22"/>
          <w:szCs w:val="22"/>
          <w:lang w:val="lt-LT" w:eastAsia="en-GB"/>
        </w:rPr>
        <w:t>naujoji</w:t>
      </w:r>
      <w:r w:rsidRPr="00B1708C">
        <w:rPr>
          <w:color w:val="000000"/>
          <w:sz w:val="22"/>
          <w:szCs w:val="22"/>
          <w:lang w:val="lt-LT" w:eastAsia="en-GB"/>
        </w:rPr>
        <w:t xml:space="preserve"> serija siū</w:t>
      </w:r>
      <w:r w:rsidR="00D014D6" w:rsidRPr="00B1708C">
        <w:rPr>
          <w:color w:val="000000"/>
          <w:sz w:val="22"/>
          <w:szCs w:val="22"/>
          <w:lang w:val="lt-LT" w:eastAsia="en-GB"/>
        </w:rPr>
        <w:t>l</w:t>
      </w:r>
      <w:r w:rsidRPr="00B1708C">
        <w:rPr>
          <w:color w:val="000000"/>
          <w:sz w:val="22"/>
          <w:szCs w:val="22"/>
          <w:lang w:val="lt-LT" w:eastAsia="en-GB"/>
        </w:rPr>
        <w:t xml:space="preserve">o „Auto </w:t>
      </w:r>
      <w:proofErr w:type="spellStart"/>
      <w:r w:rsidRPr="00B1708C">
        <w:rPr>
          <w:color w:val="000000"/>
          <w:sz w:val="22"/>
          <w:szCs w:val="22"/>
          <w:lang w:val="lt-LT" w:eastAsia="en-GB"/>
        </w:rPr>
        <w:t>Blocker</w:t>
      </w:r>
      <w:proofErr w:type="spellEnd"/>
      <w:r w:rsidRPr="00B1708C">
        <w:rPr>
          <w:color w:val="000000"/>
          <w:sz w:val="22"/>
          <w:szCs w:val="22"/>
          <w:lang w:val="lt-LT" w:eastAsia="en-GB"/>
        </w:rPr>
        <w:t xml:space="preserve">“ priemonių paketą, blokuojantį programėlių instaliavimą iš nepatikimų šaltinių, reguliariai skenuojantį </w:t>
      </w:r>
      <w:r w:rsidR="006A3C69" w:rsidRPr="00B1708C">
        <w:rPr>
          <w:color w:val="000000"/>
          <w:sz w:val="22"/>
          <w:szCs w:val="22"/>
          <w:lang w:val="lt-LT" w:eastAsia="en-GB"/>
        </w:rPr>
        <w:t>įrenginį</w:t>
      </w:r>
      <w:r w:rsidRPr="00B1708C">
        <w:rPr>
          <w:color w:val="000000"/>
          <w:sz w:val="22"/>
          <w:szCs w:val="22"/>
          <w:lang w:val="lt-LT" w:eastAsia="en-GB"/>
        </w:rPr>
        <w:t xml:space="preserve"> dėl virusų bei apsaugantį dėl kenkėjiškos programinės įrangos įdiegimo, prijungus išmanųjį per USB laidą.</w:t>
      </w:r>
    </w:p>
    <w:p w14:paraId="73BABDEF" w14:textId="76C3D93C" w:rsidR="0002511D" w:rsidRPr="00B1708C" w:rsidRDefault="0002511D" w:rsidP="008451E5">
      <w:pPr>
        <w:spacing w:after="200"/>
        <w:jc w:val="both"/>
        <w:rPr>
          <w:b/>
          <w:bCs/>
          <w:color w:val="000000"/>
          <w:sz w:val="22"/>
          <w:szCs w:val="22"/>
          <w:lang w:val="lt-LT" w:eastAsia="en-GB"/>
        </w:rPr>
      </w:pPr>
      <w:bookmarkStart w:id="0" w:name="_Hlk160627168"/>
      <w:r w:rsidRPr="00B1708C">
        <w:rPr>
          <w:b/>
          <w:bCs/>
          <w:color w:val="000000"/>
          <w:sz w:val="22"/>
          <w:szCs w:val="22"/>
          <w:lang w:val="lt-LT" w:eastAsia="en-GB"/>
        </w:rPr>
        <w:t>Ilgesnis palaikymas ir integraci</w:t>
      </w:r>
      <w:r w:rsidR="00D014D6" w:rsidRPr="00B1708C">
        <w:rPr>
          <w:b/>
          <w:bCs/>
          <w:color w:val="000000"/>
          <w:sz w:val="22"/>
          <w:szCs w:val="22"/>
          <w:lang w:val="lt-LT" w:eastAsia="en-GB"/>
        </w:rPr>
        <w:t>j</w:t>
      </w:r>
      <w:r w:rsidRPr="00B1708C">
        <w:rPr>
          <w:b/>
          <w:bCs/>
          <w:color w:val="000000"/>
          <w:sz w:val="22"/>
          <w:szCs w:val="22"/>
          <w:lang w:val="lt-LT" w:eastAsia="en-GB"/>
        </w:rPr>
        <w:t>a su „</w:t>
      </w:r>
      <w:proofErr w:type="spellStart"/>
      <w:r w:rsidRPr="00B1708C">
        <w:rPr>
          <w:b/>
          <w:bCs/>
          <w:color w:val="000000"/>
          <w:sz w:val="22"/>
          <w:szCs w:val="22"/>
          <w:lang w:val="lt-LT" w:eastAsia="en-GB"/>
        </w:rPr>
        <w:t>Galaxy</w:t>
      </w:r>
      <w:proofErr w:type="spellEnd"/>
      <w:r w:rsidRPr="00B1708C">
        <w:rPr>
          <w:b/>
          <w:bCs/>
          <w:color w:val="000000"/>
          <w:sz w:val="22"/>
          <w:szCs w:val="22"/>
          <w:lang w:val="lt-LT" w:eastAsia="en-GB"/>
        </w:rPr>
        <w:t>“ ekosistema</w:t>
      </w:r>
      <w:bookmarkEnd w:id="0"/>
    </w:p>
    <w:p w14:paraId="75A45691" w14:textId="41F20DF3" w:rsidR="0002511D" w:rsidRPr="00B1708C" w:rsidRDefault="00B1708C" w:rsidP="008451E5">
      <w:pPr>
        <w:spacing w:after="200"/>
        <w:jc w:val="both"/>
        <w:rPr>
          <w:color w:val="000000"/>
          <w:sz w:val="22"/>
          <w:szCs w:val="22"/>
          <w:lang w:val="lt-LT" w:eastAsia="en-GB"/>
        </w:rPr>
      </w:pPr>
      <w:r>
        <w:rPr>
          <w:color w:val="000000"/>
          <w:sz w:val="22"/>
          <w:szCs w:val="22"/>
          <w:lang w:val="lt-LT" w:eastAsia="en-GB"/>
        </w:rPr>
        <w:t>„</w:t>
      </w:r>
      <w:proofErr w:type="spellStart"/>
      <w:r w:rsidR="0002511D"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="0002511D" w:rsidRPr="00B1708C">
        <w:rPr>
          <w:color w:val="000000"/>
          <w:sz w:val="22"/>
          <w:szCs w:val="22"/>
          <w:lang w:val="lt-LT" w:eastAsia="en-GB"/>
        </w:rPr>
        <w:t xml:space="preserve"> A55 5G“ ir „</w:t>
      </w:r>
      <w:proofErr w:type="spellStart"/>
      <w:r w:rsidR="0002511D"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="0002511D" w:rsidRPr="00B1708C">
        <w:rPr>
          <w:color w:val="000000"/>
          <w:sz w:val="22"/>
          <w:szCs w:val="22"/>
          <w:lang w:val="lt-LT" w:eastAsia="en-GB"/>
        </w:rPr>
        <w:t xml:space="preserve"> A35 5G“ sulauks keturių „Android OS“ kartų atnaujinimų ir penkerius metus gaus saugumo pataisymus, daugeliui metų į priekį vartotojams garantuodami naujausias „</w:t>
      </w:r>
      <w:proofErr w:type="spellStart"/>
      <w:r w:rsidR="0002511D"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="0002511D" w:rsidRPr="00B1708C">
        <w:rPr>
          <w:color w:val="000000"/>
          <w:sz w:val="22"/>
          <w:szCs w:val="22"/>
          <w:lang w:val="lt-LT" w:eastAsia="en-GB"/>
        </w:rPr>
        <w:t>“ funkcijas bei apsaugotą veikimą.</w:t>
      </w:r>
    </w:p>
    <w:p w14:paraId="412F2681" w14:textId="29119F80" w:rsidR="00313759" w:rsidRPr="00B1708C" w:rsidRDefault="00055EFB" w:rsidP="008451E5">
      <w:pPr>
        <w:spacing w:after="200"/>
        <w:jc w:val="both"/>
        <w:rPr>
          <w:color w:val="000000"/>
          <w:sz w:val="22"/>
          <w:szCs w:val="22"/>
          <w:lang w:val="lt-LT" w:eastAsia="en-GB"/>
        </w:rPr>
      </w:pPr>
      <w:r w:rsidRPr="00B1708C">
        <w:rPr>
          <w:color w:val="000000"/>
          <w:sz w:val="22"/>
          <w:szCs w:val="22"/>
          <w:lang w:val="lt-LT" w:eastAsia="en-GB"/>
        </w:rPr>
        <w:t>Naujieji įreng</w:t>
      </w:r>
      <w:r w:rsidR="00B97500" w:rsidRPr="00B1708C">
        <w:rPr>
          <w:color w:val="000000"/>
          <w:sz w:val="22"/>
          <w:szCs w:val="22"/>
          <w:lang w:val="lt-LT" w:eastAsia="en-GB"/>
        </w:rPr>
        <w:t>i</w:t>
      </w:r>
      <w:r w:rsidRPr="00B1708C">
        <w:rPr>
          <w:color w:val="000000"/>
          <w:sz w:val="22"/>
          <w:szCs w:val="22"/>
          <w:lang w:val="lt-LT" w:eastAsia="en-GB"/>
        </w:rPr>
        <w:t xml:space="preserve">niai </w:t>
      </w:r>
      <w:r w:rsidR="0002511D" w:rsidRPr="00B1708C">
        <w:rPr>
          <w:color w:val="000000"/>
          <w:sz w:val="22"/>
          <w:szCs w:val="22"/>
          <w:lang w:val="lt-LT" w:eastAsia="en-GB"/>
        </w:rPr>
        <w:t>yra</w:t>
      </w:r>
      <w:r w:rsidR="00B97500" w:rsidRPr="00B1708C">
        <w:rPr>
          <w:color w:val="000000"/>
          <w:sz w:val="22"/>
          <w:szCs w:val="22"/>
          <w:lang w:val="lt-LT" w:eastAsia="en-GB"/>
        </w:rPr>
        <w:t xml:space="preserve"> </w:t>
      </w:r>
      <w:r w:rsidR="00077730" w:rsidRPr="00B1708C">
        <w:rPr>
          <w:color w:val="000000"/>
          <w:sz w:val="22"/>
          <w:szCs w:val="22"/>
          <w:lang w:val="lt-LT" w:eastAsia="en-GB"/>
        </w:rPr>
        <w:t xml:space="preserve">itin patogiai </w:t>
      </w:r>
      <w:r w:rsidR="0002511D" w:rsidRPr="00B1708C">
        <w:rPr>
          <w:color w:val="000000"/>
          <w:sz w:val="22"/>
          <w:szCs w:val="22"/>
          <w:lang w:val="lt-LT" w:eastAsia="en-GB"/>
        </w:rPr>
        <w:t>suderinami su „</w:t>
      </w:r>
      <w:proofErr w:type="spellStart"/>
      <w:r w:rsidR="0002511D"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="0002511D" w:rsidRPr="00B1708C">
        <w:rPr>
          <w:color w:val="000000"/>
          <w:sz w:val="22"/>
          <w:szCs w:val="22"/>
          <w:lang w:val="lt-LT" w:eastAsia="en-GB"/>
        </w:rPr>
        <w:t>“ ekosistema, suteikiant vartotojams skland</w:t>
      </w:r>
      <w:r w:rsidRPr="00B1708C">
        <w:rPr>
          <w:color w:val="000000"/>
          <w:sz w:val="22"/>
          <w:szCs w:val="22"/>
          <w:lang w:val="lt-LT" w:eastAsia="en-GB"/>
        </w:rPr>
        <w:t>žią</w:t>
      </w:r>
      <w:r w:rsidR="0002511D" w:rsidRPr="00B1708C">
        <w:rPr>
          <w:color w:val="000000"/>
          <w:sz w:val="22"/>
          <w:szCs w:val="22"/>
          <w:lang w:val="lt-LT" w:eastAsia="en-GB"/>
        </w:rPr>
        <w:t xml:space="preserve"> patirtį naudojant įvairius „</w:t>
      </w:r>
      <w:proofErr w:type="spellStart"/>
      <w:r w:rsidR="0002511D"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="0002511D" w:rsidRPr="00B1708C">
        <w:rPr>
          <w:color w:val="000000"/>
          <w:sz w:val="22"/>
          <w:szCs w:val="22"/>
          <w:lang w:val="lt-LT" w:eastAsia="en-GB"/>
        </w:rPr>
        <w:t>“ įrenginius. Vartotojai gali sekti savo sveikatos tikslus</w:t>
      </w:r>
      <w:r w:rsidR="00B97500" w:rsidRPr="00B1708C">
        <w:rPr>
          <w:color w:val="000000"/>
          <w:sz w:val="22"/>
          <w:szCs w:val="22"/>
          <w:lang w:val="lt-LT" w:eastAsia="en-GB"/>
        </w:rPr>
        <w:t xml:space="preserve"> </w:t>
      </w:r>
      <w:r w:rsidR="0002511D" w:rsidRPr="00B1708C">
        <w:rPr>
          <w:color w:val="000000"/>
          <w:sz w:val="22"/>
          <w:szCs w:val="22"/>
          <w:lang w:val="lt-LT" w:eastAsia="en-GB"/>
        </w:rPr>
        <w:t>prijungdami „</w:t>
      </w:r>
      <w:proofErr w:type="spellStart"/>
      <w:r w:rsidR="0002511D"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="0002511D" w:rsidRPr="00B1708C">
        <w:rPr>
          <w:color w:val="000000"/>
          <w:sz w:val="22"/>
          <w:szCs w:val="22"/>
          <w:lang w:val="lt-LT" w:eastAsia="en-GB"/>
        </w:rPr>
        <w:t xml:space="preserve"> Fit3“</w:t>
      </w:r>
      <w:r w:rsidR="008E1432" w:rsidRPr="00B1708C">
        <w:rPr>
          <w:color w:val="000000"/>
          <w:sz w:val="22"/>
          <w:szCs w:val="22"/>
          <w:lang w:val="lt-LT" w:eastAsia="en-GB"/>
        </w:rPr>
        <w:t xml:space="preserve"> išmaniąją ap</w:t>
      </w:r>
      <w:r w:rsidR="0014082A" w:rsidRPr="00B1708C">
        <w:rPr>
          <w:color w:val="000000"/>
          <w:sz w:val="22"/>
          <w:szCs w:val="22"/>
          <w:lang w:val="lt-LT" w:eastAsia="en-GB"/>
        </w:rPr>
        <w:t>y</w:t>
      </w:r>
      <w:r w:rsidR="008E1432" w:rsidRPr="00B1708C">
        <w:rPr>
          <w:color w:val="000000"/>
          <w:sz w:val="22"/>
          <w:szCs w:val="22"/>
          <w:lang w:val="lt-LT" w:eastAsia="en-GB"/>
        </w:rPr>
        <w:t>rankę</w:t>
      </w:r>
      <w:r w:rsidR="0002511D" w:rsidRPr="00B1708C">
        <w:rPr>
          <w:color w:val="000000"/>
          <w:sz w:val="22"/>
          <w:szCs w:val="22"/>
          <w:lang w:val="lt-LT" w:eastAsia="en-GB"/>
        </w:rPr>
        <w:t xml:space="preserve"> arba „</w:t>
      </w:r>
      <w:proofErr w:type="spellStart"/>
      <w:r w:rsidR="0002511D" w:rsidRPr="00B1708C">
        <w:rPr>
          <w:color w:val="000000"/>
          <w:sz w:val="22"/>
          <w:szCs w:val="22"/>
          <w:lang w:val="lt-LT" w:eastAsia="en-GB"/>
        </w:rPr>
        <w:t>Galaxy</w:t>
      </w:r>
      <w:proofErr w:type="spellEnd"/>
      <w:r w:rsidR="0002511D" w:rsidRPr="00B1708C">
        <w:rPr>
          <w:color w:val="000000"/>
          <w:sz w:val="22"/>
          <w:szCs w:val="22"/>
          <w:lang w:val="lt-LT" w:eastAsia="en-GB"/>
        </w:rPr>
        <w:t xml:space="preserve"> Watch6“</w:t>
      </w:r>
      <w:r w:rsidR="008E1432" w:rsidRPr="00B1708C">
        <w:rPr>
          <w:color w:val="000000"/>
          <w:sz w:val="22"/>
          <w:szCs w:val="22"/>
          <w:lang w:val="lt-LT" w:eastAsia="en-GB"/>
        </w:rPr>
        <w:t xml:space="preserve"> laikrodį</w:t>
      </w:r>
      <w:r w:rsidR="0002511D" w:rsidRPr="00B1708C">
        <w:rPr>
          <w:color w:val="000000"/>
          <w:sz w:val="22"/>
          <w:szCs w:val="22"/>
          <w:lang w:val="lt-LT" w:eastAsia="en-GB"/>
        </w:rPr>
        <w:t xml:space="preserve"> prie savo išmaniojo telefono. Tuo metu „Auto </w:t>
      </w:r>
      <w:proofErr w:type="spellStart"/>
      <w:r w:rsidR="0002511D" w:rsidRPr="00B1708C">
        <w:rPr>
          <w:color w:val="000000"/>
          <w:sz w:val="22"/>
          <w:szCs w:val="22"/>
          <w:lang w:val="lt-LT" w:eastAsia="en-GB"/>
        </w:rPr>
        <w:t>Switch</w:t>
      </w:r>
      <w:proofErr w:type="spellEnd"/>
      <w:r w:rsidR="0002511D" w:rsidRPr="00B1708C">
        <w:rPr>
          <w:color w:val="000000"/>
          <w:sz w:val="22"/>
          <w:szCs w:val="22"/>
          <w:lang w:val="lt-LT" w:eastAsia="en-GB"/>
        </w:rPr>
        <w:t>“ funkcija įeinančius skambučius automatiškai perjungia į prijungtas belaides ausines, taip užtikrindama didesnį naudojimo patogumą.</w:t>
      </w:r>
    </w:p>
    <w:p w14:paraId="7C279FD1" w14:textId="77777777" w:rsidR="003D5233" w:rsidRPr="00B1708C" w:rsidRDefault="003D5233" w:rsidP="003D5233">
      <w:pPr>
        <w:jc w:val="both"/>
        <w:rPr>
          <w:color w:val="000000"/>
          <w:sz w:val="22"/>
          <w:szCs w:val="22"/>
          <w:lang w:val="lt-LT" w:eastAsia="en-GB"/>
        </w:rPr>
      </w:pPr>
    </w:p>
    <w:p w14:paraId="1DD2E236" w14:textId="33AF5103" w:rsidR="00044943" w:rsidRPr="00B1708C" w:rsidRDefault="00044943" w:rsidP="00044943">
      <w:pPr>
        <w:spacing w:after="160" w:line="256" w:lineRule="auto"/>
        <w:rPr>
          <w:rFonts w:eastAsia="Malgun Gothic"/>
          <w:b/>
          <w:color w:val="000000"/>
          <w:sz w:val="22"/>
          <w:szCs w:val="22"/>
        </w:rPr>
      </w:pPr>
      <w:proofErr w:type="spellStart"/>
      <w:r w:rsidRPr="00B1708C">
        <w:rPr>
          <w:rFonts w:eastAsia="Malgun Gothic"/>
          <w:b/>
          <w:color w:val="000000"/>
          <w:sz w:val="22"/>
          <w:szCs w:val="22"/>
        </w:rPr>
        <w:t>Specifikacijos</w:t>
      </w:r>
      <w:proofErr w:type="spellEnd"/>
      <w:r w:rsidRPr="00B1708C">
        <w:rPr>
          <w:rFonts w:eastAsia="Malgun Gothic"/>
          <w:b/>
          <w:color w:val="000000"/>
          <w:sz w:val="22"/>
          <w:szCs w:val="22"/>
        </w:rPr>
        <w:t>:</w:t>
      </w:r>
    </w:p>
    <w:tbl>
      <w:tblPr>
        <w:tblW w:w="8925" w:type="dxa"/>
        <w:tblLayout w:type="fixed"/>
        <w:tblLook w:val="04A0" w:firstRow="1" w:lastRow="0" w:firstColumn="1" w:lastColumn="0" w:noHBand="0" w:noVBand="1"/>
      </w:tblPr>
      <w:tblGrid>
        <w:gridCol w:w="1409"/>
        <w:gridCol w:w="7516"/>
      </w:tblGrid>
      <w:tr w:rsidR="00044943" w14:paraId="419236DD" w14:textId="77777777" w:rsidTr="00044943">
        <w:tc>
          <w:tcPr>
            <w:tcW w:w="892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hideMark/>
          </w:tcPr>
          <w:p w14:paraId="3E3CE7B7" w14:textId="77777777" w:rsidR="00044943" w:rsidRDefault="00044943">
            <w:pPr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Galaxy A55 5G</w:t>
            </w:r>
          </w:p>
        </w:tc>
      </w:tr>
      <w:tr w:rsidR="00044943" w:rsidRPr="00B1708C" w14:paraId="66C604AE" w14:textId="77777777" w:rsidTr="00044943"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14F9EE5" w14:textId="6C72E7CF" w:rsidR="00044943" w:rsidRPr="00B1708C" w:rsidRDefault="00044943">
            <w:pPr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iCs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iCs/>
                <w:color w:val="FFFFFF" w:themeColor="background1"/>
                <w:sz w:val="18"/>
                <w:szCs w:val="18"/>
                <w:lang w:val="lt-LT"/>
              </w:rPr>
              <w:t>Ekranas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6C2B" w14:textId="7C036E15" w:rsidR="00044943" w:rsidRPr="00B1708C" w:rsidRDefault="00044943">
            <w:pPr>
              <w:spacing w:after="160" w:line="256" w:lineRule="auto"/>
              <w:rPr>
                <w:rFonts w:eastAsia="Calibri"/>
                <w:lang w:val="lt-LT" w:eastAsia="ko-KR"/>
              </w:rPr>
            </w:pPr>
            <w:r w:rsidRPr="00B1708C">
              <w:rPr>
                <w:rFonts w:asciiTheme="minorHAnsi" w:eastAsia="Calibri" w:hAnsiTheme="minorHAnsi" w:cstheme="minorHAnsi"/>
                <w:iCs/>
                <w:sz w:val="18"/>
                <w:szCs w:val="18"/>
                <w:lang w:val="lt-LT"/>
              </w:rPr>
              <w:t>6</w:t>
            </w:r>
            <w:r w:rsidR="00246B94" w:rsidRPr="00B1708C">
              <w:rPr>
                <w:rFonts w:asciiTheme="minorHAnsi" w:eastAsia="Calibri" w:hAnsiTheme="minorHAnsi" w:cstheme="minorHAnsi"/>
                <w:iCs/>
                <w:sz w:val="18"/>
                <w:szCs w:val="18"/>
                <w:lang w:val="lt-LT"/>
              </w:rPr>
              <w:t>,</w:t>
            </w:r>
            <w:r w:rsidRPr="00B1708C">
              <w:rPr>
                <w:rFonts w:asciiTheme="minorHAnsi" w:eastAsia="Calibri" w:hAnsiTheme="minorHAnsi" w:cstheme="minorHAnsi"/>
                <w:iCs/>
                <w:sz w:val="18"/>
                <w:szCs w:val="18"/>
                <w:lang w:val="lt-LT"/>
              </w:rPr>
              <w:t>6</w:t>
            </w:r>
            <w:r w:rsidR="00246B94" w:rsidRPr="00B1708C">
              <w:rPr>
                <w:rFonts w:asciiTheme="minorHAnsi" w:eastAsia="Calibri" w:hAnsiTheme="minorHAnsi" w:cstheme="minorHAnsi"/>
                <w:iCs/>
                <w:sz w:val="18"/>
                <w:szCs w:val="18"/>
                <w:lang w:val="lt-LT"/>
              </w:rPr>
              <w:t xml:space="preserve"> colio</w:t>
            </w:r>
            <w:r w:rsidRPr="00B1708C">
              <w:rPr>
                <w:rFonts w:asciiTheme="minorHAnsi" w:eastAsia="Calibri" w:hAnsiTheme="minorHAnsi" w:cstheme="minorHAnsi"/>
                <w:iCs/>
                <w:sz w:val="18"/>
                <w:szCs w:val="18"/>
                <w:lang w:val="lt-LT"/>
              </w:rPr>
              <w:t xml:space="preserve"> FHD+</w:t>
            </w:r>
            <w:r w:rsidR="00246B94" w:rsidRPr="00B1708C">
              <w:rPr>
                <w:rFonts w:asciiTheme="minorHAnsi" w:eastAsia="Calibri" w:hAnsiTheme="minorHAnsi" w:cstheme="minorHAnsi"/>
                <w:iCs/>
                <w:sz w:val="18"/>
                <w:szCs w:val="18"/>
                <w:lang w:val="lt-LT"/>
              </w:rPr>
              <w:t xml:space="preserve"> raiškos</w:t>
            </w:r>
          </w:p>
          <w:p w14:paraId="47357135" w14:textId="267F1BB3" w:rsidR="00044943" w:rsidRPr="00B1708C" w:rsidRDefault="00C15D11">
            <w:pPr>
              <w:spacing w:after="160" w:line="256" w:lineRule="auto"/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„</w:t>
            </w:r>
            <w:proofErr w:type="spellStart"/>
            <w:r w:rsidR="00044943"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Super</w:t>
            </w:r>
            <w:proofErr w:type="spellEnd"/>
            <w:r w:rsidR="00044943"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 xml:space="preserve"> AMOLED</w:t>
            </w:r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“</w:t>
            </w:r>
            <w:r w:rsidR="00044943"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 xml:space="preserve"> </w:t>
            </w:r>
            <w:r w:rsidR="00246B94"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technolo</w:t>
            </w:r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gija</w:t>
            </w:r>
          </w:p>
          <w:p w14:paraId="6844D1F2" w14:textId="4ACDC2AE" w:rsidR="00044943" w:rsidRPr="00B1708C" w:rsidRDefault="00C15D11">
            <w:pPr>
              <w:spacing w:after="160" w:line="256" w:lineRule="auto"/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Iki</w:t>
            </w:r>
            <w:r w:rsidR="00044943"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 xml:space="preserve"> 120</w:t>
            </w:r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 xml:space="preserve"> </w:t>
            </w:r>
            <w:r w:rsidR="00044943"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 xml:space="preserve">Hz </w:t>
            </w:r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atsinaujinimo dažnis</w:t>
            </w:r>
          </w:p>
          <w:p w14:paraId="33372CFF" w14:textId="340CE343" w:rsidR="00044943" w:rsidRPr="00B1708C" w:rsidRDefault="00C15D11">
            <w:pPr>
              <w:spacing w:after="160" w:line="256" w:lineRule="auto"/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„</w:t>
            </w:r>
            <w:proofErr w:type="spellStart"/>
            <w:r w:rsidR="00044943"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Vision</w:t>
            </w:r>
            <w:proofErr w:type="spellEnd"/>
            <w:r w:rsidR="00044943"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 xml:space="preserve"> </w:t>
            </w:r>
            <w:proofErr w:type="spellStart"/>
            <w:r w:rsidR="00044943"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Booster</w:t>
            </w:r>
            <w:proofErr w:type="spellEnd"/>
            <w:r w:rsidR="006847D0"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“ technologija</w:t>
            </w:r>
          </w:p>
        </w:tc>
      </w:tr>
      <w:tr w:rsidR="00044943" w:rsidRPr="00B1708C" w14:paraId="3B5834E5" w14:textId="77777777" w:rsidTr="00044943">
        <w:tc>
          <w:tcPr>
            <w:tcW w:w="8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8371" w14:textId="77777777" w:rsidR="00044943" w:rsidRPr="00B1708C" w:rsidRDefault="00044943">
            <w:pPr>
              <w:spacing w:line="256" w:lineRule="auto"/>
              <w:rPr>
                <w:rFonts w:asciiTheme="minorHAnsi" w:eastAsia="Calibri" w:hAnsiTheme="minorHAnsi" w:cstheme="minorHAnsi"/>
                <w:b/>
                <w:iCs/>
                <w:color w:val="FFFFFF" w:themeColor="background1"/>
                <w:sz w:val="18"/>
                <w:szCs w:val="18"/>
                <w:lang w:val="lt-L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6609" w14:textId="6793DA22" w:rsidR="00044943" w:rsidRPr="00B1708C" w:rsidRDefault="00044943">
            <w:pPr>
              <w:shd w:val="clear" w:color="auto" w:fill="FFFFFF" w:themeFill="background1"/>
              <w:spacing w:after="160" w:line="256" w:lineRule="auto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 xml:space="preserve">* </w:t>
            </w:r>
            <w:r w:rsidR="00187066"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Matuota įstrižai, ekrano dydis siekia 6,</w:t>
            </w:r>
            <w:r w:rsidR="00557C53"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6</w:t>
            </w:r>
            <w:r w:rsidR="00187066"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 xml:space="preserve"> colio iš viso ir 6,</w:t>
            </w:r>
            <w:r w:rsidR="00557C53"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4</w:t>
            </w:r>
            <w:r w:rsidR="00187066"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 xml:space="preserve"> colio skaičiuojant su suapvalintais kampais; tikrasis naudingas plotas yra mažesnis dėl suapvalintų kampų ir kameros išpjovos</w:t>
            </w:r>
          </w:p>
        </w:tc>
      </w:tr>
      <w:tr w:rsidR="00044943" w:rsidRPr="00B1708C" w14:paraId="52415018" w14:textId="77777777" w:rsidTr="00044943">
        <w:trPr>
          <w:trHeight w:val="294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41F215ED" w14:textId="5AF3A0EE" w:rsidR="00044943" w:rsidRPr="00B1708C" w:rsidRDefault="00557C53">
            <w:pPr>
              <w:spacing w:after="160" w:line="256" w:lineRule="auto"/>
              <w:jc w:val="center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Matmenys ir</w:t>
            </w:r>
            <w:r w:rsidR="00044943"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 xml:space="preserve"> </w:t>
            </w: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svoris</w:t>
            </w:r>
            <w:r w:rsidR="00044943" w:rsidRPr="00B1708C">
              <w:rPr>
                <w:rFonts w:asciiTheme="minorHAnsi" w:eastAsia="Calibri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  <w:t> </w:t>
            </w:r>
            <w:r w:rsidR="00044943" w:rsidRPr="00B1708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EBAD" w14:textId="798756C7" w:rsidR="00044943" w:rsidRPr="00B1708C" w:rsidRDefault="00044943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8"/>
                <w:szCs w:val="18"/>
                <w:lang w:val="lt-LT" w:eastAsia="ko-KR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161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,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1 x 77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,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4 x 8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,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2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mm, 213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g</w:t>
            </w:r>
          </w:p>
        </w:tc>
      </w:tr>
      <w:tr w:rsidR="00044943" w:rsidRPr="00B1708C" w14:paraId="5FF434B1" w14:textId="77777777" w:rsidTr="00044943">
        <w:trPr>
          <w:trHeight w:val="293"/>
        </w:trPr>
        <w:tc>
          <w:tcPr>
            <w:tcW w:w="8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997D" w14:textId="77777777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120C" w14:textId="1D4699CC" w:rsidR="00044943" w:rsidRPr="00B1708C" w:rsidRDefault="00044943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*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Įrenginio svoris gali priklausyti nuo rinkos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.</w:t>
            </w:r>
          </w:p>
        </w:tc>
      </w:tr>
      <w:tr w:rsidR="00044943" w:rsidRPr="00B1708C" w14:paraId="44DF3512" w14:textId="77777777" w:rsidTr="00044943">
        <w:trPr>
          <w:trHeight w:val="8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6965E71" w14:textId="35837DC6" w:rsidR="00044943" w:rsidRPr="00B1708C" w:rsidRDefault="00557C53">
            <w:pPr>
              <w:spacing w:after="160" w:line="256" w:lineRule="auto"/>
              <w:jc w:val="center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Kamera</w:t>
            </w:r>
            <w:r w:rsidR="00044943" w:rsidRPr="00B1708C">
              <w:rPr>
                <w:rFonts w:asciiTheme="minorHAnsi" w:eastAsia="Calibri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  <w:t> </w:t>
            </w:r>
            <w:r w:rsidR="00044943" w:rsidRPr="00B1708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DD5B" w14:textId="08CF466F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12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MP 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itin plataus kampo kamera</w:t>
            </w:r>
          </w:p>
          <w:p w14:paraId="5F85D0C3" w14:textId="77777777" w:rsidR="00044943" w:rsidRPr="00B1708C" w:rsidRDefault="00044943" w:rsidP="00044943">
            <w:pPr>
              <w:numPr>
                <w:ilvl w:val="0"/>
                <w:numId w:val="6"/>
              </w:numPr>
              <w:spacing w:line="256" w:lineRule="auto"/>
              <w:contextualSpacing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F2.2</w:t>
            </w:r>
          </w:p>
          <w:p w14:paraId="2BA6A77A" w14:textId="11DCA338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50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MP 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pagrindinė kamera</w:t>
            </w:r>
          </w:p>
          <w:p w14:paraId="3373B69B" w14:textId="77777777" w:rsidR="00044943" w:rsidRPr="00B1708C" w:rsidRDefault="00044943" w:rsidP="00044943">
            <w:pPr>
              <w:numPr>
                <w:ilvl w:val="0"/>
                <w:numId w:val="6"/>
              </w:numPr>
              <w:spacing w:line="256" w:lineRule="auto"/>
              <w:contextualSpacing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F1.8, AF, OIS</w:t>
            </w:r>
          </w:p>
          <w:p w14:paraId="7931367E" w14:textId="544BD443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5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MP </w:t>
            </w:r>
            <w:proofErr w:type="spellStart"/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makro</w:t>
            </w:r>
            <w:proofErr w:type="spellEnd"/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k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amera</w:t>
            </w:r>
          </w:p>
          <w:p w14:paraId="700465F9" w14:textId="77777777" w:rsidR="00044943" w:rsidRPr="00B1708C" w:rsidRDefault="00044943" w:rsidP="00044943">
            <w:pPr>
              <w:numPr>
                <w:ilvl w:val="0"/>
                <w:numId w:val="6"/>
              </w:numPr>
              <w:spacing w:line="256" w:lineRule="auto"/>
              <w:contextualSpacing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F2.4</w:t>
            </w:r>
          </w:p>
          <w:p w14:paraId="73C8F85E" w14:textId="1C646FA1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32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MP </w:t>
            </w:r>
            <w:r w:rsidR="00557C53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priekinė kamera</w:t>
            </w:r>
          </w:p>
          <w:p w14:paraId="7FED122D" w14:textId="77777777" w:rsidR="00044943" w:rsidRPr="00B1708C" w:rsidRDefault="00044943" w:rsidP="00044943">
            <w:pPr>
              <w:numPr>
                <w:ilvl w:val="0"/>
                <w:numId w:val="6"/>
              </w:numPr>
              <w:spacing w:line="256" w:lineRule="auto"/>
              <w:contextualSpacing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F2.2</w:t>
            </w:r>
          </w:p>
        </w:tc>
      </w:tr>
      <w:tr w:rsidR="00044943" w:rsidRPr="00B1708C" w14:paraId="2527C8C4" w14:textId="77777777" w:rsidTr="00044943">
        <w:trPr>
          <w:trHeight w:val="3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466F0E2" w14:textId="5A61D500" w:rsidR="00044943" w:rsidRPr="00B1708C" w:rsidRDefault="00557C53">
            <w:pPr>
              <w:spacing w:after="160" w:line="256" w:lineRule="auto"/>
              <w:jc w:val="center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Operatyvioji atmintis ir vidinė talpykla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C387" w14:textId="77777777" w:rsidR="00044943" w:rsidRPr="00B1708C" w:rsidRDefault="00044943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 w:eastAsia="ko-KR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8GB + 128GB</w:t>
            </w:r>
          </w:p>
          <w:p w14:paraId="08E0D914" w14:textId="77777777" w:rsidR="00044943" w:rsidRPr="00B1708C" w:rsidRDefault="00044943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8GB + 256GB</w:t>
            </w:r>
          </w:p>
          <w:p w14:paraId="34F48F3C" w14:textId="77777777" w:rsidR="00044943" w:rsidRPr="00B1708C" w:rsidRDefault="00044943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12GB + 256GB</w:t>
            </w:r>
          </w:p>
        </w:tc>
      </w:tr>
      <w:tr w:rsidR="00044943" w:rsidRPr="00B1708C" w14:paraId="7C28B3B7" w14:textId="77777777" w:rsidTr="00044943">
        <w:trPr>
          <w:trHeight w:val="345"/>
        </w:trPr>
        <w:tc>
          <w:tcPr>
            <w:tcW w:w="8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C420" w14:textId="77777777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A696" w14:textId="32CD711E" w:rsidR="00044943" w:rsidRPr="00B1708C" w:rsidRDefault="00044943">
            <w:pPr>
              <w:spacing w:after="160" w:line="256" w:lineRule="auto"/>
              <w:rPr>
                <w:rFonts w:asciiTheme="minorHAnsi" w:eastAsia="Calibri" w:hAnsiTheme="minorHAnsi" w:cstheme="minorHAnsi"/>
                <w:i/>
                <w:iCs/>
                <w:sz w:val="20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 xml:space="preserve">* </w:t>
            </w:r>
            <w:r w:rsidR="002F0162"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Prieinamumas priklauso nuo rinkos. Tikrasis talpyklos dydis gali skirtis priklausomai nuo rinkos, modelio, failo dydžio ir formato.</w:t>
            </w:r>
          </w:p>
        </w:tc>
      </w:tr>
      <w:tr w:rsidR="00044943" w:rsidRPr="00B1708C" w14:paraId="05765A9C" w14:textId="77777777" w:rsidTr="00044943">
        <w:trPr>
          <w:trHeight w:val="151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4083618D" w14:textId="22373B7A" w:rsidR="00044943" w:rsidRPr="00B1708C" w:rsidRDefault="002F0162">
            <w:pPr>
              <w:spacing w:after="160" w:line="256" w:lineRule="auto"/>
              <w:jc w:val="center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Baterija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319F" w14:textId="7DE08340" w:rsidR="00044943" w:rsidRPr="00B1708C" w:rsidRDefault="00044943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22"/>
                <w:szCs w:val="22"/>
                <w:lang w:val="lt-LT" w:eastAsia="ko-KR"/>
              </w:rPr>
            </w:pPr>
            <w:r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>5000</w:t>
            </w:r>
            <w:r w:rsidR="002F0162"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>mAh</w:t>
            </w:r>
            <w:proofErr w:type="spellEnd"/>
            <w:r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 xml:space="preserve"> (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t</w:t>
            </w:r>
            <w:r w:rsidR="002F0162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ipinė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)</w:t>
            </w:r>
          </w:p>
        </w:tc>
      </w:tr>
      <w:tr w:rsidR="00044943" w:rsidRPr="00B1708C" w14:paraId="45EA2A07" w14:textId="77777777" w:rsidTr="00044943">
        <w:trPr>
          <w:trHeight w:val="454"/>
        </w:trPr>
        <w:tc>
          <w:tcPr>
            <w:tcW w:w="8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CED7" w14:textId="77777777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E27A" w14:textId="4734049E" w:rsidR="00044943" w:rsidRPr="00B1708C" w:rsidRDefault="00044943">
            <w:pPr>
              <w:spacing w:after="160" w:line="256" w:lineRule="auto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*</w:t>
            </w:r>
            <w:r w:rsidR="0049702C"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 xml:space="preserve">Tipinė talpa nustatyta trečiųjų šalių laboratorijos sąlygomis. Tipinė talpa yra numatomas talpios vidurkis, atsižvelgiant į baterijų talpos nukrypimus pagal IEC 61960 standartą testuotuose baterijų pavyzdžiuose.. Nurodyta (minimali) talpa yra 4905 </w:t>
            </w:r>
            <w:proofErr w:type="spellStart"/>
            <w:r w:rsidR="0049702C"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mAh</w:t>
            </w:r>
            <w:proofErr w:type="spellEnd"/>
            <w:r w:rsidR="0049702C"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. Tikroji baterijos ištvermė gali skirtis priklausomai nuo ryšio aplinkos, naudojimo įpročių ir kitų faktorių</w:t>
            </w:r>
            <w:r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.</w:t>
            </w:r>
          </w:p>
        </w:tc>
      </w:tr>
      <w:tr w:rsidR="00044943" w:rsidRPr="00B1708C" w14:paraId="205853E0" w14:textId="77777777" w:rsidTr="00044943">
        <w:trPr>
          <w:trHeight w:val="55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435B21DD" w14:textId="77777777" w:rsidR="00044943" w:rsidRPr="00B1708C" w:rsidRDefault="00044943">
            <w:pPr>
              <w:spacing w:after="160" w:line="256" w:lineRule="auto"/>
              <w:jc w:val="center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OS</w:t>
            </w:r>
            <w:r w:rsidRPr="00B1708C">
              <w:rPr>
                <w:rFonts w:asciiTheme="minorHAnsi" w:eastAsia="Calibri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  <w:t> </w:t>
            </w:r>
            <w:r w:rsidRPr="00B1708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F487" w14:textId="77777777" w:rsidR="00044943" w:rsidRPr="00B1708C" w:rsidRDefault="00044943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22"/>
                <w:szCs w:val="22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>Android 14</w:t>
            </w:r>
          </w:p>
          <w:p w14:paraId="16679F56" w14:textId="77777777" w:rsidR="00044943" w:rsidRPr="00B1708C" w:rsidRDefault="00044943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22"/>
                <w:szCs w:val="22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>One UI 6.1</w:t>
            </w:r>
          </w:p>
        </w:tc>
      </w:tr>
      <w:tr w:rsidR="00044943" w:rsidRPr="00B1708C" w14:paraId="0F664C75" w14:textId="77777777" w:rsidTr="00044943">
        <w:trPr>
          <w:trHeight w:val="1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796839A" w14:textId="47734F55" w:rsidR="00044943" w:rsidRPr="00B1708C" w:rsidRDefault="005D33E7">
            <w:pPr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Saugumas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92DE" w14:textId="77777777" w:rsidR="00044943" w:rsidRPr="00B1708C" w:rsidRDefault="00044943">
            <w:pPr>
              <w:spacing w:after="160" w:line="256" w:lineRule="auto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Samsung </w:t>
            </w:r>
            <w:proofErr w:type="spellStart"/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Knox</w:t>
            </w:r>
            <w:proofErr w:type="spellEnd"/>
          </w:p>
        </w:tc>
      </w:tr>
    </w:tbl>
    <w:p w14:paraId="628FD701" w14:textId="77777777" w:rsidR="00044943" w:rsidRPr="00B1708C" w:rsidRDefault="00044943" w:rsidP="00044943">
      <w:pPr>
        <w:adjustRightInd w:val="0"/>
        <w:rPr>
          <w:rFonts w:ascii="Arial" w:eastAsia="Malgun Gothic" w:hAnsi="Arial" w:cs="Arial"/>
          <w:bCs/>
          <w:color w:val="000000"/>
          <w:kern w:val="2"/>
          <w:sz w:val="20"/>
          <w:szCs w:val="20"/>
          <w:lang w:val="lt-LT" w:eastAsia="ko-KR"/>
        </w:rPr>
      </w:pPr>
    </w:p>
    <w:p w14:paraId="43382B89" w14:textId="1A0B1861" w:rsidR="00044943" w:rsidRPr="00B1708C" w:rsidRDefault="00044943" w:rsidP="00044943">
      <w:pPr>
        <w:spacing w:after="160" w:line="256" w:lineRule="auto"/>
        <w:rPr>
          <w:rFonts w:ascii="Arial" w:eastAsia="Malgun Gothic" w:hAnsi="Arial" w:cs="Arial"/>
          <w:bCs/>
          <w:color w:val="000000"/>
          <w:lang w:val="lt-LT"/>
        </w:rPr>
      </w:pPr>
    </w:p>
    <w:tbl>
      <w:tblPr>
        <w:tblW w:w="8925" w:type="dxa"/>
        <w:tblLayout w:type="fixed"/>
        <w:tblLook w:val="04A0" w:firstRow="1" w:lastRow="0" w:firstColumn="1" w:lastColumn="0" w:noHBand="0" w:noVBand="1"/>
      </w:tblPr>
      <w:tblGrid>
        <w:gridCol w:w="1412"/>
        <w:gridCol w:w="7513"/>
      </w:tblGrid>
      <w:tr w:rsidR="00044943" w:rsidRPr="00B1708C" w14:paraId="40B978DE" w14:textId="77777777" w:rsidTr="005D33E7">
        <w:tc>
          <w:tcPr>
            <w:tcW w:w="89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hideMark/>
          </w:tcPr>
          <w:p w14:paraId="5CEB0F5E" w14:textId="77777777" w:rsidR="00044943" w:rsidRPr="00B1708C" w:rsidRDefault="00044943">
            <w:pPr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</w:pPr>
            <w:proofErr w:type="spellStart"/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Galaxy</w:t>
            </w:r>
            <w:proofErr w:type="spellEnd"/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 xml:space="preserve"> A35 5G</w:t>
            </w:r>
          </w:p>
        </w:tc>
      </w:tr>
      <w:tr w:rsidR="005D33E7" w:rsidRPr="00B1708C" w14:paraId="0B77700F" w14:textId="77777777" w:rsidTr="005D33E7"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65EAFD2" w14:textId="2593EBF6" w:rsidR="005D33E7" w:rsidRPr="00B1708C" w:rsidRDefault="005D33E7" w:rsidP="005D33E7">
            <w:pPr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iCs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iCs/>
                <w:color w:val="FFFFFF" w:themeColor="background1"/>
                <w:sz w:val="18"/>
                <w:szCs w:val="18"/>
                <w:lang w:val="lt-LT"/>
              </w:rPr>
              <w:t>Ekranas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68C2" w14:textId="77777777" w:rsidR="005D33E7" w:rsidRPr="00B1708C" w:rsidRDefault="005D33E7" w:rsidP="005D33E7">
            <w:pPr>
              <w:spacing w:after="160" w:line="256" w:lineRule="auto"/>
              <w:rPr>
                <w:rFonts w:eastAsia="Calibri"/>
                <w:lang w:val="lt-LT" w:eastAsia="ko-KR"/>
              </w:rPr>
            </w:pPr>
            <w:r w:rsidRPr="00B1708C">
              <w:rPr>
                <w:rFonts w:asciiTheme="minorHAnsi" w:eastAsia="Calibri" w:hAnsiTheme="minorHAnsi" w:cstheme="minorHAnsi"/>
                <w:iCs/>
                <w:sz w:val="18"/>
                <w:szCs w:val="18"/>
                <w:lang w:val="lt-LT"/>
              </w:rPr>
              <w:t>6,6 colio FHD+ raiškos</w:t>
            </w:r>
          </w:p>
          <w:p w14:paraId="6D6EB729" w14:textId="77777777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„</w:t>
            </w:r>
            <w:proofErr w:type="spellStart"/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Super</w:t>
            </w:r>
            <w:proofErr w:type="spellEnd"/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 xml:space="preserve"> AMOLED“ technologija</w:t>
            </w:r>
          </w:p>
          <w:p w14:paraId="4B75942F" w14:textId="77777777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Iki 120 Hz atsinaujinimo dažnis</w:t>
            </w:r>
          </w:p>
          <w:p w14:paraId="0748B5E9" w14:textId="78C2A550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„</w:t>
            </w:r>
            <w:proofErr w:type="spellStart"/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Vision</w:t>
            </w:r>
            <w:proofErr w:type="spellEnd"/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Booster</w:t>
            </w:r>
            <w:proofErr w:type="spellEnd"/>
            <w:r w:rsidRPr="00B1708C">
              <w:rPr>
                <w:rFonts w:asciiTheme="minorHAnsi" w:eastAsiaTheme="minorEastAsia" w:hAnsiTheme="minorHAnsi" w:cstheme="minorHAnsi"/>
                <w:iCs/>
                <w:sz w:val="18"/>
                <w:szCs w:val="18"/>
                <w:lang w:val="lt-LT"/>
              </w:rPr>
              <w:t>“ technologija</w:t>
            </w:r>
          </w:p>
        </w:tc>
      </w:tr>
      <w:tr w:rsidR="005D33E7" w:rsidRPr="00B1708C" w14:paraId="15BE1D09" w14:textId="77777777" w:rsidTr="005D33E7"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29CB6" w14:textId="77777777" w:rsidR="005D33E7" w:rsidRPr="00B1708C" w:rsidRDefault="005D33E7" w:rsidP="005D33E7">
            <w:pPr>
              <w:spacing w:line="256" w:lineRule="auto"/>
              <w:rPr>
                <w:rFonts w:asciiTheme="minorHAnsi" w:eastAsia="Calibri" w:hAnsiTheme="minorHAnsi" w:cstheme="minorHAnsi"/>
                <w:b/>
                <w:iCs/>
                <w:color w:val="FFFFFF" w:themeColor="background1"/>
                <w:sz w:val="18"/>
                <w:szCs w:val="18"/>
                <w:lang w:val="lt-L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9A80" w14:textId="48C21400" w:rsidR="005D33E7" w:rsidRPr="00B1708C" w:rsidRDefault="005D33E7" w:rsidP="005D33E7">
            <w:pPr>
              <w:shd w:val="clear" w:color="auto" w:fill="FFFFFF" w:themeFill="background1"/>
              <w:spacing w:after="160" w:line="256" w:lineRule="auto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* Matuota įstrižai, ekrano dydis siekia 6,6 colio iš viso ir 6,4 colio skaičiuojant su suapvalintais kampais; tikrasis naudingas plotas yra mažesnis dėl suapvalintų kampų ir kameros išpjovos</w:t>
            </w:r>
          </w:p>
        </w:tc>
      </w:tr>
      <w:tr w:rsidR="00044943" w:rsidRPr="00B1708C" w14:paraId="75406D47" w14:textId="77777777" w:rsidTr="005D33E7">
        <w:trPr>
          <w:trHeight w:val="277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96C9F09" w14:textId="2838A7A6" w:rsidR="00044943" w:rsidRPr="00B1708C" w:rsidRDefault="005D33E7">
            <w:pPr>
              <w:spacing w:after="160" w:line="256" w:lineRule="auto"/>
              <w:jc w:val="center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 xml:space="preserve">Matmenys ir svoris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0206" w14:textId="73B87AF6" w:rsidR="00044943" w:rsidRPr="00B1708C" w:rsidRDefault="00044943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8"/>
                <w:szCs w:val="18"/>
                <w:lang w:val="lt-LT" w:eastAsia="ko-KR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161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,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7 x 78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,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0 x 8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,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2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mm, 209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g</w:t>
            </w:r>
          </w:p>
        </w:tc>
      </w:tr>
      <w:tr w:rsidR="00044943" w:rsidRPr="00B1708C" w14:paraId="25C6FAD8" w14:textId="77777777" w:rsidTr="005D33E7">
        <w:trPr>
          <w:trHeight w:val="879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43AD3979" w14:textId="0DB6C154" w:rsidR="00044943" w:rsidRPr="00B1708C" w:rsidRDefault="005D33E7">
            <w:pPr>
              <w:spacing w:after="160" w:line="256" w:lineRule="auto"/>
              <w:jc w:val="center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K</w:t>
            </w:r>
            <w:r w:rsidR="00044943"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amera</w:t>
            </w:r>
            <w:r w:rsidR="00044943" w:rsidRPr="00B1708C">
              <w:rPr>
                <w:rFonts w:asciiTheme="minorHAnsi" w:eastAsia="Calibri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  <w:t> </w:t>
            </w:r>
            <w:r w:rsidR="00044943" w:rsidRPr="00B1708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BA63" w14:textId="0F9EE6DB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8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MP 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itin plataus kampo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k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amera</w:t>
            </w:r>
          </w:p>
          <w:p w14:paraId="1D35433B" w14:textId="77777777" w:rsidR="00044943" w:rsidRPr="00B1708C" w:rsidRDefault="00044943" w:rsidP="00044943">
            <w:pPr>
              <w:numPr>
                <w:ilvl w:val="0"/>
                <w:numId w:val="6"/>
              </w:numPr>
              <w:spacing w:line="256" w:lineRule="auto"/>
              <w:contextualSpacing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F2.2</w:t>
            </w:r>
          </w:p>
          <w:p w14:paraId="1F60EB0E" w14:textId="7DACB69A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50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MP 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pagrindinė kamera</w:t>
            </w:r>
          </w:p>
          <w:p w14:paraId="64262989" w14:textId="77777777" w:rsidR="00044943" w:rsidRPr="00B1708C" w:rsidRDefault="00044943" w:rsidP="00044943">
            <w:pPr>
              <w:numPr>
                <w:ilvl w:val="0"/>
                <w:numId w:val="6"/>
              </w:numPr>
              <w:spacing w:line="256" w:lineRule="auto"/>
              <w:contextualSpacing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F1.8, AF, OIS</w:t>
            </w:r>
          </w:p>
          <w:p w14:paraId="2714687A" w14:textId="6E00F104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5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MP </w:t>
            </w:r>
            <w:proofErr w:type="spellStart"/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makro</w:t>
            </w:r>
            <w:proofErr w:type="spellEnd"/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kamera</w:t>
            </w:r>
          </w:p>
          <w:p w14:paraId="54F8E5E3" w14:textId="77777777" w:rsidR="00044943" w:rsidRPr="00B1708C" w:rsidRDefault="00044943" w:rsidP="00044943">
            <w:pPr>
              <w:numPr>
                <w:ilvl w:val="0"/>
                <w:numId w:val="6"/>
              </w:numPr>
              <w:spacing w:line="256" w:lineRule="auto"/>
              <w:contextualSpacing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F2.4</w:t>
            </w:r>
          </w:p>
          <w:p w14:paraId="6B981FF0" w14:textId="184A3D38" w:rsidR="00044943" w:rsidRPr="00B1708C" w:rsidRDefault="00044943">
            <w:pPr>
              <w:spacing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13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 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MP </w:t>
            </w:r>
            <w:r w:rsidR="005D33E7"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priekinė kamera</w:t>
            </w:r>
          </w:p>
          <w:p w14:paraId="460E184C" w14:textId="77777777" w:rsidR="00044943" w:rsidRPr="00B1708C" w:rsidRDefault="00044943" w:rsidP="00044943">
            <w:pPr>
              <w:numPr>
                <w:ilvl w:val="0"/>
                <w:numId w:val="6"/>
              </w:numPr>
              <w:spacing w:line="256" w:lineRule="auto"/>
              <w:contextualSpacing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F2.2</w:t>
            </w:r>
          </w:p>
        </w:tc>
      </w:tr>
      <w:tr w:rsidR="005D33E7" w:rsidRPr="00B1708C" w14:paraId="4A437B99" w14:textId="77777777" w:rsidTr="005D33E7">
        <w:trPr>
          <w:trHeight w:val="30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45DBF34B" w14:textId="4236093A" w:rsidR="005D33E7" w:rsidRPr="00B1708C" w:rsidRDefault="005D33E7" w:rsidP="005D33E7">
            <w:pPr>
              <w:spacing w:after="160" w:line="256" w:lineRule="auto"/>
              <w:jc w:val="center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Operatyvioji atmintis ir vidinė talpykla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16D73" w14:textId="77777777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 w:eastAsia="ko-KR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6GB + 128GB</w:t>
            </w:r>
          </w:p>
          <w:p w14:paraId="11A08928" w14:textId="77777777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8GB + 128GB</w:t>
            </w:r>
          </w:p>
          <w:p w14:paraId="56BA75BB" w14:textId="77777777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8GB + 256GB</w:t>
            </w:r>
          </w:p>
        </w:tc>
      </w:tr>
      <w:tr w:rsidR="005D33E7" w:rsidRPr="00B1708C" w14:paraId="1502F810" w14:textId="77777777" w:rsidTr="005D33E7">
        <w:trPr>
          <w:trHeight w:val="345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6F4E" w14:textId="77777777" w:rsidR="005D33E7" w:rsidRPr="00B1708C" w:rsidRDefault="005D33E7" w:rsidP="005D33E7">
            <w:pPr>
              <w:spacing w:line="256" w:lineRule="auto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FCB32" w14:textId="11674812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4"/>
                <w:szCs w:val="22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* Prieinamumas priklauso nuo rinkos. Tikrasis talpyklos dydis gali skirtis priklausomai nuo rinkos, modelio, failo dydžio ir formato.</w:t>
            </w:r>
          </w:p>
        </w:tc>
      </w:tr>
      <w:tr w:rsidR="005D33E7" w:rsidRPr="00B1708C" w14:paraId="58EB12E0" w14:textId="77777777" w:rsidTr="005D33E7">
        <w:trPr>
          <w:trHeight w:val="151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DF32873" w14:textId="0F555528" w:rsidR="005D33E7" w:rsidRPr="00B1708C" w:rsidRDefault="005D33E7" w:rsidP="005D33E7">
            <w:pPr>
              <w:spacing w:after="160" w:line="256" w:lineRule="auto"/>
              <w:jc w:val="center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Baterija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84D0" w14:textId="2BAB6969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22"/>
                <w:szCs w:val="22"/>
                <w:lang w:val="lt-LT" w:eastAsia="ko-KR"/>
              </w:rPr>
            </w:pPr>
            <w:r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 xml:space="preserve">5000 </w:t>
            </w:r>
            <w:proofErr w:type="spellStart"/>
            <w:r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>mAh</w:t>
            </w:r>
            <w:proofErr w:type="spellEnd"/>
            <w:r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 xml:space="preserve"> (</w:t>
            </w:r>
            <w:r w:rsidRPr="00B1708C">
              <w:rPr>
                <w:rFonts w:asciiTheme="minorHAnsi" w:eastAsiaTheme="minorEastAsia" w:hAnsiTheme="minorHAnsi" w:cstheme="minorHAnsi"/>
                <w:sz w:val="18"/>
                <w:szCs w:val="18"/>
                <w:lang w:val="lt-LT"/>
              </w:rPr>
              <w:t>tipinė)</w:t>
            </w:r>
          </w:p>
        </w:tc>
      </w:tr>
      <w:tr w:rsidR="005D33E7" w:rsidRPr="00B1708C" w14:paraId="6ADC178D" w14:textId="77777777" w:rsidTr="005D33E7">
        <w:trPr>
          <w:trHeight w:val="454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0A1E" w14:textId="77777777" w:rsidR="005D33E7" w:rsidRPr="00B1708C" w:rsidRDefault="005D33E7" w:rsidP="005D33E7">
            <w:pPr>
              <w:spacing w:line="256" w:lineRule="auto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0C92" w14:textId="5BE1F45A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 xml:space="preserve">*Tipinė talpa nustatyta trečiųjų šalių laboratorijos sąlygomis. Tipinė talpa yra numatomas talpios vidurkis, atsižvelgiant į baterijų talpos nukrypimus pagal IEC 61960 standartą testuotuose baterijų pavyzdžiuose.. Nurodyta (minimali) talpa yra 4905 </w:t>
            </w:r>
            <w:proofErr w:type="spellStart"/>
            <w:r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mAh</w:t>
            </w:r>
            <w:proofErr w:type="spellEnd"/>
            <w:r w:rsidRPr="00B1708C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  <w:t>. Tikroji baterijos ištvermė gali skirtis priklausomai nuo ryšio aplinkos, naudojimo įpročių ir kitų faktorių.</w:t>
            </w:r>
          </w:p>
        </w:tc>
      </w:tr>
      <w:tr w:rsidR="005D33E7" w:rsidRPr="00B1708C" w14:paraId="79C57F99" w14:textId="77777777" w:rsidTr="005D33E7">
        <w:trPr>
          <w:trHeight w:val="552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18806640" w14:textId="77777777" w:rsidR="005D33E7" w:rsidRPr="00B1708C" w:rsidRDefault="005D33E7" w:rsidP="005D33E7">
            <w:pPr>
              <w:spacing w:after="160" w:line="256" w:lineRule="auto"/>
              <w:jc w:val="center"/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lastRenderedPageBreak/>
              <w:t>OS</w:t>
            </w:r>
            <w:r w:rsidRPr="00B1708C">
              <w:rPr>
                <w:rFonts w:asciiTheme="minorHAnsi" w:eastAsia="Calibri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  <w:t> </w:t>
            </w:r>
            <w:r w:rsidRPr="00B1708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59A1" w14:textId="77777777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22"/>
                <w:szCs w:val="22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>Android 14</w:t>
            </w:r>
          </w:p>
          <w:p w14:paraId="637E27B0" w14:textId="77777777" w:rsidR="005D33E7" w:rsidRPr="00B1708C" w:rsidRDefault="005D33E7" w:rsidP="005D33E7">
            <w:pPr>
              <w:spacing w:after="160" w:line="256" w:lineRule="auto"/>
              <w:rPr>
                <w:rFonts w:asciiTheme="minorHAnsi" w:eastAsiaTheme="minorEastAsia" w:hAnsiTheme="minorHAnsi" w:cstheme="minorHAnsi"/>
                <w:sz w:val="22"/>
                <w:szCs w:val="22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sz w:val="18"/>
                <w:szCs w:val="18"/>
                <w:lang w:val="lt-LT"/>
              </w:rPr>
              <w:t>One UI 6.1</w:t>
            </w:r>
          </w:p>
        </w:tc>
      </w:tr>
      <w:tr w:rsidR="005D33E7" w:rsidRPr="00B1708C" w14:paraId="6E80D413" w14:textId="77777777" w:rsidTr="005D33E7">
        <w:trPr>
          <w:trHeight w:val="179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8BD09AB" w14:textId="1FED561C" w:rsidR="005D33E7" w:rsidRPr="00B1708C" w:rsidRDefault="005D33E7" w:rsidP="005D33E7">
            <w:pPr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18"/>
                <w:szCs w:val="18"/>
                <w:lang w:val="lt-LT"/>
              </w:rPr>
              <w:t>Saugumas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CF9" w14:textId="77777777" w:rsidR="005D33E7" w:rsidRPr="00B1708C" w:rsidRDefault="005D33E7" w:rsidP="005D33E7">
            <w:pPr>
              <w:spacing w:after="160" w:line="256" w:lineRule="auto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val="lt-LT"/>
              </w:rPr>
            </w:pPr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 xml:space="preserve">Samsung </w:t>
            </w:r>
            <w:proofErr w:type="spellStart"/>
            <w:r w:rsidRPr="00B1708C">
              <w:rPr>
                <w:rFonts w:asciiTheme="minorHAnsi" w:eastAsiaTheme="minorEastAsia" w:hAnsiTheme="minorHAnsi" w:cstheme="minorHAnsi"/>
                <w:sz w:val="18"/>
                <w:szCs w:val="22"/>
                <w:lang w:val="lt-LT"/>
              </w:rPr>
              <w:t>Knox</w:t>
            </w:r>
            <w:proofErr w:type="spellEnd"/>
          </w:p>
        </w:tc>
      </w:tr>
    </w:tbl>
    <w:p w14:paraId="5F54D469" w14:textId="7075A5D8" w:rsidR="00044943" w:rsidRPr="00B1708C" w:rsidRDefault="00044943" w:rsidP="00044943">
      <w:pPr>
        <w:adjustRightInd w:val="0"/>
        <w:rPr>
          <w:rFonts w:ascii="Arial" w:eastAsia="Malgun Gothic" w:hAnsi="Arial" w:cs="Arial"/>
          <w:bCs/>
          <w:color w:val="000000"/>
          <w:kern w:val="2"/>
          <w:sz w:val="16"/>
          <w:szCs w:val="20"/>
          <w:lang w:val="lt-LT" w:eastAsia="ko-KR"/>
        </w:rPr>
      </w:pPr>
      <w:r w:rsidRPr="00B1708C">
        <w:rPr>
          <w:rFonts w:ascii="Arial" w:eastAsia="Malgun Gothic" w:hAnsi="Arial" w:cs="Arial"/>
          <w:bCs/>
          <w:color w:val="000000"/>
          <w:sz w:val="16"/>
          <w:lang w:val="lt-LT"/>
        </w:rPr>
        <w:t>*</w:t>
      </w:r>
      <w:r w:rsidR="007051B9" w:rsidRPr="00B1708C">
        <w:rPr>
          <w:rFonts w:ascii="Arial" w:eastAsia="Malgun Gothic" w:hAnsi="Arial" w:cs="Arial"/>
          <w:bCs/>
          <w:color w:val="000000"/>
          <w:sz w:val="16"/>
          <w:lang w:val="lt-LT"/>
        </w:rPr>
        <w:t>Specifikacijos gali skirtis priklausomai nuo rinkos</w:t>
      </w:r>
    </w:p>
    <w:p w14:paraId="27328F63" w14:textId="4697270B" w:rsidR="004E5AB7" w:rsidRPr="00B1708C" w:rsidRDefault="00044943" w:rsidP="00B96BEA">
      <w:pPr>
        <w:adjustRightInd w:val="0"/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B1708C">
        <w:rPr>
          <w:rFonts w:ascii="Arial" w:eastAsia="Malgun Gothic" w:hAnsi="Arial" w:cs="Arial"/>
          <w:bCs/>
          <w:color w:val="000000"/>
          <w:sz w:val="16"/>
          <w:lang w:val="lt-LT"/>
        </w:rPr>
        <w:t>*</w:t>
      </w:r>
      <w:r w:rsidR="00B96BEA" w:rsidRPr="00B1708C">
        <w:rPr>
          <w:lang w:val="lt-LT"/>
        </w:rPr>
        <w:t xml:space="preserve"> </w:t>
      </w:r>
      <w:r w:rsidR="00B96BEA" w:rsidRPr="00B1708C">
        <w:rPr>
          <w:rFonts w:ascii="Arial" w:eastAsia="Malgun Gothic" w:hAnsi="Arial" w:cs="Arial"/>
          <w:bCs/>
          <w:color w:val="000000"/>
          <w:sz w:val="16"/>
          <w:lang w:val="lt-LT"/>
        </w:rPr>
        <w:t>Visas funkcionalumas, savybės, specifikacijos ir kita produkto informacija šiame dokumente, įskaitant, bet neapsiribojant privalumais, dizainu, kainas, komponentus, veikimą, prieinamumą ir produkto galimybes be papildomo įspėjimo.</w:t>
      </w:r>
    </w:p>
    <w:sectPr w:rsidR="004E5AB7" w:rsidRPr="00B1708C">
      <w:endnotePr>
        <w:numFmt w:val="decimal"/>
      </w:endnote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12C23" w14:textId="77777777" w:rsidR="00F63FB6" w:rsidRDefault="00F63FB6" w:rsidP="004E447A">
      <w:r>
        <w:separator/>
      </w:r>
    </w:p>
  </w:endnote>
  <w:endnote w:type="continuationSeparator" w:id="0">
    <w:p w14:paraId="0C009B90" w14:textId="77777777" w:rsidR="00F63FB6" w:rsidRDefault="00F63FB6" w:rsidP="004E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5D3C" w14:textId="77777777" w:rsidR="00F63FB6" w:rsidRDefault="00F63FB6" w:rsidP="004E447A">
      <w:r>
        <w:separator/>
      </w:r>
    </w:p>
  </w:footnote>
  <w:footnote w:type="continuationSeparator" w:id="0">
    <w:p w14:paraId="66C6DA6B" w14:textId="77777777" w:rsidR="00F63FB6" w:rsidRDefault="00F63FB6" w:rsidP="004E4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C150D"/>
    <w:multiLevelType w:val="hybridMultilevel"/>
    <w:tmpl w:val="34062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601A8"/>
    <w:multiLevelType w:val="hybridMultilevel"/>
    <w:tmpl w:val="8CB480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7D3346"/>
    <w:multiLevelType w:val="hybridMultilevel"/>
    <w:tmpl w:val="34785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80452"/>
    <w:multiLevelType w:val="hybridMultilevel"/>
    <w:tmpl w:val="2398F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A37E6"/>
    <w:multiLevelType w:val="hybridMultilevel"/>
    <w:tmpl w:val="E8BA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D50AF"/>
    <w:multiLevelType w:val="hybridMultilevel"/>
    <w:tmpl w:val="EBB66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023218">
    <w:abstractNumId w:val="5"/>
  </w:num>
  <w:num w:numId="2" w16cid:durableId="998968910">
    <w:abstractNumId w:val="0"/>
  </w:num>
  <w:num w:numId="3" w16cid:durableId="1907446225">
    <w:abstractNumId w:val="4"/>
  </w:num>
  <w:num w:numId="4" w16cid:durableId="1454321156">
    <w:abstractNumId w:val="1"/>
  </w:num>
  <w:num w:numId="5" w16cid:durableId="1865360399">
    <w:abstractNumId w:val="3"/>
  </w:num>
  <w:num w:numId="6" w16cid:durableId="1450780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16F"/>
    <w:rsid w:val="0000757B"/>
    <w:rsid w:val="00016AA3"/>
    <w:rsid w:val="0002511D"/>
    <w:rsid w:val="0003758E"/>
    <w:rsid w:val="00044943"/>
    <w:rsid w:val="00051DD4"/>
    <w:rsid w:val="00055EFB"/>
    <w:rsid w:val="0007080F"/>
    <w:rsid w:val="00070C26"/>
    <w:rsid w:val="00077730"/>
    <w:rsid w:val="00087B40"/>
    <w:rsid w:val="000916C9"/>
    <w:rsid w:val="000A3C66"/>
    <w:rsid w:val="000B6C2F"/>
    <w:rsid w:val="000B7DF4"/>
    <w:rsid w:val="000C24BD"/>
    <w:rsid w:val="000C672D"/>
    <w:rsid w:val="000E794A"/>
    <w:rsid w:val="00100E6E"/>
    <w:rsid w:val="00104CFB"/>
    <w:rsid w:val="00105471"/>
    <w:rsid w:val="001316C7"/>
    <w:rsid w:val="00134127"/>
    <w:rsid w:val="0014082A"/>
    <w:rsid w:val="00163A4E"/>
    <w:rsid w:val="00171972"/>
    <w:rsid w:val="00177902"/>
    <w:rsid w:val="001808A3"/>
    <w:rsid w:val="00187066"/>
    <w:rsid w:val="001A0B8D"/>
    <w:rsid w:val="001A67A2"/>
    <w:rsid w:val="001D5290"/>
    <w:rsid w:val="001D5C62"/>
    <w:rsid w:val="001D75DA"/>
    <w:rsid w:val="00211635"/>
    <w:rsid w:val="0021418D"/>
    <w:rsid w:val="00220A7E"/>
    <w:rsid w:val="00226B34"/>
    <w:rsid w:val="0023763D"/>
    <w:rsid w:val="0024270E"/>
    <w:rsid w:val="00246B94"/>
    <w:rsid w:val="00247B26"/>
    <w:rsid w:val="00261237"/>
    <w:rsid w:val="00264CB3"/>
    <w:rsid w:val="00271733"/>
    <w:rsid w:val="00277935"/>
    <w:rsid w:val="00282EE8"/>
    <w:rsid w:val="00295EBE"/>
    <w:rsid w:val="00295FC7"/>
    <w:rsid w:val="00296897"/>
    <w:rsid w:val="002C7CC7"/>
    <w:rsid w:val="002D01D7"/>
    <w:rsid w:val="002D6C90"/>
    <w:rsid w:val="002F0162"/>
    <w:rsid w:val="002F1DF9"/>
    <w:rsid w:val="003061FD"/>
    <w:rsid w:val="00306DF4"/>
    <w:rsid w:val="0030799C"/>
    <w:rsid w:val="00313759"/>
    <w:rsid w:val="003215D2"/>
    <w:rsid w:val="003332DB"/>
    <w:rsid w:val="00334753"/>
    <w:rsid w:val="00351FCA"/>
    <w:rsid w:val="00353146"/>
    <w:rsid w:val="003543A3"/>
    <w:rsid w:val="00367119"/>
    <w:rsid w:val="003675F3"/>
    <w:rsid w:val="00372464"/>
    <w:rsid w:val="00390073"/>
    <w:rsid w:val="00391F30"/>
    <w:rsid w:val="003954FA"/>
    <w:rsid w:val="003970F7"/>
    <w:rsid w:val="003B0C1C"/>
    <w:rsid w:val="003C198D"/>
    <w:rsid w:val="003C573E"/>
    <w:rsid w:val="003D5233"/>
    <w:rsid w:val="0041299F"/>
    <w:rsid w:val="00414064"/>
    <w:rsid w:val="0042344E"/>
    <w:rsid w:val="00425A03"/>
    <w:rsid w:val="004273C5"/>
    <w:rsid w:val="0043316F"/>
    <w:rsid w:val="00435D9C"/>
    <w:rsid w:val="0043668C"/>
    <w:rsid w:val="0043720A"/>
    <w:rsid w:val="0044121D"/>
    <w:rsid w:val="00451FBA"/>
    <w:rsid w:val="00465FCC"/>
    <w:rsid w:val="00470FC2"/>
    <w:rsid w:val="004766CA"/>
    <w:rsid w:val="0048318A"/>
    <w:rsid w:val="00484E41"/>
    <w:rsid w:val="00486E3B"/>
    <w:rsid w:val="00487589"/>
    <w:rsid w:val="0049129C"/>
    <w:rsid w:val="0049702C"/>
    <w:rsid w:val="004A13BB"/>
    <w:rsid w:val="004C6189"/>
    <w:rsid w:val="004C668E"/>
    <w:rsid w:val="004D509E"/>
    <w:rsid w:val="004E447A"/>
    <w:rsid w:val="004E5AB7"/>
    <w:rsid w:val="004F283B"/>
    <w:rsid w:val="004F49A8"/>
    <w:rsid w:val="004F5DF2"/>
    <w:rsid w:val="004F60E9"/>
    <w:rsid w:val="005025F6"/>
    <w:rsid w:val="005052D0"/>
    <w:rsid w:val="005065BE"/>
    <w:rsid w:val="00517FE1"/>
    <w:rsid w:val="00535E13"/>
    <w:rsid w:val="00545EE8"/>
    <w:rsid w:val="00546C45"/>
    <w:rsid w:val="00550913"/>
    <w:rsid w:val="005539D6"/>
    <w:rsid w:val="00557C53"/>
    <w:rsid w:val="00566B04"/>
    <w:rsid w:val="00574B1E"/>
    <w:rsid w:val="00586604"/>
    <w:rsid w:val="0059392F"/>
    <w:rsid w:val="005A59BA"/>
    <w:rsid w:val="005A797A"/>
    <w:rsid w:val="005B108E"/>
    <w:rsid w:val="005B3545"/>
    <w:rsid w:val="005B7F0F"/>
    <w:rsid w:val="005C5D92"/>
    <w:rsid w:val="005D33E7"/>
    <w:rsid w:val="005D64E3"/>
    <w:rsid w:val="005D6705"/>
    <w:rsid w:val="005E2489"/>
    <w:rsid w:val="006009A6"/>
    <w:rsid w:val="00611157"/>
    <w:rsid w:val="00612010"/>
    <w:rsid w:val="006312E8"/>
    <w:rsid w:val="006349D8"/>
    <w:rsid w:val="00654368"/>
    <w:rsid w:val="006609E4"/>
    <w:rsid w:val="00660CC5"/>
    <w:rsid w:val="00666953"/>
    <w:rsid w:val="006679BA"/>
    <w:rsid w:val="00671450"/>
    <w:rsid w:val="0067305E"/>
    <w:rsid w:val="00682538"/>
    <w:rsid w:val="006847D0"/>
    <w:rsid w:val="00690FF5"/>
    <w:rsid w:val="00691699"/>
    <w:rsid w:val="006940B6"/>
    <w:rsid w:val="006A3C69"/>
    <w:rsid w:val="006B3BE7"/>
    <w:rsid w:val="006C1AA9"/>
    <w:rsid w:val="006C5D63"/>
    <w:rsid w:val="006C6497"/>
    <w:rsid w:val="006D5A7C"/>
    <w:rsid w:val="006E1667"/>
    <w:rsid w:val="006E7362"/>
    <w:rsid w:val="006F5B0B"/>
    <w:rsid w:val="006F7D49"/>
    <w:rsid w:val="00704D0F"/>
    <w:rsid w:val="007051B9"/>
    <w:rsid w:val="0071067B"/>
    <w:rsid w:val="007111CC"/>
    <w:rsid w:val="00714ED6"/>
    <w:rsid w:val="007365A0"/>
    <w:rsid w:val="00744C9C"/>
    <w:rsid w:val="00746915"/>
    <w:rsid w:val="00763E28"/>
    <w:rsid w:val="007649F7"/>
    <w:rsid w:val="007728A7"/>
    <w:rsid w:val="00773013"/>
    <w:rsid w:val="00774857"/>
    <w:rsid w:val="007879D7"/>
    <w:rsid w:val="0079708F"/>
    <w:rsid w:val="0079737D"/>
    <w:rsid w:val="007A5950"/>
    <w:rsid w:val="007B4322"/>
    <w:rsid w:val="007B608F"/>
    <w:rsid w:val="007D0CF8"/>
    <w:rsid w:val="007D1712"/>
    <w:rsid w:val="007D770F"/>
    <w:rsid w:val="007E11AF"/>
    <w:rsid w:val="007E19B7"/>
    <w:rsid w:val="007F07EB"/>
    <w:rsid w:val="007F56C1"/>
    <w:rsid w:val="007F64E7"/>
    <w:rsid w:val="00800EE9"/>
    <w:rsid w:val="00806EF9"/>
    <w:rsid w:val="0082615F"/>
    <w:rsid w:val="00837A29"/>
    <w:rsid w:val="008451E5"/>
    <w:rsid w:val="0085006C"/>
    <w:rsid w:val="008526D7"/>
    <w:rsid w:val="00853376"/>
    <w:rsid w:val="008545BA"/>
    <w:rsid w:val="00883F5C"/>
    <w:rsid w:val="008926E2"/>
    <w:rsid w:val="0089464D"/>
    <w:rsid w:val="008A29F5"/>
    <w:rsid w:val="008A3576"/>
    <w:rsid w:val="008A479B"/>
    <w:rsid w:val="008B2BD5"/>
    <w:rsid w:val="008B4041"/>
    <w:rsid w:val="008B4C2B"/>
    <w:rsid w:val="008D1E3E"/>
    <w:rsid w:val="008D33A7"/>
    <w:rsid w:val="008E1432"/>
    <w:rsid w:val="008E2142"/>
    <w:rsid w:val="008E2443"/>
    <w:rsid w:val="008F39CD"/>
    <w:rsid w:val="008F69EB"/>
    <w:rsid w:val="00905979"/>
    <w:rsid w:val="00910ADF"/>
    <w:rsid w:val="0091484E"/>
    <w:rsid w:val="0092500B"/>
    <w:rsid w:val="009304D2"/>
    <w:rsid w:val="00932D6D"/>
    <w:rsid w:val="00933D97"/>
    <w:rsid w:val="009403DF"/>
    <w:rsid w:val="00942600"/>
    <w:rsid w:val="00945084"/>
    <w:rsid w:val="00960724"/>
    <w:rsid w:val="009677BC"/>
    <w:rsid w:val="009735AF"/>
    <w:rsid w:val="00987E81"/>
    <w:rsid w:val="0099127E"/>
    <w:rsid w:val="00993B15"/>
    <w:rsid w:val="009A1967"/>
    <w:rsid w:val="009C41AD"/>
    <w:rsid w:val="009C41D7"/>
    <w:rsid w:val="009C4C8B"/>
    <w:rsid w:val="009D5031"/>
    <w:rsid w:val="009E4BDE"/>
    <w:rsid w:val="009F3422"/>
    <w:rsid w:val="00A10CA4"/>
    <w:rsid w:val="00A141F4"/>
    <w:rsid w:val="00A20F62"/>
    <w:rsid w:val="00A30513"/>
    <w:rsid w:val="00A35667"/>
    <w:rsid w:val="00A47F0A"/>
    <w:rsid w:val="00A52E73"/>
    <w:rsid w:val="00A53DD5"/>
    <w:rsid w:val="00A54FE2"/>
    <w:rsid w:val="00A5539A"/>
    <w:rsid w:val="00A574C6"/>
    <w:rsid w:val="00A6134C"/>
    <w:rsid w:val="00A72411"/>
    <w:rsid w:val="00A77DDC"/>
    <w:rsid w:val="00A80B21"/>
    <w:rsid w:val="00A834F1"/>
    <w:rsid w:val="00A85974"/>
    <w:rsid w:val="00A86FB5"/>
    <w:rsid w:val="00AA177B"/>
    <w:rsid w:val="00AA4BDB"/>
    <w:rsid w:val="00AA7353"/>
    <w:rsid w:val="00AB0539"/>
    <w:rsid w:val="00AD1044"/>
    <w:rsid w:val="00AE1421"/>
    <w:rsid w:val="00AE1B46"/>
    <w:rsid w:val="00AE3CE5"/>
    <w:rsid w:val="00AE5EA8"/>
    <w:rsid w:val="00AF0272"/>
    <w:rsid w:val="00AF067F"/>
    <w:rsid w:val="00AF1670"/>
    <w:rsid w:val="00AF2ADF"/>
    <w:rsid w:val="00AF6F1C"/>
    <w:rsid w:val="00B10D61"/>
    <w:rsid w:val="00B121AB"/>
    <w:rsid w:val="00B1546E"/>
    <w:rsid w:val="00B1708C"/>
    <w:rsid w:val="00B269DC"/>
    <w:rsid w:val="00B348D5"/>
    <w:rsid w:val="00B34E75"/>
    <w:rsid w:val="00B35849"/>
    <w:rsid w:val="00B36B80"/>
    <w:rsid w:val="00B40D4A"/>
    <w:rsid w:val="00B46FFD"/>
    <w:rsid w:val="00B51828"/>
    <w:rsid w:val="00B56B07"/>
    <w:rsid w:val="00B60361"/>
    <w:rsid w:val="00B61A09"/>
    <w:rsid w:val="00B61A7E"/>
    <w:rsid w:val="00B67EE1"/>
    <w:rsid w:val="00B71716"/>
    <w:rsid w:val="00B74E63"/>
    <w:rsid w:val="00B77D53"/>
    <w:rsid w:val="00B77E0A"/>
    <w:rsid w:val="00B85794"/>
    <w:rsid w:val="00B96BEA"/>
    <w:rsid w:val="00B96C73"/>
    <w:rsid w:val="00B97500"/>
    <w:rsid w:val="00BA1F27"/>
    <w:rsid w:val="00BC07DD"/>
    <w:rsid w:val="00BC4990"/>
    <w:rsid w:val="00BC7F98"/>
    <w:rsid w:val="00BE20C0"/>
    <w:rsid w:val="00BE325C"/>
    <w:rsid w:val="00BF7FE5"/>
    <w:rsid w:val="00C00044"/>
    <w:rsid w:val="00C14CBF"/>
    <w:rsid w:val="00C157CD"/>
    <w:rsid w:val="00C15D11"/>
    <w:rsid w:val="00C30E3A"/>
    <w:rsid w:val="00C42404"/>
    <w:rsid w:val="00C44DD3"/>
    <w:rsid w:val="00C46FCA"/>
    <w:rsid w:val="00C5511E"/>
    <w:rsid w:val="00C63486"/>
    <w:rsid w:val="00C7416D"/>
    <w:rsid w:val="00C74EC1"/>
    <w:rsid w:val="00C9402D"/>
    <w:rsid w:val="00CA0D2A"/>
    <w:rsid w:val="00CA5246"/>
    <w:rsid w:val="00CD4CE2"/>
    <w:rsid w:val="00CE4C9A"/>
    <w:rsid w:val="00CF0BFC"/>
    <w:rsid w:val="00D014D6"/>
    <w:rsid w:val="00D06D0E"/>
    <w:rsid w:val="00D2283D"/>
    <w:rsid w:val="00D23F3F"/>
    <w:rsid w:val="00D32FC7"/>
    <w:rsid w:val="00D4139E"/>
    <w:rsid w:val="00D51BEF"/>
    <w:rsid w:val="00D55685"/>
    <w:rsid w:val="00D56319"/>
    <w:rsid w:val="00D62F48"/>
    <w:rsid w:val="00D96B5E"/>
    <w:rsid w:val="00DC5B48"/>
    <w:rsid w:val="00DE2455"/>
    <w:rsid w:val="00DE27AA"/>
    <w:rsid w:val="00E03A79"/>
    <w:rsid w:val="00E356FE"/>
    <w:rsid w:val="00E413C9"/>
    <w:rsid w:val="00E71FA6"/>
    <w:rsid w:val="00E74CF8"/>
    <w:rsid w:val="00E8262C"/>
    <w:rsid w:val="00E84B60"/>
    <w:rsid w:val="00EA0320"/>
    <w:rsid w:val="00EA6348"/>
    <w:rsid w:val="00EB63C6"/>
    <w:rsid w:val="00EB6456"/>
    <w:rsid w:val="00EE2F59"/>
    <w:rsid w:val="00EE3249"/>
    <w:rsid w:val="00F031F2"/>
    <w:rsid w:val="00F060F5"/>
    <w:rsid w:val="00F07C7C"/>
    <w:rsid w:val="00F10A0A"/>
    <w:rsid w:val="00F13C75"/>
    <w:rsid w:val="00F32202"/>
    <w:rsid w:val="00F46E2D"/>
    <w:rsid w:val="00F55C0B"/>
    <w:rsid w:val="00F62FF9"/>
    <w:rsid w:val="00F63FB6"/>
    <w:rsid w:val="00F73C02"/>
    <w:rsid w:val="00F9660F"/>
    <w:rsid w:val="00FA5C18"/>
    <w:rsid w:val="00FA74A7"/>
    <w:rsid w:val="00FB2BBB"/>
    <w:rsid w:val="00FC0985"/>
    <w:rsid w:val="00FC4409"/>
    <w:rsid w:val="00FC5205"/>
    <w:rsid w:val="00FD658C"/>
    <w:rsid w:val="00FD6E85"/>
    <w:rsid w:val="00FD7FDD"/>
    <w:rsid w:val="00FE59F5"/>
    <w:rsid w:val="00FE7F9C"/>
    <w:rsid w:val="00FF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0C8F13"/>
  <w15:chartTrackingRefBased/>
  <w15:docId w15:val="{D1609F98-89AF-6940-A188-EC325096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8A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23F3F"/>
  </w:style>
  <w:style w:type="character" w:styleId="Hyperlink">
    <w:name w:val="Hyperlink"/>
    <w:basedOn w:val="DefaultParagraphFont"/>
    <w:uiPriority w:val="99"/>
    <w:unhideWhenUsed/>
    <w:rsid w:val="00D23F3F"/>
    <w:rPr>
      <w:color w:val="0000FF"/>
      <w:u w:val="single"/>
    </w:rPr>
  </w:style>
  <w:style w:type="paragraph" w:styleId="NormalWeb">
    <w:name w:val="Normal (Web)"/>
    <w:basedOn w:val="Normal"/>
    <w:unhideWhenUsed/>
    <w:rsid w:val="00D51BEF"/>
    <w:rPr>
      <w:lang w:val="lt-LT" w:eastAsia="en-GB"/>
    </w:rPr>
  </w:style>
  <w:style w:type="paragraph" w:styleId="ListParagraph">
    <w:name w:val="List Paragraph"/>
    <w:basedOn w:val="Normal"/>
    <w:uiPriority w:val="34"/>
    <w:qFormat/>
    <w:rsid w:val="005B108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44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447A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E447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0E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0E6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0E6E"/>
    <w:rPr>
      <w:vertAlign w:val="superscript"/>
    </w:rPr>
  </w:style>
  <w:style w:type="character" w:styleId="Strong">
    <w:name w:val="Strong"/>
    <w:basedOn w:val="DefaultParagraphFont"/>
    <w:uiPriority w:val="22"/>
    <w:qFormat/>
    <w:rsid w:val="00D56319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283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96B5E"/>
    <w:rPr>
      <w:i/>
      <w:iCs/>
    </w:rPr>
  </w:style>
  <w:style w:type="paragraph" w:styleId="NoSpacing">
    <w:name w:val="No Spacing"/>
    <w:link w:val="NoSpacingChar"/>
    <w:uiPriority w:val="1"/>
    <w:qFormat/>
    <w:rsid w:val="00D96B5E"/>
    <w:rPr>
      <w:rFonts w:ascii="Calibri" w:eastAsia="Malgun Gothic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D96B5E"/>
    <w:rPr>
      <w:rFonts w:ascii="Calibri" w:eastAsia="Malgun Gothic" w:hAnsi="Calibri" w:cs="Times New Roman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CF8"/>
    <w:pPr>
      <w:widowControl w:val="0"/>
      <w:wordWrap w:val="0"/>
      <w:jc w:val="both"/>
    </w:pPr>
    <w:rPr>
      <w:rFonts w:ascii="Batang" w:eastAsia="Batang" w:hAnsi="Batang" w:cs="Batang"/>
      <w:kern w:val="2"/>
      <w:sz w:val="20"/>
      <w:szCs w:val="20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CF8"/>
    <w:rPr>
      <w:rFonts w:ascii="Batang" w:eastAsia="Batang" w:hAnsi="Batang" w:cs="Batang"/>
      <w:kern w:val="2"/>
      <w:sz w:val="20"/>
      <w:szCs w:val="20"/>
      <w:lang w:val="en-US" w:eastAsia="ko-KR"/>
    </w:rPr>
  </w:style>
  <w:style w:type="table" w:customStyle="1" w:styleId="TableGrid1">
    <w:name w:val="Table Grid1"/>
    <w:basedOn w:val="TableNormal"/>
    <w:uiPriority w:val="59"/>
    <w:rsid w:val="00313759"/>
    <w:pPr>
      <w:jc w:val="both"/>
    </w:pPr>
    <w:rPr>
      <w:rFonts w:eastAsiaTheme="minorEastAsia"/>
      <w:kern w:val="2"/>
      <w:sz w:val="20"/>
      <w:szCs w:val="22"/>
      <w:lang w:eastAsia="ko-K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A3C6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3C69"/>
    <w:pPr>
      <w:widowControl/>
      <w:wordWrap/>
      <w:jc w:val="left"/>
    </w:pPr>
    <w:rPr>
      <w:rFonts w:ascii="Times New Roman" w:eastAsia="Times New Roman" w:hAnsi="Times New Roman" w:cs="Times New Roman"/>
      <w:b/>
      <w:bCs/>
      <w:kern w:val="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3C69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Revision">
    <w:name w:val="Revision"/>
    <w:hidden/>
    <w:uiPriority w:val="99"/>
    <w:semiHidden/>
    <w:rsid w:val="00905979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C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C18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C668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66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78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627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tamelyte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7A207B-5534-49B7-AC5A-694689B97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1138</Words>
  <Characters>6489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Jovilė Markovski </cp:lastModifiedBy>
  <cp:revision>6</cp:revision>
  <dcterms:created xsi:type="dcterms:W3CDTF">2024-03-08T08:39:00Z</dcterms:created>
  <dcterms:modified xsi:type="dcterms:W3CDTF">2024-03-12T06:37:00Z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6d06da03-a8c3-3366-adb6-9d35f8e5c710</vt:lpwstr>
  </property>
</Properties>
</file>