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73C34" w14:textId="7FA903D0" w:rsidR="00F84452" w:rsidRPr="005E62DD" w:rsidRDefault="00F84452" w:rsidP="00B4325B">
      <w:pPr>
        <w:jc w:val="both"/>
        <w:rPr>
          <w:rFonts w:ascii="Arial" w:eastAsia="Arial" w:hAnsi="Arial" w:cs="Arial"/>
          <w:b/>
          <w:bCs/>
          <w:color w:val="000000" w:themeColor="text1"/>
          <w:sz w:val="28"/>
          <w:szCs w:val="28"/>
        </w:rPr>
      </w:pPr>
      <w:bookmarkStart w:id="0" w:name="_Hlk154763642"/>
      <w:r>
        <w:rPr>
          <w:rFonts w:ascii="Arial" w:eastAsia="Arial" w:hAnsi="Arial" w:cs="Arial"/>
          <w:b/>
          <w:bCs/>
          <w:color w:val="000000" w:themeColor="text1"/>
          <w:sz w:val="28"/>
          <w:szCs w:val="28"/>
        </w:rPr>
        <w:t xml:space="preserve">Kas vyksta finansų rinkose? </w:t>
      </w:r>
      <w:r w:rsidR="001D4C3B">
        <w:rPr>
          <w:rFonts w:ascii="Arial" w:eastAsia="Arial" w:hAnsi="Arial" w:cs="Arial"/>
          <w:b/>
          <w:bCs/>
          <w:color w:val="000000" w:themeColor="text1"/>
          <w:sz w:val="28"/>
          <w:szCs w:val="28"/>
        </w:rPr>
        <w:t>Kovo</w:t>
      </w:r>
      <w:r w:rsidRPr="0015437D">
        <w:rPr>
          <w:rFonts w:ascii="Arial" w:eastAsia="Arial" w:hAnsi="Arial" w:cs="Arial"/>
          <w:b/>
          <w:bCs/>
          <w:color w:val="000000" w:themeColor="text1"/>
          <w:sz w:val="28"/>
          <w:szCs w:val="28"/>
        </w:rPr>
        <w:t xml:space="preserve"> mėnesio apžvalga su „</w:t>
      </w:r>
      <w:proofErr w:type="spellStart"/>
      <w:r w:rsidRPr="0015437D">
        <w:rPr>
          <w:rFonts w:ascii="Arial" w:eastAsia="Arial" w:hAnsi="Arial" w:cs="Arial"/>
          <w:b/>
          <w:bCs/>
          <w:color w:val="000000" w:themeColor="text1"/>
          <w:sz w:val="28"/>
          <w:szCs w:val="28"/>
        </w:rPr>
        <w:t>Luminor</w:t>
      </w:r>
      <w:proofErr w:type="spellEnd"/>
      <w:r w:rsidRPr="0015437D">
        <w:rPr>
          <w:rFonts w:ascii="Arial" w:eastAsia="Arial" w:hAnsi="Arial" w:cs="Arial"/>
          <w:b/>
          <w:bCs/>
          <w:color w:val="000000" w:themeColor="text1"/>
          <w:sz w:val="28"/>
          <w:szCs w:val="28"/>
        </w:rPr>
        <w:t xml:space="preserve"> investicijų valdymas“ portfelio valdytoju Justu Daujotu</w:t>
      </w:r>
    </w:p>
    <w:p w14:paraId="55AF2EC8" w14:textId="06EDB4EF" w:rsidR="00D37E55" w:rsidRPr="00D37E55" w:rsidRDefault="00AD33CA" w:rsidP="00B4325B">
      <w:pPr>
        <w:jc w:val="both"/>
        <w:rPr>
          <w:rFonts w:ascii="Arial" w:eastAsia="Arial" w:hAnsi="Arial" w:cs="Arial"/>
          <w:i/>
          <w:iCs/>
          <w:color w:val="000000" w:themeColor="text1"/>
        </w:rPr>
      </w:pPr>
      <w:r w:rsidRPr="00AD33CA">
        <w:rPr>
          <w:rFonts w:ascii="Arial" w:eastAsia="Arial" w:hAnsi="Arial" w:cs="Arial"/>
          <w:i/>
          <w:iCs/>
          <w:color w:val="000000" w:themeColor="text1"/>
        </w:rPr>
        <w:t>Komentuoja Justas Daujotas, „</w:t>
      </w:r>
      <w:proofErr w:type="spellStart"/>
      <w:r w:rsidRPr="00AD33CA">
        <w:rPr>
          <w:rFonts w:ascii="Arial" w:eastAsia="Arial" w:hAnsi="Arial" w:cs="Arial"/>
          <w:i/>
          <w:iCs/>
          <w:color w:val="000000" w:themeColor="text1"/>
        </w:rPr>
        <w:t>Luminor</w:t>
      </w:r>
      <w:proofErr w:type="spellEnd"/>
      <w:r w:rsidRPr="00AD33CA">
        <w:rPr>
          <w:rFonts w:ascii="Arial" w:eastAsia="Arial" w:hAnsi="Arial" w:cs="Arial"/>
          <w:i/>
          <w:iCs/>
          <w:color w:val="000000" w:themeColor="text1"/>
        </w:rPr>
        <w:t xml:space="preserve"> investicijų valdymas“ portfelio valdytojas</w:t>
      </w:r>
    </w:p>
    <w:p w14:paraId="039453CD" w14:textId="77777777" w:rsidR="001D4C3B" w:rsidRPr="001D4C3B" w:rsidRDefault="001D4C3B" w:rsidP="001D4C3B">
      <w:pPr>
        <w:jc w:val="both"/>
        <w:rPr>
          <w:rFonts w:ascii="Arial" w:eastAsia="Arial" w:hAnsi="Arial" w:cs="Arial"/>
          <w:b/>
          <w:bCs/>
          <w:noProof/>
          <w:color w:val="000000" w:themeColor="text1"/>
        </w:rPr>
      </w:pPr>
      <w:r w:rsidRPr="001D4C3B">
        <w:rPr>
          <w:rFonts w:ascii="Arial" w:eastAsia="Arial" w:hAnsi="Arial" w:cs="Arial"/>
          <w:b/>
          <w:bCs/>
          <w:noProof/>
          <w:color w:val="000000" w:themeColor="text1"/>
        </w:rPr>
        <w:t>Kovą makroekonominiai duomenys toliau demonstravo solidų ekonomikos augimą – išliko didesnis vartojimas ir aukšto užimtumo darbo rinka. Visa tai padėjo akcijų rinkai jau penktą mėnesį iš eilės fiksuoti teigiamą rezultatą.</w:t>
      </w:r>
    </w:p>
    <w:p w14:paraId="6C5F8190" w14:textId="77777777" w:rsidR="001D4C3B" w:rsidRPr="001D4C3B" w:rsidRDefault="001D4C3B" w:rsidP="001D4C3B">
      <w:pPr>
        <w:jc w:val="both"/>
        <w:rPr>
          <w:rFonts w:ascii="Arial" w:eastAsia="Arial" w:hAnsi="Arial" w:cs="Arial"/>
          <w:noProof/>
          <w:color w:val="000000" w:themeColor="text1"/>
        </w:rPr>
      </w:pPr>
      <w:r w:rsidRPr="001D4C3B">
        <w:rPr>
          <w:rFonts w:ascii="Arial" w:eastAsia="Arial" w:hAnsi="Arial" w:cs="Arial"/>
          <w:noProof/>
          <w:color w:val="000000" w:themeColor="text1"/>
        </w:rPr>
        <w:t>Šiek tiek neigiamai nuteikė infliacija, kuri buvo lipnesnė, nei tikėtasi. Rinkos dalyviai įskaičiavo faktą, kad paskutinis etapas kovoje su kainų augimu bus sudėtingiausias, todėl jų lūkesčiai dėl aukštesnių palūkanų normų nulėmė neigiamą obligacijų rinkos rezultatą. „Luminor investicijų valdymo“ pensijų fondai toliau investavo į globalias akcijų rinkas, aukšto pajamingumo ir Europos Vyriausybių obligacijas.</w:t>
      </w:r>
    </w:p>
    <w:p w14:paraId="26FA63F4" w14:textId="77777777" w:rsidR="001D4C3B" w:rsidRPr="001D4C3B" w:rsidRDefault="001D4C3B" w:rsidP="001D4C3B">
      <w:pPr>
        <w:jc w:val="both"/>
        <w:rPr>
          <w:rFonts w:ascii="Arial" w:eastAsia="Arial" w:hAnsi="Arial" w:cs="Arial"/>
          <w:b/>
          <w:bCs/>
          <w:noProof/>
          <w:color w:val="000000" w:themeColor="text1"/>
        </w:rPr>
      </w:pPr>
      <w:r w:rsidRPr="001D4C3B">
        <w:rPr>
          <w:rFonts w:ascii="Arial" w:eastAsia="Arial" w:hAnsi="Arial" w:cs="Arial"/>
          <w:b/>
          <w:bCs/>
          <w:noProof/>
          <w:color w:val="000000" w:themeColor="text1"/>
        </w:rPr>
        <w:t>Dėmesys centrinių bankų sprendimams</w:t>
      </w:r>
    </w:p>
    <w:p w14:paraId="6ED95E2E" w14:textId="77777777" w:rsidR="001D4C3B" w:rsidRPr="001D4C3B" w:rsidRDefault="001D4C3B" w:rsidP="001D4C3B">
      <w:pPr>
        <w:jc w:val="both"/>
        <w:rPr>
          <w:rFonts w:ascii="Arial" w:eastAsia="Arial" w:hAnsi="Arial" w:cs="Arial"/>
          <w:noProof/>
          <w:color w:val="000000" w:themeColor="text1"/>
        </w:rPr>
      </w:pPr>
      <w:r w:rsidRPr="001D4C3B">
        <w:rPr>
          <w:rFonts w:ascii="Arial" w:eastAsia="Arial" w:hAnsi="Arial" w:cs="Arial"/>
          <w:noProof/>
          <w:color w:val="000000" w:themeColor="text1"/>
        </w:rPr>
        <w:t xml:space="preserve">Kartu su besiskleidžiančiu pavasariu pasirodė ir laisvesnės pinigų politikos ženklai. Kaip įprasta, didžiausias dėmesys buvo skiriamas JAV federaliniam rezervui. JAV centrinis bankas atliepė rinkos lūkesčius: kovą išlaikė stabilias palūkanų normas ir šiais metais ketina mažinti jas tris kartus. Nors 2025 ir 2026 m. palūkanų normų lygio prognozė buvo padidinta, pirmininkas Jerome H. Powellas pažymėjo, kad infliacija toliau lėtėja ir banko sprendimų mėnesinis vartotojų kainų indekso svyravimas nepaveikia. </w:t>
      </w:r>
    </w:p>
    <w:p w14:paraId="23FF030C" w14:textId="77777777" w:rsidR="001D4C3B" w:rsidRPr="001D4C3B" w:rsidRDefault="001D4C3B" w:rsidP="001D4C3B">
      <w:pPr>
        <w:jc w:val="both"/>
        <w:rPr>
          <w:rFonts w:ascii="Arial" w:eastAsia="Arial" w:hAnsi="Arial" w:cs="Arial"/>
          <w:noProof/>
          <w:color w:val="000000" w:themeColor="text1"/>
        </w:rPr>
      </w:pPr>
      <w:r w:rsidRPr="001D4C3B">
        <w:rPr>
          <w:rFonts w:ascii="Arial" w:eastAsia="Arial" w:hAnsi="Arial" w:cs="Arial"/>
          <w:noProof/>
          <w:color w:val="000000" w:themeColor="text1"/>
        </w:rPr>
        <w:t>Europos Centrinis Bankas (ECB) taip pat išliko neutralus savo politikoje, tačiau neprieštaravo rinkos lūkesčiams. Kovą prognozuojamas infliacijos lygis visiems metams buvo mažesnis nei anksčiau, kaip ir BVP augimas – krito nuo 0,8 proc. iki 0,6 proc.</w:t>
      </w:r>
    </w:p>
    <w:p w14:paraId="0924B26A" w14:textId="77777777" w:rsidR="001D4C3B" w:rsidRPr="001D4C3B" w:rsidRDefault="001D4C3B" w:rsidP="001D4C3B">
      <w:pPr>
        <w:jc w:val="both"/>
        <w:rPr>
          <w:rFonts w:ascii="Arial" w:eastAsia="Arial" w:hAnsi="Arial" w:cs="Arial"/>
          <w:noProof/>
          <w:color w:val="000000" w:themeColor="text1"/>
        </w:rPr>
      </w:pPr>
      <w:r w:rsidRPr="001D4C3B">
        <w:rPr>
          <w:rFonts w:ascii="Arial" w:eastAsia="Arial" w:hAnsi="Arial" w:cs="Arial"/>
          <w:noProof/>
          <w:color w:val="000000" w:themeColor="text1"/>
        </w:rPr>
        <w:t>Daugelio investuotojų nuostabai, Šveicarijos nacionalinis bankas (SNB) sumažino savo pagrindinę palūkanų normą 0,2 proc. – iki 1,5 proc. SNB yra pirmasis iš didžiųjų išsivysčiusių šalių centrinių bankų, kuris šiame cikle sušvelnino pinigų politiką. Anglijos bankas (BoE) taip pat teigiamai nustebino rinkos dalyvius – nors buvo išlaiktya 5,25 proc. bazinė palūkanų norma, nė vienas BoE narys nepritarė jos didinimui.</w:t>
      </w:r>
    </w:p>
    <w:p w14:paraId="5FDD31D2" w14:textId="77777777" w:rsidR="001D4C3B" w:rsidRPr="001D4C3B" w:rsidRDefault="001D4C3B" w:rsidP="001D4C3B">
      <w:pPr>
        <w:jc w:val="both"/>
        <w:rPr>
          <w:rFonts w:ascii="Arial" w:eastAsia="Arial" w:hAnsi="Arial" w:cs="Arial"/>
          <w:noProof/>
          <w:color w:val="000000" w:themeColor="text1"/>
        </w:rPr>
      </w:pPr>
      <w:r w:rsidRPr="001D4C3B">
        <w:rPr>
          <w:rFonts w:ascii="Arial" w:eastAsia="Arial" w:hAnsi="Arial" w:cs="Arial"/>
          <w:noProof/>
          <w:color w:val="000000" w:themeColor="text1"/>
        </w:rPr>
        <w:t>Šiuo metu daugiau nei 70 proc. pasaulio centrinių bankų yra palūkanų normų griežtinimo cikle – palyginimui, piko metu praėjusių metų liepą ši dalis siekė 91 proc. Iki šiol mažėjimo tendenciją skatino besivystančios rinkos, o nuo trečiojo ketvirčio tikimasi daugiau pokyčių išsivysčiusiose šalyse. Istoriškai geriausi akcijų grąžos laikotarpiai buvo tada, kai daugiau nei pusė pasaulio centrinių bankų mažino savo pagrindines palūkanų normas.</w:t>
      </w:r>
    </w:p>
    <w:p w14:paraId="43CD30A9" w14:textId="77777777" w:rsidR="001D4C3B" w:rsidRPr="001D4C3B" w:rsidRDefault="001D4C3B" w:rsidP="001D4C3B">
      <w:pPr>
        <w:jc w:val="both"/>
        <w:rPr>
          <w:rFonts w:ascii="Arial" w:eastAsia="Arial" w:hAnsi="Arial" w:cs="Arial"/>
          <w:noProof/>
          <w:color w:val="000000" w:themeColor="text1"/>
        </w:rPr>
      </w:pPr>
      <w:r w:rsidRPr="001D4C3B">
        <w:rPr>
          <w:rFonts w:ascii="Arial" w:eastAsia="Arial" w:hAnsi="Arial" w:cs="Arial"/>
          <w:noProof/>
          <w:color w:val="000000" w:themeColor="text1"/>
        </w:rPr>
        <w:t>„Luminor investicijų valdymo“ pensijų fonduose ir toliau išlaikėme neutralią fiksuotų pajamų trukmės poziciją ir nuolat siekiame papildomos grąžos iš obligacijų, atsižvelgiant į pagrindinius palūkanų normų pokyčius.</w:t>
      </w:r>
    </w:p>
    <w:p w14:paraId="31D0A866" w14:textId="77777777" w:rsidR="001D4C3B" w:rsidRPr="001D4C3B" w:rsidRDefault="001D4C3B" w:rsidP="001D4C3B">
      <w:pPr>
        <w:jc w:val="both"/>
        <w:rPr>
          <w:rFonts w:ascii="Arial" w:eastAsia="Arial" w:hAnsi="Arial" w:cs="Arial"/>
          <w:b/>
          <w:bCs/>
          <w:noProof/>
          <w:color w:val="000000" w:themeColor="text1"/>
        </w:rPr>
      </w:pPr>
      <w:r w:rsidRPr="001D4C3B">
        <w:rPr>
          <w:rFonts w:ascii="Arial" w:eastAsia="Arial" w:hAnsi="Arial" w:cs="Arial"/>
          <w:b/>
          <w:bCs/>
          <w:noProof/>
          <w:color w:val="000000" w:themeColor="text1"/>
        </w:rPr>
        <w:t>Solidus pirmas ketvirtis akcijoms</w:t>
      </w:r>
    </w:p>
    <w:p w14:paraId="2CD92533" w14:textId="77777777" w:rsidR="001D4C3B" w:rsidRPr="001D4C3B" w:rsidRDefault="001D4C3B" w:rsidP="001D4C3B">
      <w:pPr>
        <w:jc w:val="both"/>
        <w:rPr>
          <w:rFonts w:ascii="Arial" w:eastAsia="Arial" w:hAnsi="Arial" w:cs="Arial"/>
          <w:noProof/>
          <w:color w:val="000000" w:themeColor="text1"/>
        </w:rPr>
      </w:pPr>
      <w:r w:rsidRPr="001D4C3B">
        <w:rPr>
          <w:rFonts w:ascii="Arial" w:eastAsia="Arial" w:hAnsi="Arial" w:cs="Arial"/>
          <w:noProof/>
          <w:color w:val="000000" w:themeColor="text1"/>
        </w:rPr>
        <w:t>Daugelio sekamas „S&amp;P 500“ indeksas pirmąjį šių metų ketvirtį pasiekė dviženklį prieaugį ir fiksuota 14-ta geriausia metų pradžia per pastarąjį šimtmetį. Į ralį įsitraukė beveik visa rinka – jame dalyvavo 10 iš 11 sektorių ir kilo visi MSCI pasaulio indeksai. Kiek silpniau atrodė Kinijos bei Pietų Amerikos rinkos, o geriausią rezultatą rezultatą fiksavo Japonijos akcijos.</w:t>
      </w:r>
    </w:p>
    <w:p w14:paraId="2174EEB2" w14:textId="77777777" w:rsidR="001D4C3B" w:rsidRPr="001D4C3B" w:rsidRDefault="001D4C3B" w:rsidP="001D4C3B">
      <w:pPr>
        <w:jc w:val="both"/>
        <w:rPr>
          <w:rFonts w:ascii="Arial" w:eastAsia="Arial" w:hAnsi="Arial" w:cs="Arial"/>
          <w:noProof/>
          <w:color w:val="000000" w:themeColor="text1"/>
        </w:rPr>
      </w:pPr>
      <w:r w:rsidRPr="001D4C3B">
        <w:rPr>
          <w:rFonts w:ascii="Arial" w:eastAsia="Arial" w:hAnsi="Arial" w:cs="Arial"/>
          <w:noProof/>
          <w:color w:val="000000" w:themeColor="text1"/>
        </w:rPr>
        <w:t>Panašiai kaip ir pernai, didžiosios „augimo“ įmonės aplenkė likusią akcijų rinkos dalį, tačiau mažesniu skirtumu nei ketvirtį prieš tai. Cikliniai sektoriai ir toliau spindėjo, o komunikacijos sektoriaus įmonių rezultatai buvo geriausi – akcijos augo daugiau nei 15 proc. Technologijų sektorius buvo trečias geriausias, o antroje vietoje netikėtai atsidūrė energetikos įmonės. Gerus jų rezultatus nulėmė augusios žaliavų kainos: „Brent“ nafta pabrango 13 proc., o auksas toliau siekė naujų aukštumų ir per ketvirtį jo kainos pakilo 7,5 proc.</w:t>
      </w:r>
    </w:p>
    <w:p w14:paraId="1DF5DBFD" w14:textId="77777777" w:rsidR="001D4C3B" w:rsidRPr="001D4C3B" w:rsidRDefault="001D4C3B" w:rsidP="001D4C3B">
      <w:pPr>
        <w:jc w:val="both"/>
        <w:rPr>
          <w:rFonts w:ascii="Arial" w:eastAsia="Arial" w:hAnsi="Arial" w:cs="Arial"/>
          <w:noProof/>
          <w:color w:val="000000" w:themeColor="text1"/>
        </w:rPr>
      </w:pPr>
      <w:r w:rsidRPr="001D4C3B">
        <w:rPr>
          <w:rFonts w:ascii="Arial" w:eastAsia="Arial" w:hAnsi="Arial" w:cs="Arial"/>
          <w:noProof/>
          <w:color w:val="000000" w:themeColor="text1"/>
        </w:rPr>
        <w:t xml:space="preserve">Nors gali atrodyti, kad pirmąjį ketvirtį augo absoliučiai viskas, tačiau finansų rinkose buvo ir silpnų vietų. Investuotojams perskaičiavus centrinio banko palūkanų normų lūkesčius, pasaulinė obligacijų rinka pirmąjį šių metų ketvirtį baigė neigiamai. Tiek Europoje, tiek JAV rinkos dalyvių tikėtinos normos sumažėjo ir jau </w:t>
      </w:r>
      <w:r w:rsidRPr="001D4C3B">
        <w:rPr>
          <w:rFonts w:ascii="Arial" w:eastAsia="Arial" w:hAnsi="Arial" w:cs="Arial"/>
          <w:noProof/>
          <w:color w:val="000000" w:themeColor="text1"/>
        </w:rPr>
        <w:lastRenderedPageBreak/>
        <w:t>atitinka tai, ką komunikuoja centriniai bankai. Be to, praėjusį metų ketvirtį skolos pasiūla buvo gerokai didesnė, kas taip pat turėjo įtakos grąžai.</w:t>
      </w:r>
    </w:p>
    <w:p w14:paraId="7C052AA9" w14:textId="77777777" w:rsidR="001D4C3B" w:rsidRPr="001D4C3B" w:rsidRDefault="001D4C3B" w:rsidP="001D4C3B">
      <w:pPr>
        <w:jc w:val="both"/>
        <w:rPr>
          <w:rFonts w:ascii="Arial" w:eastAsia="Arial" w:hAnsi="Arial" w:cs="Arial"/>
          <w:noProof/>
          <w:color w:val="000000" w:themeColor="text1"/>
        </w:rPr>
      </w:pPr>
      <w:r w:rsidRPr="001D4C3B">
        <w:rPr>
          <w:rFonts w:ascii="Arial" w:eastAsia="Arial" w:hAnsi="Arial" w:cs="Arial"/>
          <w:noProof/>
          <w:color w:val="000000" w:themeColor="text1"/>
        </w:rPr>
        <w:t>Žvelgdami į ateitį matome tolesnį akcijų rinkų augimą ir manome, kad obligacijos turėtų prisijungti prie augimo ralio antroje metų pusėje. Akcijų istorija rodo, kad kai „S&amp;P 500“ indeksas pirmąjį ketvirtį turi didesnį nei 10 proc. prieaugį, likusią metų dalį grąžos mediana siekia 7,6 proc. Dvi didžiosios išimtys buvo rinkos griūtys 1930 ir 1987 metais, kurių prognozuoti iš anksto, deja, neįmanoma.</w:t>
      </w:r>
    </w:p>
    <w:p w14:paraId="6D42869C" w14:textId="77777777" w:rsidR="001D4C3B" w:rsidRPr="001D4C3B" w:rsidRDefault="001D4C3B" w:rsidP="001D4C3B">
      <w:pPr>
        <w:jc w:val="both"/>
        <w:rPr>
          <w:rFonts w:ascii="Arial" w:eastAsia="Arial" w:hAnsi="Arial" w:cs="Arial"/>
          <w:b/>
          <w:bCs/>
          <w:noProof/>
          <w:color w:val="000000" w:themeColor="text1"/>
        </w:rPr>
      </w:pPr>
      <w:r w:rsidRPr="001D4C3B">
        <w:rPr>
          <w:rFonts w:ascii="Arial" w:eastAsia="Arial" w:hAnsi="Arial" w:cs="Arial"/>
          <w:b/>
          <w:bCs/>
          <w:noProof/>
          <w:color w:val="000000" w:themeColor="text1"/>
        </w:rPr>
        <w:t>Iš globalių rinkų į lokalias</w:t>
      </w:r>
    </w:p>
    <w:p w14:paraId="2C32FA32" w14:textId="77777777" w:rsidR="001D4C3B" w:rsidRPr="001D4C3B" w:rsidRDefault="001D4C3B" w:rsidP="001D4C3B">
      <w:pPr>
        <w:jc w:val="both"/>
        <w:rPr>
          <w:rFonts w:ascii="Arial" w:eastAsia="Arial" w:hAnsi="Arial" w:cs="Arial"/>
          <w:noProof/>
          <w:color w:val="000000" w:themeColor="text1"/>
        </w:rPr>
      </w:pPr>
      <w:r w:rsidRPr="001D4C3B">
        <w:rPr>
          <w:rFonts w:ascii="Arial" w:eastAsia="Arial" w:hAnsi="Arial" w:cs="Arial"/>
          <w:noProof/>
          <w:color w:val="000000" w:themeColor="text1"/>
        </w:rPr>
        <w:t>Vienas iš mūsų pensijų fondų emitentų „Latvenergo Group“ pristatė praėjusių metų finansinius rezultatus. Pirmaujančio energijos tiekėjo Baltijos regione pajamos per metus augo 10 proc., o EBITDA (įmonės pelnas prieš mokesčius, palūkanų mokėjimą, nusidėvėjimą ir amortizaciją) padidėjo daugiau nei dviem trečdaliais. Pagrindiniai veiksniai buvo aukštesnės energijos pardavimo kainos ir antri geriausi metai Dauguvos hidroelektrinės gamybai per pastarąjį ketvirtį amžiaus.</w:t>
      </w:r>
    </w:p>
    <w:p w14:paraId="3AB51CD1" w14:textId="77777777" w:rsidR="001D4C3B" w:rsidRPr="001D4C3B" w:rsidRDefault="001D4C3B" w:rsidP="001D4C3B">
      <w:pPr>
        <w:jc w:val="both"/>
        <w:rPr>
          <w:rFonts w:ascii="Arial" w:eastAsia="Arial" w:hAnsi="Arial" w:cs="Arial"/>
          <w:noProof/>
          <w:color w:val="000000" w:themeColor="text1"/>
        </w:rPr>
      </w:pPr>
      <w:r w:rsidRPr="001D4C3B">
        <w:rPr>
          <w:rFonts w:ascii="Arial" w:eastAsia="Arial" w:hAnsi="Arial" w:cs="Arial"/>
          <w:noProof/>
          <w:color w:val="000000" w:themeColor="text1"/>
        </w:rPr>
        <w:t>„Luminor investicijų valdymo“ pensijų fondai, investuodami į žaliąją „Latvenergo group“ skolą, skatina perėjimą prie atsinaujinančiosios energijos gamybos. Pernai hidroenergijos dalis nuo visos pagamintos elektros siekė 73 proc., o investicijos augo 60 proc., kurios daugiausia buvo panaudotos saulės parkų infrastruktūrai ir Dauguvos HE pajėgumų plėtrai. Investicija padeda „Latvenergo Group“ iki 2040 m. pasiekti poveikio klimatui neutralumą elektros energijos gamybos srityje.</w:t>
      </w:r>
    </w:p>
    <w:p w14:paraId="511F50CC" w14:textId="77777777" w:rsidR="001D4C3B" w:rsidRPr="001D4C3B" w:rsidRDefault="001D4C3B" w:rsidP="001D4C3B">
      <w:pPr>
        <w:jc w:val="both"/>
        <w:rPr>
          <w:rFonts w:ascii="Arial" w:eastAsia="Arial" w:hAnsi="Arial" w:cs="Arial"/>
          <w:b/>
          <w:bCs/>
          <w:noProof/>
          <w:color w:val="000000" w:themeColor="text1"/>
        </w:rPr>
      </w:pPr>
      <w:r w:rsidRPr="001D4C3B">
        <w:rPr>
          <w:rFonts w:ascii="Arial" w:eastAsia="Arial" w:hAnsi="Arial" w:cs="Arial"/>
          <w:b/>
          <w:bCs/>
          <w:noProof/>
          <w:color w:val="000000" w:themeColor="text1"/>
        </w:rPr>
        <w:t>Rinkos vertinimas</w:t>
      </w:r>
    </w:p>
    <w:p w14:paraId="797459A9" w14:textId="77777777" w:rsidR="001D4C3B" w:rsidRDefault="001D4C3B" w:rsidP="001D4C3B">
      <w:pPr>
        <w:jc w:val="both"/>
        <w:rPr>
          <w:rFonts w:ascii="Arial" w:eastAsia="Arial" w:hAnsi="Arial" w:cs="Arial"/>
          <w:noProof/>
          <w:color w:val="000000" w:themeColor="text1"/>
        </w:rPr>
      </w:pPr>
      <w:r w:rsidRPr="001D4C3B">
        <w:rPr>
          <w:rFonts w:ascii="Arial" w:eastAsia="Arial" w:hAnsi="Arial" w:cs="Arial"/>
          <w:noProof/>
          <w:color w:val="000000" w:themeColor="text1"/>
        </w:rPr>
        <w:t>Ši rinkų apžvalga – tai tik nedidelė mūsų bendro rinkos raidos vertinimo dalis. Kovo mėnesio eigoje išlaikėme neutralų rizikos lygį akcijų atžvilgiu. Didžiausią įtaką rinkų tendencijoms, mūsų vertinimu, daro gerėjantys makroekonominiai duomenys. Tiek išankstinio ekonomikos indekso (LEI), tiek pirkimų vadybininkų indekso (PMI) ekonomikos augimo rodikliai rodo tęstinę globalios ekonomikos plėtrą, kuri savo ruožtu palaiko prognozuojamą įmonių pelno augimą</w:t>
      </w:r>
      <w:r>
        <w:rPr>
          <w:rFonts w:ascii="Arial" w:eastAsia="Arial" w:hAnsi="Arial" w:cs="Arial"/>
          <w:noProof/>
          <w:color w:val="000000" w:themeColor="text1"/>
        </w:rPr>
        <w:t>.</w:t>
      </w:r>
    </w:p>
    <w:p w14:paraId="396B77E7" w14:textId="3463F32A" w:rsidR="001D4C3B" w:rsidRPr="001D4C3B" w:rsidRDefault="001D4C3B" w:rsidP="001D4C3B">
      <w:pPr>
        <w:jc w:val="both"/>
        <w:rPr>
          <w:rFonts w:ascii="Arial" w:eastAsia="Arial" w:hAnsi="Arial" w:cs="Arial"/>
          <w:noProof/>
          <w:color w:val="000000" w:themeColor="text1"/>
        </w:rPr>
      </w:pPr>
      <w:r w:rsidRPr="001D4C3B">
        <w:rPr>
          <w:rFonts w:ascii="Arial" w:eastAsia="Arial" w:hAnsi="Arial" w:cs="Arial"/>
          <w:noProof/>
          <w:color w:val="000000" w:themeColor="text1"/>
        </w:rPr>
        <w:t>Pozityviai vertiname ir centrinių bankų įtaką, kurių dabartinės palūkanų normų prognozės turi daugiau erdvės mažėti, lyginant su rinkos dalyvių lūkesčiais. Pagrindinės rizikos akcijų rinkų korekcijai išlieka istoriškai brangūs įmonių vertės rodikliai, per didelis optimizmas rinkoje ir politinis neužtikrintumas globalių rinkimų metais.</w:t>
      </w:r>
    </w:p>
    <w:p w14:paraId="7236C5AC" w14:textId="2A323221" w:rsidR="003E24A5" w:rsidRDefault="00F02E86" w:rsidP="00B4325B">
      <w:pPr>
        <w:jc w:val="both"/>
        <w:rPr>
          <w:rFonts w:ascii="Arial" w:eastAsia="Arial" w:hAnsi="Arial" w:cs="Arial"/>
          <w:i/>
          <w:iCs/>
        </w:rPr>
      </w:pPr>
      <w:r>
        <w:br/>
      </w:r>
      <w:r w:rsidRPr="00F02E86">
        <w:rPr>
          <w:rFonts w:ascii="Arial" w:eastAsia="Arial" w:hAnsi="Arial" w:cs="Arial"/>
          <w:b/>
          <w:bCs/>
          <w:i/>
          <w:iCs/>
          <w:sz w:val="20"/>
          <w:szCs w:val="20"/>
        </w:rPr>
        <w:t xml:space="preserve">Svarbu: </w:t>
      </w:r>
      <w:r w:rsidRPr="00F02E86">
        <w:rPr>
          <w:rFonts w:ascii="Arial" w:eastAsia="Arial" w:hAnsi="Arial" w:cs="Arial"/>
          <w:i/>
          <w:iCs/>
          <w:sz w:val="20"/>
          <w:szCs w:val="20"/>
        </w:rPr>
        <w:t>Kaupdami pensijų fonduose, patiriate investavimo riziką, o tai reiškia, kad investicijų vertė gali ir kilti, ir kristi, yra galimybė atgauti mažiau negu investavote. „</w:t>
      </w:r>
      <w:proofErr w:type="spellStart"/>
      <w:r w:rsidRPr="00F02E86">
        <w:rPr>
          <w:rFonts w:ascii="Arial" w:eastAsia="Arial" w:hAnsi="Arial" w:cs="Arial"/>
          <w:i/>
          <w:iCs/>
          <w:sz w:val="20"/>
          <w:szCs w:val="20"/>
        </w:rPr>
        <w:t>Luminor</w:t>
      </w:r>
      <w:proofErr w:type="spellEnd"/>
      <w:r w:rsidRPr="00F02E86">
        <w:rPr>
          <w:rFonts w:ascii="Arial" w:eastAsia="Arial" w:hAnsi="Arial" w:cs="Arial"/>
          <w:i/>
          <w:iCs/>
          <w:sz w:val="20"/>
          <w:szCs w:val="20"/>
        </w:rPr>
        <w:t xml:space="preserve"> investicijų valdymas“ UAB, investicijų grąžos, pensijų fondų pelningumo ar išmokamų anuiteto dydžių negarantuoja. Pensijų fondų praeities rezultatai negarantuoja ateities rezultatų. Prieš priimdami sprendimą kaupti papildomą pensiją „</w:t>
      </w:r>
      <w:proofErr w:type="spellStart"/>
      <w:r w:rsidRPr="00F02E86">
        <w:rPr>
          <w:rFonts w:ascii="Arial" w:eastAsia="Arial" w:hAnsi="Arial" w:cs="Arial"/>
          <w:i/>
          <w:iCs/>
          <w:sz w:val="20"/>
          <w:szCs w:val="20"/>
        </w:rPr>
        <w:t>Luminor</w:t>
      </w:r>
      <w:proofErr w:type="spellEnd"/>
      <w:r w:rsidRPr="00F02E86">
        <w:rPr>
          <w:rFonts w:ascii="Arial" w:eastAsia="Arial" w:hAnsi="Arial" w:cs="Arial"/>
          <w:i/>
          <w:iCs/>
          <w:sz w:val="20"/>
          <w:szCs w:val="20"/>
        </w:rPr>
        <w:t>“ pensijų fonduose susipažinkite su pensijų fondų taisyklėmis, taikomais atskaitymais, investavimo strategija ir rizikos veiksniais. Pensijų fondus valdo „</w:t>
      </w:r>
      <w:proofErr w:type="spellStart"/>
      <w:r w:rsidRPr="00F02E86">
        <w:rPr>
          <w:rFonts w:ascii="Arial" w:eastAsia="Arial" w:hAnsi="Arial" w:cs="Arial"/>
          <w:i/>
          <w:iCs/>
          <w:sz w:val="20"/>
          <w:szCs w:val="20"/>
        </w:rPr>
        <w:t>Luminor</w:t>
      </w:r>
      <w:proofErr w:type="spellEnd"/>
      <w:r w:rsidRPr="00F02E86">
        <w:rPr>
          <w:rFonts w:ascii="Arial" w:eastAsia="Arial" w:hAnsi="Arial" w:cs="Arial"/>
          <w:i/>
          <w:iCs/>
          <w:sz w:val="20"/>
          <w:szCs w:val="20"/>
        </w:rPr>
        <w:t xml:space="preserve"> investicijų valdymas“ UAB, įm. k. 226299280.</w:t>
      </w:r>
      <w:bookmarkEnd w:id="0"/>
    </w:p>
    <w:p w14:paraId="2470D2F6" w14:textId="77777777" w:rsidR="00F02E86" w:rsidRPr="00F02E86" w:rsidRDefault="00F02E86" w:rsidP="00B4325B">
      <w:pPr>
        <w:jc w:val="both"/>
        <w:rPr>
          <w:rFonts w:ascii="Arial" w:eastAsia="Arial" w:hAnsi="Arial" w:cs="Arial"/>
          <w:i/>
          <w:iCs/>
        </w:rPr>
      </w:pPr>
    </w:p>
    <w:p w14:paraId="3A4A5EA8" w14:textId="77777777" w:rsidR="003E24A5" w:rsidRPr="00A00450" w:rsidRDefault="003E24A5" w:rsidP="00B4325B">
      <w:pPr>
        <w:contextualSpacing/>
        <w:jc w:val="both"/>
        <w:rPr>
          <w:rFonts w:ascii="Arial" w:eastAsia="Calibri" w:hAnsi="Arial" w:cs="Arial"/>
          <w:b/>
          <w:bCs/>
          <w:shd w:val="clear" w:color="auto" w:fill="FFFFFF"/>
        </w:rPr>
      </w:pPr>
      <w:r w:rsidRPr="00A00450">
        <w:rPr>
          <w:rFonts w:ascii="Arial" w:eastAsia="Calibri" w:hAnsi="Arial" w:cs="Arial"/>
          <w:b/>
          <w:bCs/>
          <w:shd w:val="clear" w:color="auto" w:fill="FFFFFF"/>
        </w:rPr>
        <w:t xml:space="preserve">Kontaktai žiniasklaidai: </w:t>
      </w:r>
    </w:p>
    <w:p w14:paraId="521E2095" w14:textId="77777777" w:rsidR="003E24A5" w:rsidRPr="00A00450" w:rsidRDefault="003E24A5" w:rsidP="00B4325B">
      <w:pPr>
        <w:contextualSpacing/>
        <w:jc w:val="both"/>
        <w:rPr>
          <w:rFonts w:ascii="Arial" w:eastAsia="Calibri" w:hAnsi="Arial" w:cs="Arial"/>
          <w:shd w:val="clear" w:color="auto" w:fill="FFFFFF"/>
        </w:rPr>
      </w:pPr>
      <w:r w:rsidRPr="00A00450">
        <w:rPr>
          <w:rFonts w:ascii="Arial" w:eastAsia="Calibri" w:hAnsi="Arial" w:cs="Arial"/>
          <w:shd w:val="clear" w:color="auto" w:fill="FFFFFF"/>
        </w:rPr>
        <w:t>Simona Survilaitė</w:t>
      </w:r>
    </w:p>
    <w:p w14:paraId="68D4CDE4" w14:textId="77777777" w:rsidR="003E24A5" w:rsidRPr="00A00450" w:rsidRDefault="003E24A5" w:rsidP="00B4325B">
      <w:pPr>
        <w:contextualSpacing/>
        <w:jc w:val="both"/>
        <w:rPr>
          <w:rFonts w:ascii="Arial" w:eastAsia="Calibri" w:hAnsi="Arial" w:cs="Arial"/>
          <w:shd w:val="clear" w:color="auto" w:fill="FFFFFF"/>
        </w:rPr>
      </w:pPr>
      <w:r w:rsidRPr="00A00450">
        <w:rPr>
          <w:rFonts w:ascii="Arial" w:eastAsia="Calibri" w:hAnsi="Arial" w:cs="Arial"/>
          <w:shd w:val="clear" w:color="auto" w:fill="FFFFFF"/>
        </w:rPr>
        <w:t xml:space="preserve">Mob. </w:t>
      </w:r>
      <w:proofErr w:type="spellStart"/>
      <w:r w:rsidRPr="00A00450">
        <w:rPr>
          <w:rFonts w:ascii="Arial" w:eastAsia="Calibri" w:hAnsi="Arial" w:cs="Arial"/>
          <w:shd w:val="clear" w:color="auto" w:fill="FFFFFF"/>
        </w:rPr>
        <w:t>tel</w:t>
      </w:r>
      <w:proofErr w:type="spellEnd"/>
      <w:r w:rsidRPr="00A00450">
        <w:rPr>
          <w:rFonts w:ascii="Arial" w:eastAsia="Calibri" w:hAnsi="Arial" w:cs="Arial"/>
          <w:shd w:val="clear" w:color="auto" w:fill="FFFFFF"/>
        </w:rPr>
        <w:t xml:space="preserve">: +370 685 25 281 </w:t>
      </w:r>
    </w:p>
    <w:p w14:paraId="54FCD6E0" w14:textId="20213A2B" w:rsidR="00A00450" w:rsidRPr="00A00450" w:rsidRDefault="003E24A5" w:rsidP="00B4325B">
      <w:pPr>
        <w:contextualSpacing/>
        <w:jc w:val="both"/>
        <w:rPr>
          <w:rFonts w:ascii="Arial" w:eastAsia="Arial" w:hAnsi="Arial" w:cs="Arial"/>
          <w:color w:val="000000" w:themeColor="text1"/>
        </w:rPr>
      </w:pPr>
      <w:r w:rsidRPr="00A00450">
        <w:rPr>
          <w:rFonts w:ascii="Arial" w:eastAsia="Calibri" w:hAnsi="Arial" w:cs="Arial"/>
          <w:shd w:val="clear" w:color="auto" w:fill="FFFFFF"/>
        </w:rPr>
        <w:t>simona.s@coagency.lt</w:t>
      </w:r>
    </w:p>
    <w:sectPr w:rsidR="00A00450" w:rsidRPr="00A00450">
      <w:head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DF051" w14:textId="77777777" w:rsidR="008C4F21" w:rsidRDefault="008C4F21" w:rsidP="0015437D">
      <w:pPr>
        <w:spacing w:after="0" w:line="240" w:lineRule="auto"/>
      </w:pPr>
      <w:r>
        <w:separator/>
      </w:r>
    </w:p>
  </w:endnote>
  <w:endnote w:type="continuationSeparator" w:id="0">
    <w:p w14:paraId="4F45EB69" w14:textId="77777777" w:rsidR="008C4F21" w:rsidRDefault="008C4F21" w:rsidP="00154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70EFC" w14:textId="77777777" w:rsidR="008C4F21" w:rsidRDefault="008C4F21" w:rsidP="0015437D">
      <w:pPr>
        <w:spacing w:after="0" w:line="240" w:lineRule="auto"/>
      </w:pPr>
      <w:r>
        <w:separator/>
      </w:r>
    </w:p>
  </w:footnote>
  <w:footnote w:type="continuationSeparator" w:id="0">
    <w:p w14:paraId="7C6CDE65" w14:textId="77777777" w:rsidR="008C4F21" w:rsidRDefault="008C4F21" w:rsidP="001543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541CD" w14:textId="2CDD731E" w:rsidR="0015437D" w:rsidRPr="0015437D" w:rsidRDefault="0015437D" w:rsidP="00C775C2">
    <w:pPr>
      <w:tabs>
        <w:tab w:val="center" w:pos="4513"/>
        <w:tab w:val="right" w:pos="9026"/>
      </w:tabs>
      <w:spacing w:after="0" w:line="240" w:lineRule="auto"/>
      <w:jc w:val="center"/>
      <w:rPr>
        <w:rFonts w:ascii="Calibri" w:eastAsia="Calibri" w:hAnsi="Calibri" w:cs="Times New Roman"/>
        <w:sz w:val="20"/>
      </w:rPr>
    </w:pPr>
    <w:r w:rsidRPr="0015437D">
      <w:rPr>
        <w:rFonts w:ascii="Calibri" w:eastAsia="Calibri" w:hAnsi="Calibri" w:cs="Times New Roman"/>
        <w:noProof/>
        <w:sz w:val="20"/>
      </w:rPr>
      <w:drawing>
        <wp:inline distT="0" distB="0" distL="0" distR="0" wp14:anchorId="5F368DE0" wp14:editId="4AEDA0D8">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p>
  <w:p w14:paraId="2DBA4D5C" w14:textId="57A4B8C9" w:rsidR="0015437D" w:rsidRPr="0015437D" w:rsidRDefault="0015437D" w:rsidP="0015437D">
    <w:pPr>
      <w:tabs>
        <w:tab w:val="center" w:pos="4513"/>
        <w:tab w:val="right" w:pos="9026"/>
      </w:tabs>
      <w:spacing w:after="0" w:line="240" w:lineRule="auto"/>
      <w:jc w:val="right"/>
      <w:rPr>
        <w:rFonts w:ascii="Calibri" w:eastAsia="Calibri" w:hAnsi="Calibri" w:cs="Times New Roman"/>
        <w:sz w:val="20"/>
      </w:rPr>
    </w:pPr>
    <w:r w:rsidRPr="0015437D">
      <w:rPr>
        <w:rFonts w:ascii="Calibri" w:eastAsia="Calibri" w:hAnsi="Calibri" w:cs="Times New Roman"/>
        <w:sz w:val="20"/>
      </w:rPr>
      <w:t>202</w:t>
    </w:r>
    <w:r w:rsidR="00F02E86">
      <w:rPr>
        <w:rFonts w:ascii="Calibri" w:eastAsia="Calibri" w:hAnsi="Calibri" w:cs="Times New Roman"/>
        <w:sz w:val="20"/>
      </w:rPr>
      <w:t>4</w:t>
    </w:r>
    <w:r w:rsidRPr="0015437D">
      <w:rPr>
        <w:rFonts w:ascii="Calibri" w:eastAsia="Calibri" w:hAnsi="Calibri" w:cs="Times New Roman"/>
        <w:sz w:val="20"/>
      </w:rPr>
      <w:t xml:space="preserve"> m. </w:t>
    </w:r>
    <w:r w:rsidR="001D4C3B">
      <w:rPr>
        <w:rFonts w:ascii="Calibri" w:eastAsia="Calibri" w:hAnsi="Calibri" w:cs="Times New Roman"/>
        <w:sz w:val="20"/>
      </w:rPr>
      <w:t>balandžio</w:t>
    </w:r>
    <w:r w:rsidR="00642F76">
      <w:rPr>
        <w:rFonts w:ascii="Calibri" w:eastAsia="Calibri" w:hAnsi="Calibri" w:cs="Times New Roman"/>
        <w:sz w:val="20"/>
      </w:rPr>
      <w:t xml:space="preserve"> </w:t>
    </w:r>
    <w:r w:rsidR="001D4C3B">
      <w:rPr>
        <w:rFonts w:ascii="Calibri" w:eastAsia="Calibri" w:hAnsi="Calibri" w:cs="Times New Roman"/>
        <w:sz w:val="20"/>
      </w:rPr>
      <w:t>4</w:t>
    </w:r>
    <w:r w:rsidRPr="0015437D">
      <w:rPr>
        <w:rFonts w:ascii="Calibri" w:eastAsia="Calibri" w:hAnsi="Calibri" w:cs="Times New Roman"/>
        <w:sz w:val="20"/>
      </w:rPr>
      <w:t xml:space="preserve"> d. </w:t>
    </w:r>
  </w:p>
  <w:p w14:paraId="0DBFE0D0" w14:textId="77777777" w:rsidR="0015437D" w:rsidRDefault="0015437D">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8F480C"/>
    <w:rsid w:val="0003D549"/>
    <w:rsid w:val="000D01DD"/>
    <w:rsid w:val="000E1FCC"/>
    <w:rsid w:val="0015437D"/>
    <w:rsid w:val="001D4C3B"/>
    <w:rsid w:val="001D5639"/>
    <w:rsid w:val="00211AC1"/>
    <w:rsid w:val="0021BB91"/>
    <w:rsid w:val="002258FB"/>
    <w:rsid w:val="002541AA"/>
    <w:rsid w:val="00261104"/>
    <w:rsid w:val="00263AA1"/>
    <w:rsid w:val="00281A4F"/>
    <w:rsid w:val="002B5ABF"/>
    <w:rsid w:val="002E6812"/>
    <w:rsid w:val="00321D4A"/>
    <w:rsid w:val="0036106F"/>
    <w:rsid w:val="003D2EE3"/>
    <w:rsid w:val="003E24A5"/>
    <w:rsid w:val="003F4A0E"/>
    <w:rsid w:val="004152E6"/>
    <w:rsid w:val="0042252E"/>
    <w:rsid w:val="00435911"/>
    <w:rsid w:val="00463868"/>
    <w:rsid w:val="00497251"/>
    <w:rsid w:val="004A1581"/>
    <w:rsid w:val="004A3CDC"/>
    <w:rsid w:val="004B00E5"/>
    <w:rsid w:val="004B1DC5"/>
    <w:rsid w:val="00506262"/>
    <w:rsid w:val="00511197"/>
    <w:rsid w:val="00514896"/>
    <w:rsid w:val="00545F9D"/>
    <w:rsid w:val="0059710B"/>
    <w:rsid w:val="005A66E0"/>
    <w:rsid w:val="005D7978"/>
    <w:rsid w:val="005E0141"/>
    <w:rsid w:val="005E2342"/>
    <w:rsid w:val="005F2E00"/>
    <w:rsid w:val="00600D39"/>
    <w:rsid w:val="00614695"/>
    <w:rsid w:val="00642F76"/>
    <w:rsid w:val="00661EAF"/>
    <w:rsid w:val="0067452E"/>
    <w:rsid w:val="006762E6"/>
    <w:rsid w:val="006D1EDB"/>
    <w:rsid w:val="007070C4"/>
    <w:rsid w:val="00762543"/>
    <w:rsid w:val="0078436C"/>
    <w:rsid w:val="0079410A"/>
    <w:rsid w:val="007C3BC9"/>
    <w:rsid w:val="007E46A0"/>
    <w:rsid w:val="007F28D0"/>
    <w:rsid w:val="00871A9A"/>
    <w:rsid w:val="008C4F21"/>
    <w:rsid w:val="008D027D"/>
    <w:rsid w:val="008E07FA"/>
    <w:rsid w:val="008F03BA"/>
    <w:rsid w:val="009470C9"/>
    <w:rsid w:val="00992F42"/>
    <w:rsid w:val="009961DC"/>
    <w:rsid w:val="009B40BF"/>
    <w:rsid w:val="009E0BBB"/>
    <w:rsid w:val="009F71DA"/>
    <w:rsid w:val="00A00450"/>
    <w:rsid w:val="00A20115"/>
    <w:rsid w:val="00A30B8B"/>
    <w:rsid w:val="00A52E86"/>
    <w:rsid w:val="00A8043C"/>
    <w:rsid w:val="00A9561F"/>
    <w:rsid w:val="00AB2B4D"/>
    <w:rsid w:val="00AC5FF7"/>
    <w:rsid w:val="00ACFFB1"/>
    <w:rsid w:val="00AD33CA"/>
    <w:rsid w:val="00B03BD2"/>
    <w:rsid w:val="00B105C4"/>
    <w:rsid w:val="00B119A2"/>
    <w:rsid w:val="00B41D9D"/>
    <w:rsid w:val="00B4325B"/>
    <w:rsid w:val="00B91F36"/>
    <w:rsid w:val="00C57996"/>
    <w:rsid w:val="00C6396E"/>
    <w:rsid w:val="00C775C2"/>
    <w:rsid w:val="00CB0323"/>
    <w:rsid w:val="00CE7906"/>
    <w:rsid w:val="00D073D0"/>
    <w:rsid w:val="00D31FC6"/>
    <w:rsid w:val="00D37D10"/>
    <w:rsid w:val="00D37E55"/>
    <w:rsid w:val="00DE2D9D"/>
    <w:rsid w:val="00E21EE1"/>
    <w:rsid w:val="00E4080E"/>
    <w:rsid w:val="00E47CBE"/>
    <w:rsid w:val="00E549EB"/>
    <w:rsid w:val="00EB685F"/>
    <w:rsid w:val="00EF0132"/>
    <w:rsid w:val="00F02E86"/>
    <w:rsid w:val="00F17170"/>
    <w:rsid w:val="00F35662"/>
    <w:rsid w:val="00F51691"/>
    <w:rsid w:val="00F742D2"/>
    <w:rsid w:val="00F84452"/>
    <w:rsid w:val="00F87AEE"/>
    <w:rsid w:val="00FA2888"/>
    <w:rsid w:val="00FAC9B2"/>
    <w:rsid w:val="00FB06A4"/>
    <w:rsid w:val="00FB2139"/>
    <w:rsid w:val="00FB2DCF"/>
    <w:rsid w:val="00FD6A8A"/>
    <w:rsid w:val="014CC6B5"/>
    <w:rsid w:val="01853EB9"/>
    <w:rsid w:val="01AB0E66"/>
    <w:rsid w:val="01BA70EB"/>
    <w:rsid w:val="01EFEBE0"/>
    <w:rsid w:val="0222BBB1"/>
    <w:rsid w:val="0226A93C"/>
    <w:rsid w:val="024A3BB2"/>
    <w:rsid w:val="025C7C4B"/>
    <w:rsid w:val="0279299F"/>
    <w:rsid w:val="027D71B6"/>
    <w:rsid w:val="02B04860"/>
    <w:rsid w:val="02FC4A9B"/>
    <w:rsid w:val="0320A005"/>
    <w:rsid w:val="03491184"/>
    <w:rsid w:val="034BB675"/>
    <w:rsid w:val="035E4E28"/>
    <w:rsid w:val="03930252"/>
    <w:rsid w:val="039433A8"/>
    <w:rsid w:val="0399A661"/>
    <w:rsid w:val="03B6CA64"/>
    <w:rsid w:val="03CF52E4"/>
    <w:rsid w:val="03E997F3"/>
    <w:rsid w:val="03EA98E7"/>
    <w:rsid w:val="03F50601"/>
    <w:rsid w:val="03FC3361"/>
    <w:rsid w:val="04194217"/>
    <w:rsid w:val="042F31BE"/>
    <w:rsid w:val="044C18C1"/>
    <w:rsid w:val="044F41DB"/>
    <w:rsid w:val="0461966F"/>
    <w:rsid w:val="04BB1B61"/>
    <w:rsid w:val="04BC8A6A"/>
    <w:rsid w:val="04C39379"/>
    <w:rsid w:val="04E3CB68"/>
    <w:rsid w:val="05816C47"/>
    <w:rsid w:val="0598ABBA"/>
    <w:rsid w:val="05B51278"/>
    <w:rsid w:val="05EB123C"/>
    <w:rsid w:val="066717CC"/>
    <w:rsid w:val="066B97C9"/>
    <w:rsid w:val="070E4862"/>
    <w:rsid w:val="07287DA6"/>
    <w:rsid w:val="0766D280"/>
    <w:rsid w:val="078D06D4"/>
    <w:rsid w:val="0790CE6C"/>
    <w:rsid w:val="07BD2DE2"/>
    <w:rsid w:val="07FB343B"/>
    <w:rsid w:val="083A01B3"/>
    <w:rsid w:val="08912C46"/>
    <w:rsid w:val="08C79CDF"/>
    <w:rsid w:val="08CD6196"/>
    <w:rsid w:val="08D40869"/>
    <w:rsid w:val="08D693FF"/>
    <w:rsid w:val="093D59AB"/>
    <w:rsid w:val="093F77D3"/>
    <w:rsid w:val="0947F3DF"/>
    <w:rsid w:val="097C77EB"/>
    <w:rsid w:val="09B08820"/>
    <w:rsid w:val="09BA5B6F"/>
    <w:rsid w:val="09FB0CA2"/>
    <w:rsid w:val="0A0052DF"/>
    <w:rsid w:val="0A398BAF"/>
    <w:rsid w:val="0A7C8068"/>
    <w:rsid w:val="0A7D65A1"/>
    <w:rsid w:val="0A90931D"/>
    <w:rsid w:val="0AB30E50"/>
    <w:rsid w:val="0AC2744D"/>
    <w:rsid w:val="0AC6C48C"/>
    <w:rsid w:val="0ACA7D76"/>
    <w:rsid w:val="0B057A6C"/>
    <w:rsid w:val="0B3B5810"/>
    <w:rsid w:val="0BDC887D"/>
    <w:rsid w:val="0BE802AB"/>
    <w:rsid w:val="0BFC7B6B"/>
    <w:rsid w:val="0C0FDE7D"/>
    <w:rsid w:val="0C14D4FD"/>
    <w:rsid w:val="0C291A34"/>
    <w:rsid w:val="0C30CF9E"/>
    <w:rsid w:val="0C3A43A3"/>
    <w:rsid w:val="0C3FACF1"/>
    <w:rsid w:val="0C5E44AE"/>
    <w:rsid w:val="0CAC65A0"/>
    <w:rsid w:val="0D32AD64"/>
    <w:rsid w:val="0D54A705"/>
    <w:rsid w:val="0D84ACC6"/>
    <w:rsid w:val="0D85EAA8"/>
    <w:rsid w:val="0D8B0A48"/>
    <w:rsid w:val="0D91CF2B"/>
    <w:rsid w:val="0DA7798C"/>
    <w:rsid w:val="0DB708E2"/>
    <w:rsid w:val="0E2583A0"/>
    <w:rsid w:val="0E309B71"/>
    <w:rsid w:val="0E9D7B58"/>
    <w:rsid w:val="0EDC56B5"/>
    <w:rsid w:val="0EDD293B"/>
    <w:rsid w:val="0EE9E714"/>
    <w:rsid w:val="0EEB836D"/>
    <w:rsid w:val="0F6B2DBD"/>
    <w:rsid w:val="0F71E465"/>
    <w:rsid w:val="0F867F73"/>
    <w:rsid w:val="0FAE87A8"/>
    <w:rsid w:val="0FC5BBD5"/>
    <w:rsid w:val="0FF6E6E1"/>
    <w:rsid w:val="101A6795"/>
    <w:rsid w:val="1034A2F0"/>
    <w:rsid w:val="10556D6C"/>
    <w:rsid w:val="1060B521"/>
    <w:rsid w:val="1067AF3B"/>
    <w:rsid w:val="107C2A91"/>
    <w:rsid w:val="109C03E7"/>
    <w:rsid w:val="1114AE24"/>
    <w:rsid w:val="1125D97F"/>
    <w:rsid w:val="11426F30"/>
    <w:rsid w:val="11725444"/>
    <w:rsid w:val="11853F16"/>
    <w:rsid w:val="11A577D6"/>
    <w:rsid w:val="11C13230"/>
    <w:rsid w:val="11CAE149"/>
    <w:rsid w:val="12444EED"/>
    <w:rsid w:val="124931F2"/>
    <w:rsid w:val="128965C4"/>
    <w:rsid w:val="12984DE1"/>
    <w:rsid w:val="12E6A87F"/>
    <w:rsid w:val="13324FDA"/>
    <w:rsid w:val="1352FB58"/>
    <w:rsid w:val="13B9FB80"/>
    <w:rsid w:val="13D27C03"/>
    <w:rsid w:val="13DA1D0C"/>
    <w:rsid w:val="13E57348"/>
    <w:rsid w:val="13EC810C"/>
    <w:rsid w:val="13F52303"/>
    <w:rsid w:val="142A3DDF"/>
    <w:rsid w:val="143C8580"/>
    <w:rsid w:val="144D430E"/>
    <w:rsid w:val="146A9950"/>
    <w:rsid w:val="148A1800"/>
    <w:rsid w:val="14AC5CB2"/>
    <w:rsid w:val="14CD3477"/>
    <w:rsid w:val="15020E53"/>
    <w:rsid w:val="1555CBE1"/>
    <w:rsid w:val="155D64B1"/>
    <w:rsid w:val="15616CC0"/>
    <w:rsid w:val="156F64FB"/>
    <w:rsid w:val="1580FE71"/>
    <w:rsid w:val="158F52F5"/>
    <w:rsid w:val="15BBDF3D"/>
    <w:rsid w:val="15D1C421"/>
    <w:rsid w:val="15D88FD6"/>
    <w:rsid w:val="15DF9034"/>
    <w:rsid w:val="16333A89"/>
    <w:rsid w:val="1645C567"/>
    <w:rsid w:val="16765217"/>
    <w:rsid w:val="1689A919"/>
    <w:rsid w:val="1694A353"/>
    <w:rsid w:val="16A192BB"/>
    <w:rsid w:val="16BA5455"/>
    <w:rsid w:val="16E7E952"/>
    <w:rsid w:val="171DCF51"/>
    <w:rsid w:val="17455D48"/>
    <w:rsid w:val="1761DEA1"/>
    <w:rsid w:val="176C8784"/>
    <w:rsid w:val="177408C9"/>
    <w:rsid w:val="17768FD7"/>
    <w:rsid w:val="17960044"/>
    <w:rsid w:val="17AC3AFB"/>
    <w:rsid w:val="17E195C8"/>
    <w:rsid w:val="17E8BBEC"/>
    <w:rsid w:val="17FE2AB9"/>
    <w:rsid w:val="1812918D"/>
    <w:rsid w:val="182445E4"/>
    <w:rsid w:val="185DB4AD"/>
    <w:rsid w:val="18D98168"/>
    <w:rsid w:val="18F2F379"/>
    <w:rsid w:val="18FA16EA"/>
    <w:rsid w:val="1958EC46"/>
    <w:rsid w:val="19BB2D14"/>
    <w:rsid w:val="19D1A9E4"/>
    <w:rsid w:val="19EC48A1"/>
    <w:rsid w:val="1A625EB4"/>
    <w:rsid w:val="1A62B466"/>
    <w:rsid w:val="1A85EE22"/>
    <w:rsid w:val="1A9457FC"/>
    <w:rsid w:val="1AB9BAAC"/>
    <w:rsid w:val="1ABA47B0"/>
    <w:rsid w:val="1AD23A24"/>
    <w:rsid w:val="1AE25178"/>
    <w:rsid w:val="1B02AA58"/>
    <w:rsid w:val="1B19368A"/>
    <w:rsid w:val="1B1EA1D9"/>
    <w:rsid w:val="1B4D7AAB"/>
    <w:rsid w:val="1B65FDF3"/>
    <w:rsid w:val="1B76C6D6"/>
    <w:rsid w:val="1BBB294F"/>
    <w:rsid w:val="1BEAFC00"/>
    <w:rsid w:val="1BEE141E"/>
    <w:rsid w:val="1BFB2B42"/>
    <w:rsid w:val="1BFE2F15"/>
    <w:rsid w:val="1C9C5FCC"/>
    <w:rsid w:val="1CB4016D"/>
    <w:rsid w:val="1CF7B707"/>
    <w:rsid w:val="1CF8EA9D"/>
    <w:rsid w:val="1CFC43BA"/>
    <w:rsid w:val="1D036D6F"/>
    <w:rsid w:val="1D08E3C3"/>
    <w:rsid w:val="1D094D0D"/>
    <w:rsid w:val="1D0BD25D"/>
    <w:rsid w:val="1D2372E6"/>
    <w:rsid w:val="1D345796"/>
    <w:rsid w:val="1D724E12"/>
    <w:rsid w:val="1D76D7D5"/>
    <w:rsid w:val="1D86CC61"/>
    <w:rsid w:val="1D8AE8F0"/>
    <w:rsid w:val="1DD7FD12"/>
    <w:rsid w:val="1DE66159"/>
    <w:rsid w:val="1DEDB6E5"/>
    <w:rsid w:val="1DF42554"/>
    <w:rsid w:val="1E1550A9"/>
    <w:rsid w:val="1E1D3CAA"/>
    <w:rsid w:val="1E208D5A"/>
    <w:rsid w:val="1E2A00E8"/>
    <w:rsid w:val="1E938768"/>
    <w:rsid w:val="1EA449BB"/>
    <w:rsid w:val="1ED701A2"/>
    <w:rsid w:val="1ED9AD0F"/>
    <w:rsid w:val="1EE78055"/>
    <w:rsid w:val="1EE82A3D"/>
    <w:rsid w:val="1EFE3AA1"/>
    <w:rsid w:val="1F196EF6"/>
    <w:rsid w:val="1F485251"/>
    <w:rsid w:val="1F4A5BEA"/>
    <w:rsid w:val="1F64892A"/>
    <w:rsid w:val="1FA2B89C"/>
    <w:rsid w:val="1FC0B533"/>
    <w:rsid w:val="1FDA8232"/>
    <w:rsid w:val="20706E38"/>
    <w:rsid w:val="20790B65"/>
    <w:rsid w:val="207EA9C9"/>
    <w:rsid w:val="2086A3D0"/>
    <w:rsid w:val="2095DF88"/>
    <w:rsid w:val="20BE6D23"/>
    <w:rsid w:val="20E62C4B"/>
    <w:rsid w:val="211506EC"/>
    <w:rsid w:val="215BD451"/>
    <w:rsid w:val="216052C3"/>
    <w:rsid w:val="216E8173"/>
    <w:rsid w:val="2195EFE5"/>
    <w:rsid w:val="21A221BB"/>
    <w:rsid w:val="21C5F871"/>
    <w:rsid w:val="21CE8A39"/>
    <w:rsid w:val="21D9DCED"/>
    <w:rsid w:val="21E237DD"/>
    <w:rsid w:val="22227431"/>
    <w:rsid w:val="222A87B5"/>
    <w:rsid w:val="225E18B2"/>
    <w:rsid w:val="22940E69"/>
    <w:rsid w:val="22A32CD8"/>
    <w:rsid w:val="22C79677"/>
    <w:rsid w:val="22CABEDE"/>
    <w:rsid w:val="22EB430C"/>
    <w:rsid w:val="2305D728"/>
    <w:rsid w:val="2330F1F3"/>
    <w:rsid w:val="234516D2"/>
    <w:rsid w:val="236BA90F"/>
    <w:rsid w:val="2391C1B8"/>
    <w:rsid w:val="23E9F115"/>
    <w:rsid w:val="24010CC3"/>
    <w:rsid w:val="2415AE7D"/>
    <w:rsid w:val="243054A0"/>
    <w:rsid w:val="246703D0"/>
    <w:rsid w:val="2471794F"/>
    <w:rsid w:val="2486ADFD"/>
    <w:rsid w:val="2516E442"/>
    <w:rsid w:val="2539D28E"/>
    <w:rsid w:val="2580D927"/>
    <w:rsid w:val="258613F8"/>
    <w:rsid w:val="258EA071"/>
    <w:rsid w:val="25A70C3A"/>
    <w:rsid w:val="25FF3739"/>
    <w:rsid w:val="25FFB1F2"/>
    <w:rsid w:val="260BD4BB"/>
    <w:rsid w:val="2613D247"/>
    <w:rsid w:val="263A1904"/>
    <w:rsid w:val="26663E63"/>
    <w:rsid w:val="266D181B"/>
    <w:rsid w:val="267C1DFB"/>
    <w:rsid w:val="268C3015"/>
    <w:rsid w:val="26B33488"/>
    <w:rsid w:val="26F76B2E"/>
    <w:rsid w:val="274D4F3F"/>
    <w:rsid w:val="27677F8C"/>
    <w:rsid w:val="27762323"/>
    <w:rsid w:val="27778A26"/>
    <w:rsid w:val="278561B3"/>
    <w:rsid w:val="27AA59EB"/>
    <w:rsid w:val="28035F2A"/>
    <w:rsid w:val="280CEBF7"/>
    <w:rsid w:val="2877228D"/>
    <w:rsid w:val="2891B5B5"/>
    <w:rsid w:val="28A33BD7"/>
    <w:rsid w:val="28A9C91E"/>
    <w:rsid w:val="28BDB4BA"/>
    <w:rsid w:val="28CCF418"/>
    <w:rsid w:val="28D40372"/>
    <w:rsid w:val="28E91FA0"/>
    <w:rsid w:val="2901E5CC"/>
    <w:rsid w:val="290688A8"/>
    <w:rsid w:val="291DF881"/>
    <w:rsid w:val="292ADAA9"/>
    <w:rsid w:val="293631B5"/>
    <w:rsid w:val="2936D7FB"/>
    <w:rsid w:val="29649585"/>
    <w:rsid w:val="2964DFCE"/>
    <w:rsid w:val="29A3F448"/>
    <w:rsid w:val="29B9335E"/>
    <w:rsid w:val="29C2DB7F"/>
    <w:rsid w:val="2A2D8616"/>
    <w:rsid w:val="2A59851B"/>
    <w:rsid w:val="2A5E1587"/>
    <w:rsid w:val="2A7308AB"/>
    <w:rsid w:val="2AD2A85C"/>
    <w:rsid w:val="2B01ED0D"/>
    <w:rsid w:val="2B232317"/>
    <w:rsid w:val="2B3FDD47"/>
    <w:rsid w:val="2B4BFECF"/>
    <w:rsid w:val="2B86A5AB"/>
    <w:rsid w:val="2B8A3DC3"/>
    <w:rsid w:val="2BB290FA"/>
    <w:rsid w:val="2BBF9DDA"/>
    <w:rsid w:val="2BC95677"/>
    <w:rsid w:val="2BF52663"/>
    <w:rsid w:val="2C0ECD21"/>
    <w:rsid w:val="2C8AC466"/>
    <w:rsid w:val="2C95ECD1"/>
    <w:rsid w:val="2CAD8B26"/>
    <w:rsid w:val="2CDCCD12"/>
    <w:rsid w:val="2D037988"/>
    <w:rsid w:val="2D21353D"/>
    <w:rsid w:val="2D21F627"/>
    <w:rsid w:val="2D2D26C9"/>
    <w:rsid w:val="2D417E95"/>
    <w:rsid w:val="2DA8B144"/>
    <w:rsid w:val="2DE9A8FD"/>
    <w:rsid w:val="2E1A5439"/>
    <w:rsid w:val="2E2694C7"/>
    <w:rsid w:val="2E33780F"/>
    <w:rsid w:val="2E3D2688"/>
    <w:rsid w:val="2E93E4E4"/>
    <w:rsid w:val="2E9F49E9"/>
    <w:rsid w:val="2ECEF40D"/>
    <w:rsid w:val="2F3F0DD1"/>
    <w:rsid w:val="2F4E8E6A"/>
    <w:rsid w:val="2F77A96B"/>
    <w:rsid w:val="2F7F4FCE"/>
    <w:rsid w:val="2F8A0856"/>
    <w:rsid w:val="2FA39AD6"/>
    <w:rsid w:val="2FB10153"/>
    <w:rsid w:val="2FC67992"/>
    <w:rsid w:val="2FCA90B4"/>
    <w:rsid w:val="2FCCDE0D"/>
    <w:rsid w:val="2FD0EEA1"/>
    <w:rsid w:val="2FD66FFB"/>
    <w:rsid w:val="2FF50557"/>
    <w:rsid w:val="301F3BC5"/>
    <w:rsid w:val="30534BBC"/>
    <w:rsid w:val="306470FE"/>
    <w:rsid w:val="308083B4"/>
    <w:rsid w:val="30E120F4"/>
    <w:rsid w:val="3113CD8E"/>
    <w:rsid w:val="3134317F"/>
    <w:rsid w:val="31666E56"/>
    <w:rsid w:val="318F3F90"/>
    <w:rsid w:val="31A582F8"/>
    <w:rsid w:val="31BB0C26"/>
    <w:rsid w:val="31C0D896"/>
    <w:rsid w:val="31E29AF4"/>
    <w:rsid w:val="31E3D8D6"/>
    <w:rsid w:val="321D4B02"/>
    <w:rsid w:val="324521BC"/>
    <w:rsid w:val="326B3C76"/>
    <w:rsid w:val="326EF633"/>
    <w:rsid w:val="327EA1BD"/>
    <w:rsid w:val="328EA917"/>
    <w:rsid w:val="329D6B02"/>
    <w:rsid w:val="32B90BDD"/>
    <w:rsid w:val="32C14904"/>
    <w:rsid w:val="32CA0E60"/>
    <w:rsid w:val="32FA79BE"/>
    <w:rsid w:val="33460009"/>
    <w:rsid w:val="33477661"/>
    <w:rsid w:val="334C70D3"/>
    <w:rsid w:val="335FB25F"/>
    <w:rsid w:val="33C91BEB"/>
    <w:rsid w:val="33F5982E"/>
    <w:rsid w:val="341480CE"/>
    <w:rsid w:val="3463E4BB"/>
    <w:rsid w:val="34750CB2"/>
    <w:rsid w:val="34782689"/>
    <w:rsid w:val="34A297DF"/>
    <w:rsid w:val="34BFDC7A"/>
    <w:rsid w:val="34D8AF36"/>
    <w:rsid w:val="35087F43"/>
    <w:rsid w:val="3510B4A7"/>
    <w:rsid w:val="3532408B"/>
    <w:rsid w:val="3569DACA"/>
    <w:rsid w:val="35743555"/>
    <w:rsid w:val="35995E1D"/>
    <w:rsid w:val="35FFB51C"/>
    <w:rsid w:val="3608957D"/>
    <w:rsid w:val="361CF262"/>
    <w:rsid w:val="3633E1B8"/>
    <w:rsid w:val="363CC24F"/>
    <w:rsid w:val="363E7951"/>
    <w:rsid w:val="365EE6DD"/>
    <w:rsid w:val="368170C6"/>
    <w:rsid w:val="36A55733"/>
    <w:rsid w:val="36ABBBB7"/>
    <w:rsid w:val="36C8D86D"/>
    <w:rsid w:val="36DA05F2"/>
    <w:rsid w:val="3707ED27"/>
    <w:rsid w:val="370E235D"/>
    <w:rsid w:val="371005B6"/>
    <w:rsid w:val="371629ED"/>
    <w:rsid w:val="373890D1"/>
    <w:rsid w:val="375212E0"/>
    <w:rsid w:val="375E7ADB"/>
    <w:rsid w:val="379B857D"/>
    <w:rsid w:val="37AD308E"/>
    <w:rsid w:val="382A4DAA"/>
    <w:rsid w:val="382CB691"/>
    <w:rsid w:val="38ABB820"/>
    <w:rsid w:val="38B29532"/>
    <w:rsid w:val="38DBC60A"/>
    <w:rsid w:val="38EDE341"/>
    <w:rsid w:val="3922CA16"/>
    <w:rsid w:val="3948B850"/>
    <w:rsid w:val="394FE20B"/>
    <w:rsid w:val="3957AAD7"/>
    <w:rsid w:val="397895E0"/>
    <w:rsid w:val="397F7AB9"/>
    <w:rsid w:val="39FC266B"/>
    <w:rsid w:val="3A2ABEC2"/>
    <w:rsid w:val="3A2E5DAD"/>
    <w:rsid w:val="3A582642"/>
    <w:rsid w:val="3A8C6609"/>
    <w:rsid w:val="3A8E9D85"/>
    <w:rsid w:val="3AA6857C"/>
    <w:rsid w:val="3AB78477"/>
    <w:rsid w:val="3AFB7476"/>
    <w:rsid w:val="3B00C7EC"/>
    <w:rsid w:val="3B08E8E1"/>
    <w:rsid w:val="3B14A4CD"/>
    <w:rsid w:val="3B1B4B1A"/>
    <w:rsid w:val="3B243F57"/>
    <w:rsid w:val="3B40E92C"/>
    <w:rsid w:val="3B76F363"/>
    <w:rsid w:val="3B9EDD53"/>
    <w:rsid w:val="3BCECF22"/>
    <w:rsid w:val="3BDA5CC2"/>
    <w:rsid w:val="3BEB24A3"/>
    <w:rsid w:val="3C0C5BA6"/>
    <w:rsid w:val="3C1366CC"/>
    <w:rsid w:val="3C1AE18D"/>
    <w:rsid w:val="3C2A6DE6"/>
    <w:rsid w:val="3C345F0E"/>
    <w:rsid w:val="3C366BFE"/>
    <w:rsid w:val="3C441D91"/>
    <w:rsid w:val="3C6EF6A0"/>
    <w:rsid w:val="3C77A2DC"/>
    <w:rsid w:val="3DC375AC"/>
    <w:rsid w:val="3DD7B628"/>
    <w:rsid w:val="3DF384D2"/>
    <w:rsid w:val="3E12338C"/>
    <w:rsid w:val="3E25C8FD"/>
    <w:rsid w:val="3E8C2E4A"/>
    <w:rsid w:val="3E9C4556"/>
    <w:rsid w:val="3ED4F7C7"/>
    <w:rsid w:val="3EDB5ED6"/>
    <w:rsid w:val="3EF61ACA"/>
    <w:rsid w:val="3F6F1DC9"/>
    <w:rsid w:val="3F7640DC"/>
    <w:rsid w:val="3F9FDAB9"/>
    <w:rsid w:val="3FBCD372"/>
    <w:rsid w:val="3FC2D3A6"/>
    <w:rsid w:val="400C2E1F"/>
    <w:rsid w:val="4020F009"/>
    <w:rsid w:val="40722B16"/>
    <w:rsid w:val="4082C94D"/>
    <w:rsid w:val="4088E9BE"/>
    <w:rsid w:val="40BEBCA6"/>
    <w:rsid w:val="40C43F20"/>
    <w:rsid w:val="40D5FFC6"/>
    <w:rsid w:val="40E6D7EF"/>
    <w:rsid w:val="40FA22D3"/>
    <w:rsid w:val="40FFBC47"/>
    <w:rsid w:val="410AEE2A"/>
    <w:rsid w:val="413E6231"/>
    <w:rsid w:val="41489031"/>
    <w:rsid w:val="414A5549"/>
    <w:rsid w:val="41522B3C"/>
    <w:rsid w:val="41761943"/>
    <w:rsid w:val="41E5A55C"/>
    <w:rsid w:val="41F631D8"/>
    <w:rsid w:val="42010626"/>
    <w:rsid w:val="42064238"/>
    <w:rsid w:val="42455A3B"/>
    <w:rsid w:val="424DBAD5"/>
    <w:rsid w:val="4256A94B"/>
    <w:rsid w:val="439914FB"/>
    <w:rsid w:val="43993EB6"/>
    <w:rsid w:val="43EC4E82"/>
    <w:rsid w:val="44196E75"/>
    <w:rsid w:val="4422AA18"/>
    <w:rsid w:val="443170CE"/>
    <w:rsid w:val="447B791A"/>
    <w:rsid w:val="4480E10C"/>
    <w:rsid w:val="44BB4E50"/>
    <w:rsid w:val="44BBF7D0"/>
    <w:rsid w:val="44D62984"/>
    <w:rsid w:val="450C3953"/>
    <w:rsid w:val="45371814"/>
    <w:rsid w:val="458E2071"/>
    <w:rsid w:val="45BACCBC"/>
    <w:rsid w:val="45CEC8E6"/>
    <w:rsid w:val="45E24942"/>
    <w:rsid w:val="461E4651"/>
    <w:rsid w:val="462E668E"/>
    <w:rsid w:val="4664F3B5"/>
    <w:rsid w:val="46D29155"/>
    <w:rsid w:val="46FAFB76"/>
    <w:rsid w:val="4706A455"/>
    <w:rsid w:val="47533FE7"/>
    <w:rsid w:val="479B4C12"/>
    <w:rsid w:val="47AC0922"/>
    <w:rsid w:val="47CCEA07"/>
    <w:rsid w:val="47F6698B"/>
    <w:rsid w:val="480F122B"/>
    <w:rsid w:val="483C31E6"/>
    <w:rsid w:val="484E2B6A"/>
    <w:rsid w:val="486F7A7B"/>
    <w:rsid w:val="48ABF09F"/>
    <w:rsid w:val="48BA795E"/>
    <w:rsid w:val="48EE0A5B"/>
    <w:rsid w:val="492EF6E8"/>
    <w:rsid w:val="4954A644"/>
    <w:rsid w:val="495FEA1A"/>
    <w:rsid w:val="497286C5"/>
    <w:rsid w:val="4979B9DC"/>
    <w:rsid w:val="498604D4"/>
    <w:rsid w:val="4987CC92"/>
    <w:rsid w:val="498E9DC5"/>
    <w:rsid w:val="499C9477"/>
    <w:rsid w:val="49BB8802"/>
    <w:rsid w:val="49E85A6E"/>
    <w:rsid w:val="4A0023E9"/>
    <w:rsid w:val="4AB334A3"/>
    <w:rsid w:val="4ABA2D0B"/>
    <w:rsid w:val="4AF076A5"/>
    <w:rsid w:val="4B1C1361"/>
    <w:rsid w:val="4B39AC94"/>
    <w:rsid w:val="4B49D1CD"/>
    <w:rsid w:val="4B59DD51"/>
    <w:rsid w:val="4B6854CB"/>
    <w:rsid w:val="4B69424B"/>
    <w:rsid w:val="4B805163"/>
    <w:rsid w:val="4B90D2C6"/>
    <w:rsid w:val="4BD48C5F"/>
    <w:rsid w:val="4BF72D9E"/>
    <w:rsid w:val="4C2BE878"/>
    <w:rsid w:val="4C2FEF79"/>
    <w:rsid w:val="4C6ADA25"/>
    <w:rsid w:val="4C83852A"/>
    <w:rsid w:val="4C8C4706"/>
    <w:rsid w:val="4C9940A9"/>
    <w:rsid w:val="4C999095"/>
    <w:rsid w:val="4C9E900B"/>
    <w:rsid w:val="4CB7A792"/>
    <w:rsid w:val="4CB7E3C2"/>
    <w:rsid w:val="4CBD7AAF"/>
    <w:rsid w:val="4CDA5970"/>
    <w:rsid w:val="4CE5ACBB"/>
    <w:rsid w:val="4CE7CA83"/>
    <w:rsid w:val="4CF964EE"/>
    <w:rsid w:val="4DC1E87E"/>
    <w:rsid w:val="4DE6B919"/>
    <w:rsid w:val="4DF14813"/>
    <w:rsid w:val="4E0F5494"/>
    <w:rsid w:val="4E4AA386"/>
    <w:rsid w:val="4E99E96E"/>
    <w:rsid w:val="4EA7276B"/>
    <w:rsid w:val="4EA918C0"/>
    <w:rsid w:val="4F12D6A8"/>
    <w:rsid w:val="4F199387"/>
    <w:rsid w:val="4F199953"/>
    <w:rsid w:val="4F3CC563"/>
    <w:rsid w:val="4F7C8643"/>
    <w:rsid w:val="4FA10722"/>
    <w:rsid w:val="4FB6E42D"/>
    <w:rsid w:val="4FB7AE11"/>
    <w:rsid w:val="4FBE110E"/>
    <w:rsid w:val="4FC451C3"/>
    <w:rsid w:val="501F6B45"/>
    <w:rsid w:val="503689B8"/>
    <w:rsid w:val="507B40C1"/>
    <w:rsid w:val="5084AEAC"/>
    <w:rsid w:val="509B4093"/>
    <w:rsid w:val="50EE1723"/>
    <w:rsid w:val="50F8CD42"/>
    <w:rsid w:val="51003446"/>
    <w:rsid w:val="512E111B"/>
    <w:rsid w:val="51419E68"/>
    <w:rsid w:val="5157D57C"/>
    <w:rsid w:val="517F2B5D"/>
    <w:rsid w:val="518D3192"/>
    <w:rsid w:val="51B1922B"/>
    <w:rsid w:val="51C073B5"/>
    <w:rsid w:val="51C19792"/>
    <w:rsid w:val="51C46B31"/>
    <w:rsid w:val="51CE54CF"/>
    <w:rsid w:val="51D7201D"/>
    <w:rsid w:val="51DD6B55"/>
    <w:rsid w:val="5207C5C6"/>
    <w:rsid w:val="528928BF"/>
    <w:rsid w:val="5298AF74"/>
    <w:rsid w:val="52A2D0D5"/>
    <w:rsid w:val="52C4CFDB"/>
    <w:rsid w:val="52D2D55E"/>
    <w:rsid w:val="52DC882C"/>
    <w:rsid w:val="53171000"/>
    <w:rsid w:val="5318C9DD"/>
    <w:rsid w:val="532B3383"/>
    <w:rsid w:val="53353122"/>
    <w:rsid w:val="535CDAD5"/>
    <w:rsid w:val="53DA4954"/>
    <w:rsid w:val="54093D28"/>
    <w:rsid w:val="542FEE55"/>
    <w:rsid w:val="549F4671"/>
    <w:rsid w:val="54A186B0"/>
    <w:rsid w:val="54F8AB36"/>
    <w:rsid w:val="55050AC8"/>
    <w:rsid w:val="551C25A6"/>
    <w:rsid w:val="55469A89"/>
    <w:rsid w:val="555A33F5"/>
    <w:rsid w:val="558C03DA"/>
    <w:rsid w:val="55A50D89"/>
    <w:rsid w:val="55AC06E7"/>
    <w:rsid w:val="55E93C8D"/>
    <w:rsid w:val="562C6CEA"/>
    <w:rsid w:val="563B16D2"/>
    <w:rsid w:val="563C57A1"/>
    <w:rsid w:val="565EB3AF"/>
    <w:rsid w:val="56D9F912"/>
    <w:rsid w:val="57384C1C"/>
    <w:rsid w:val="5745AAE8"/>
    <w:rsid w:val="577716F0"/>
    <w:rsid w:val="57C34FB5"/>
    <w:rsid w:val="57E61E38"/>
    <w:rsid w:val="57FA9669"/>
    <w:rsid w:val="5801B071"/>
    <w:rsid w:val="5859C576"/>
    <w:rsid w:val="58690A7F"/>
    <w:rsid w:val="58707FF9"/>
    <w:rsid w:val="58D375E7"/>
    <w:rsid w:val="592852A4"/>
    <w:rsid w:val="59502DE4"/>
    <w:rsid w:val="59535EBA"/>
    <w:rsid w:val="5954FBDF"/>
    <w:rsid w:val="5958112C"/>
    <w:rsid w:val="59640DAC"/>
    <w:rsid w:val="5984D3F8"/>
    <w:rsid w:val="598BCD44"/>
    <w:rsid w:val="5992A824"/>
    <w:rsid w:val="599666CA"/>
    <w:rsid w:val="59A79CBB"/>
    <w:rsid w:val="5A0627B7"/>
    <w:rsid w:val="5A225708"/>
    <w:rsid w:val="5A3806A2"/>
    <w:rsid w:val="5A42EBFB"/>
    <w:rsid w:val="5A4C3F5A"/>
    <w:rsid w:val="5AAEBF5C"/>
    <w:rsid w:val="5B32372B"/>
    <w:rsid w:val="5B4B7B3E"/>
    <w:rsid w:val="5B7FC0F4"/>
    <w:rsid w:val="5B855934"/>
    <w:rsid w:val="5BA6595E"/>
    <w:rsid w:val="5BC99900"/>
    <w:rsid w:val="5C048B27"/>
    <w:rsid w:val="5C6C6D9E"/>
    <w:rsid w:val="5C7C908B"/>
    <w:rsid w:val="5C854089"/>
    <w:rsid w:val="5CCE078C"/>
    <w:rsid w:val="5D31D45D"/>
    <w:rsid w:val="5D409B6C"/>
    <w:rsid w:val="5D5C9389"/>
    <w:rsid w:val="5DA98A4A"/>
    <w:rsid w:val="5DC0AF5C"/>
    <w:rsid w:val="5E1D3FDE"/>
    <w:rsid w:val="5E476986"/>
    <w:rsid w:val="5E5FC03A"/>
    <w:rsid w:val="5E60909D"/>
    <w:rsid w:val="5E7867D1"/>
    <w:rsid w:val="5E993F92"/>
    <w:rsid w:val="5EB0CEAA"/>
    <w:rsid w:val="5ECDA4BE"/>
    <w:rsid w:val="5F16D2F1"/>
    <w:rsid w:val="5F1F40C3"/>
    <w:rsid w:val="5FAD237F"/>
    <w:rsid w:val="5FBCE9BF"/>
    <w:rsid w:val="5FD26F3B"/>
    <w:rsid w:val="600CC256"/>
    <w:rsid w:val="60122481"/>
    <w:rsid w:val="603FB2C2"/>
    <w:rsid w:val="605FA98A"/>
    <w:rsid w:val="6091447B"/>
    <w:rsid w:val="609784EB"/>
    <w:rsid w:val="6099FF53"/>
    <w:rsid w:val="60A93942"/>
    <w:rsid w:val="60BFA3F8"/>
    <w:rsid w:val="60CF6CE6"/>
    <w:rsid w:val="60FAD986"/>
    <w:rsid w:val="61791BD4"/>
    <w:rsid w:val="618ACBE0"/>
    <w:rsid w:val="61A9D6AD"/>
    <w:rsid w:val="61DB1A46"/>
    <w:rsid w:val="621A2CEF"/>
    <w:rsid w:val="622DC5B0"/>
    <w:rsid w:val="62318218"/>
    <w:rsid w:val="6232BAD4"/>
    <w:rsid w:val="626DF509"/>
    <w:rsid w:val="62BDB028"/>
    <w:rsid w:val="62C6714B"/>
    <w:rsid w:val="62D39A8B"/>
    <w:rsid w:val="62E2B5C8"/>
    <w:rsid w:val="62EC1935"/>
    <w:rsid w:val="62FBDE25"/>
    <w:rsid w:val="63013267"/>
    <w:rsid w:val="63074C33"/>
    <w:rsid w:val="63137A6F"/>
    <w:rsid w:val="63209676"/>
    <w:rsid w:val="632A69C5"/>
    <w:rsid w:val="632B8849"/>
    <w:rsid w:val="63556EEA"/>
    <w:rsid w:val="635EA2A8"/>
    <w:rsid w:val="63751D57"/>
    <w:rsid w:val="63F93D03"/>
    <w:rsid w:val="642DC816"/>
    <w:rsid w:val="6430D866"/>
    <w:rsid w:val="6446CC1D"/>
    <w:rsid w:val="644BE722"/>
    <w:rsid w:val="6484BE33"/>
    <w:rsid w:val="6497AE86"/>
    <w:rsid w:val="64BC3AB0"/>
    <w:rsid w:val="64C4EEA0"/>
    <w:rsid w:val="64C7A26A"/>
    <w:rsid w:val="64EFBE0E"/>
    <w:rsid w:val="6517E676"/>
    <w:rsid w:val="65234D47"/>
    <w:rsid w:val="65349B1B"/>
    <w:rsid w:val="65558AEC"/>
    <w:rsid w:val="6564B59E"/>
    <w:rsid w:val="65A51FF3"/>
    <w:rsid w:val="65C63281"/>
    <w:rsid w:val="65CDF480"/>
    <w:rsid w:val="660BBFBF"/>
    <w:rsid w:val="660C1F82"/>
    <w:rsid w:val="6663290B"/>
    <w:rsid w:val="666F6432"/>
    <w:rsid w:val="669AFF7E"/>
    <w:rsid w:val="669F4D06"/>
    <w:rsid w:val="66A02009"/>
    <w:rsid w:val="66DDCD68"/>
    <w:rsid w:val="67136DBF"/>
    <w:rsid w:val="6717ADF5"/>
    <w:rsid w:val="6718F5E8"/>
    <w:rsid w:val="6724A896"/>
    <w:rsid w:val="67489A34"/>
    <w:rsid w:val="674F8468"/>
    <w:rsid w:val="67A153EF"/>
    <w:rsid w:val="67B370C3"/>
    <w:rsid w:val="67C98D9D"/>
    <w:rsid w:val="67FBC0B6"/>
    <w:rsid w:val="680781C1"/>
    <w:rsid w:val="6835D7F6"/>
    <w:rsid w:val="684C7233"/>
    <w:rsid w:val="689E0671"/>
    <w:rsid w:val="68BED281"/>
    <w:rsid w:val="68DBB713"/>
    <w:rsid w:val="68EB54C9"/>
    <w:rsid w:val="6902FAB8"/>
    <w:rsid w:val="69083B9E"/>
    <w:rsid w:val="691E6198"/>
    <w:rsid w:val="694F4124"/>
    <w:rsid w:val="6951351B"/>
    <w:rsid w:val="696EC060"/>
    <w:rsid w:val="697AA4CA"/>
    <w:rsid w:val="6987BC2A"/>
    <w:rsid w:val="69979117"/>
    <w:rsid w:val="69A142A8"/>
    <w:rsid w:val="69AD46A9"/>
    <w:rsid w:val="69B1342D"/>
    <w:rsid w:val="69CEF300"/>
    <w:rsid w:val="69D1A857"/>
    <w:rsid w:val="6A154083"/>
    <w:rsid w:val="6A236724"/>
    <w:rsid w:val="6A32211E"/>
    <w:rsid w:val="6A6245F9"/>
    <w:rsid w:val="6A68D1FD"/>
    <w:rsid w:val="6A84978F"/>
    <w:rsid w:val="6A9A38D7"/>
    <w:rsid w:val="6AB27D86"/>
    <w:rsid w:val="6AECBF67"/>
    <w:rsid w:val="6B11CC6E"/>
    <w:rsid w:val="6B18CCF1"/>
    <w:rsid w:val="6B1901C7"/>
    <w:rsid w:val="6B6851DD"/>
    <w:rsid w:val="6BE80300"/>
    <w:rsid w:val="6C33026D"/>
    <w:rsid w:val="6C581E48"/>
    <w:rsid w:val="6C65F575"/>
    <w:rsid w:val="6C75A640"/>
    <w:rsid w:val="6CA7199D"/>
    <w:rsid w:val="6CCF31D9"/>
    <w:rsid w:val="6CD71F5E"/>
    <w:rsid w:val="6CE50BFF"/>
    <w:rsid w:val="6CF4FF11"/>
    <w:rsid w:val="6D2223A5"/>
    <w:rsid w:val="6D4C1D72"/>
    <w:rsid w:val="6DBDD848"/>
    <w:rsid w:val="6DCED2CE"/>
    <w:rsid w:val="6DDCB22C"/>
    <w:rsid w:val="6DF1D2BB"/>
    <w:rsid w:val="6DF4648C"/>
    <w:rsid w:val="6E0BDE7D"/>
    <w:rsid w:val="6E0C6B75"/>
    <w:rsid w:val="6E0F565A"/>
    <w:rsid w:val="6E31C269"/>
    <w:rsid w:val="6E43B2AE"/>
    <w:rsid w:val="6E9F03D4"/>
    <w:rsid w:val="6EA83F7F"/>
    <w:rsid w:val="6EBD9ECC"/>
    <w:rsid w:val="6F217259"/>
    <w:rsid w:val="6F3BBFFE"/>
    <w:rsid w:val="6F5D4F3A"/>
    <w:rsid w:val="6F5DD105"/>
    <w:rsid w:val="6FAB26BB"/>
    <w:rsid w:val="6FC726BA"/>
    <w:rsid w:val="70192018"/>
    <w:rsid w:val="701B6DA9"/>
    <w:rsid w:val="702B1D71"/>
    <w:rsid w:val="705D2DFD"/>
    <w:rsid w:val="706B2860"/>
    <w:rsid w:val="706B7A50"/>
    <w:rsid w:val="70849A76"/>
    <w:rsid w:val="70A27583"/>
    <w:rsid w:val="70BA5005"/>
    <w:rsid w:val="70E4171F"/>
    <w:rsid w:val="70EBCD28"/>
    <w:rsid w:val="70F7EA6E"/>
    <w:rsid w:val="7127A330"/>
    <w:rsid w:val="71396698"/>
    <w:rsid w:val="716DB2FE"/>
    <w:rsid w:val="71766C70"/>
    <w:rsid w:val="71A2A2FC"/>
    <w:rsid w:val="71C52195"/>
    <w:rsid w:val="71D81702"/>
    <w:rsid w:val="71E0ADB9"/>
    <w:rsid w:val="721FC6B9"/>
    <w:rsid w:val="72562066"/>
    <w:rsid w:val="725BCF8B"/>
    <w:rsid w:val="727A572D"/>
    <w:rsid w:val="727A7965"/>
    <w:rsid w:val="72AAFC10"/>
    <w:rsid w:val="72D536F9"/>
    <w:rsid w:val="72E4D449"/>
    <w:rsid w:val="72EE95BC"/>
    <w:rsid w:val="7314A699"/>
    <w:rsid w:val="7325CD43"/>
    <w:rsid w:val="73530E6B"/>
    <w:rsid w:val="737B484F"/>
    <w:rsid w:val="7388BA8D"/>
    <w:rsid w:val="7390A039"/>
    <w:rsid w:val="73A50041"/>
    <w:rsid w:val="73E6F68D"/>
    <w:rsid w:val="74273448"/>
    <w:rsid w:val="74D8C6E9"/>
    <w:rsid w:val="74E03E2E"/>
    <w:rsid w:val="74EEDECC"/>
    <w:rsid w:val="74FDD357"/>
    <w:rsid w:val="751718B0"/>
    <w:rsid w:val="752436B9"/>
    <w:rsid w:val="75A6289B"/>
    <w:rsid w:val="75B0DC29"/>
    <w:rsid w:val="75BF3E4B"/>
    <w:rsid w:val="75D02780"/>
    <w:rsid w:val="75EA9F76"/>
    <w:rsid w:val="760F3C59"/>
    <w:rsid w:val="76168903"/>
    <w:rsid w:val="76417129"/>
    <w:rsid w:val="765DF860"/>
    <w:rsid w:val="766440BA"/>
    <w:rsid w:val="768C4473"/>
    <w:rsid w:val="76AF8854"/>
    <w:rsid w:val="76DD1B49"/>
    <w:rsid w:val="774809BC"/>
    <w:rsid w:val="77509D51"/>
    <w:rsid w:val="778701CA"/>
    <w:rsid w:val="7788F3D5"/>
    <w:rsid w:val="778A2D44"/>
    <w:rsid w:val="77AE3778"/>
    <w:rsid w:val="77F6CCD7"/>
    <w:rsid w:val="77FC13AA"/>
    <w:rsid w:val="780E9367"/>
    <w:rsid w:val="78892D0E"/>
    <w:rsid w:val="78992F10"/>
    <w:rsid w:val="78AB5EDE"/>
    <w:rsid w:val="78BA67B0"/>
    <w:rsid w:val="78DFE100"/>
    <w:rsid w:val="7923E42E"/>
    <w:rsid w:val="79267786"/>
    <w:rsid w:val="795DF614"/>
    <w:rsid w:val="7976900D"/>
    <w:rsid w:val="79C24FEF"/>
    <w:rsid w:val="79DCFB51"/>
    <w:rsid w:val="79F7369D"/>
    <w:rsid w:val="7A04E4D6"/>
    <w:rsid w:val="7A14BC0B"/>
    <w:rsid w:val="7A3FFF84"/>
    <w:rsid w:val="7AA6A4BF"/>
    <w:rsid w:val="7AF177E4"/>
    <w:rsid w:val="7B1108DA"/>
    <w:rsid w:val="7B54F53E"/>
    <w:rsid w:val="7B60DE8B"/>
    <w:rsid w:val="7B84DCEE"/>
    <w:rsid w:val="7BB1DCD2"/>
    <w:rsid w:val="7BB89C55"/>
    <w:rsid w:val="7C00C625"/>
    <w:rsid w:val="7C1C3A94"/>
    <w:rsid w:val="7C4EB652"/>
    <w:rsid w:val="7C8D4845"/>
    <w:rsid w:val="7CC14C5E"/>
    <w:rsid w:val="7CCA3DFA"/>
    <w:rsid w:val="7CCC7629"/>
    <w:rsid w:val="7D366F89"/>
    <w:rsid w:val="7D6EF169"/>
    <w:rsid w:val="7DCAC49D"/>
    <w:rsid w:val="7DE00056"/>
    <w:rsid w:val="7DED0776"/>
    <w:rsid w:val="7DF5CBFC"/>
    <w:rsid w:val="7DF90E1D"/>
    <w:rsid w:val="7DFE918E"/>
    <w:rsid w:val="7E1FD726"/>
    <w:rsid w:val="7E2918A6"/>
    <w:rsid w:val="7E336DA9"/>
    <w:rsid w:val="7E498AF6"/>
    <w:rsid w:val="7E4D9DF6"/>
    <w:rsid w:val="7E4E4663"/>
    <w:rsid w:val="7E5D1CBF"/>
    <w:rsid w:val="7E7735A8"/>
    <w:rsid w:val="7E812F30"/>
    <w:rsid w:val="7EF52B34"/>
    <w:rsid w:val="7F076030"/>
    <w:rsid w:val="7F29A934"/>
    <w:rsid w:val="7F78A79D"/>
    <w:rsid w:val="7F8F480C"/>
    <w:rsid w:val="7FABEBCD"/>
    <w:rsid w:val="7FC5E46B"/>
    <w:rsid w:val="7FC605D0"/>
    <w:rsid w:val="7FCF3E0A"/>
    <w:rsid w:val="7FE7491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F480C"/>
  <w15:chartTrackingRefBased/>
  <w15:docId w15:val="{932502AD-3CDA-4B8A-AC9F-CAFBA2C8D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ui-provider">
    <w:name w:val="ui-provider"/>
    <w:basedOn w:val="Numatytasispastraiposriftas"/>
    <w:rsid w:val="00B03BD2"/>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saitas">
    <w:name w:val="Hyperlink"/>
    <w:basedOn w:val="Numatytasispastraiposriftas"/>
    <w:uiPriority w:val="99"/>
    <w:unhideWhenUsed/>
    <w:rPr>
      <w:color w:val="0563C1" w:themeColor="hyperlink"/>
      <w:u w:val="single"/>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Pataisymai">
    <w:name w:val="Revision"/>
    <w:hidden/>
    <w:uiPriority w:val="99"/>
    <w:semiHidden/>
    <w:rsid w:val="00A30B8B"/>
    <w:pPr>
      <w:spacing w:after="0" w:line="240" w:lineRule="auto"/>
    </w:pPr>
  </w:style>
  <w:style w:type="paragraph" w:styleId="Komentarotema">
    <w:name w:val="annotation subject"/>
    <w:basedOn w:val="Komentarotekstas"/>
    <w:next w:val="Komentarotekstas"/>
    <w:link w:val="KomentarotemaDiagrama"/>
    <w:uiPriority w:val="99"/>
    <w:semiHidden/>
    <w:unhideWhenUsed/>
    <w:rsid w:val="00497251"/>
    <w:rPr>
      <w:b/>
      <w:bCs/>
    </w:rPr>
  </w:style>
  <w:style w:type="character" w:customStyle="1" w:styleId="KomentarotemaDiagrama">
    <w:name w:val="Komentaro tema Diagrama"/>
    <w:basedOn w:val="KomentarotekstasDiagrama"/>
    <w:link w:val="Komentarotema"/>
    <w:uiPriority w:val="99"/>
    <w:semiHidden/>
    <w:rsid w:val="00497251"/>
    <w:rPr>
      <w:b/>
      <w:bCs/>
      <w:sz w:val="20"/>
      <w:szCs w:val="20"/>
    </w:rPr>
  </w:style>
  <w:style w:type="paragraph" w:styleId="Antrats">
    <w:name w:val="header"/>
    <w:basedOn w:val="prastasis"/>
    <w:link w:val="AntratsDiagrama"/>
    <w:uiPriority w:val="99"/>
    <w:unhideWhenUsed/>
    <w:rsid w:val="0015437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15437D"/>
  </w:style>
  <w:style w:type="paragraph" w:styleId="Porat">
    <w:name w:val="footer"/>
    <w:basedOn w:val="prastasis"/>
    <w:link w:val="PoratDiagrama"/>
    <w:uiPriority w:val="99"/>
    <w:unhideWhenUsed/>
    <w:rsid w:val="0015437D"/>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15437D"/>
  </w:style>
  <w:style w:type="paragraph" w:customStyle="1" w:styleId="paragraph">
    <w:name w:val="paragraph"/>
    <w:basedOn w:val="prastasis"/>
    <w:rsid w:val="00F844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Numatytasispastraiposriftas"/>
    <w:rsid w:val="00F844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19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utsourcing xmlns="afc9b743-3fd2-4cd2-8f8f-14054e48b274">true</outsourcing>
    <Progress xmlns="afc9b743-3fd2-4cd2-8f8f-14054e48b274">Not Started</Progress>
    <owner xmlns="afc9b743-3fd2-4cd2-8f8f-14054e48b274">
      <UserInfo>
        <DisplayName/>
        <AccountId xsi:nil="true"/>
        <AccountType/>
      </UserInfo>
    </owner>
    <lcf76f155ced4ddcb4097134ff3c332f xmlns="afc9b743-3fd2-4cd2-8f8f-14054e48b274">
      <Terms xmlns="http://schemas.microsoft.com/office/infopath/2007/PartnerControls"/>
    </lcf76f155ced4ddcb4097134ff3c332f>
    <TaxCatchAll xmlns="b76a844d-d15d-452e-b76a-d726ef4d8e8f" xsi:nil="true"/>
    <Datareceived xmlns="afc9b743-3fd2-4cd2-8f8f-14054e48b274" xsi:nil="true"/>
    <entryintofoce xmlns="afc9b743-3fd2-4cd2-8f8f-14054e48b274" xsi:nil="true"/>
    <Responsibleperson xmlns="afc9b743-3fd2-4cd2-8f8f-14054e48b274">
      <UserInfo>
        <DisplayName/>
        <AccountId xsi:nil="true"/>
        <AccountType/>
      </UserInfo>
    </Responsibleperson>
    <applicable xmlns="afc9b743-3fd2-4cd2-8f8f-14054e48b274" xsi:nil="true"/>
    <comment xmlns="afc9b743-3fd2-4cd2-8f8f-14054e48b274" xsi:nil="true"/>
    <SharedWithUsers xmlns="b76a844d-d15d-452e-b76a-d726ef4d8e8f">
      <UserInfo>
        <DisplayName>Sole, Katrina</DisplayName>
        <AccountId>795</AccountId>
        <AccountType/>
      </UserInfo>
      <UserInfo>
        <DisplayName>Tumosaite, Ausra</DisplayName>
        <AccountId>796</AccountId>
        <AccountType/>
      </UserInfo>
      <UserInfo>
        <DisplayName>Mazeikyte, Agne</DisplayName>
        <AccountId>794</AccountId>
        <AccountType/>
      </UserInfo>
      <UserInfo>
        <DisplayName>Daujotas, Justas</DisplayName>
        <AccountId>754</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3C7E06F7A2ED9E48BB6F393BF1857470" ma:contentTypeVersion="26" ma:contentTypeDescription="Kurkite naują dokumentą." ma:contentTypeScope="" ma:versionID="f87e3fb4635faf4b8f64c2b348042845">
  <xsd:schema xmlns:xsd="http://www.w3.org/2001/XMLSchema" xmlns:xs="http://www.w3.org/2001/XMLSchema" xmlns:p="http://schemas.microsoft.com/office/2006/metadata/properties" xmlns:ns2="afc9b743-3fd2-4cd2-8f8f-14054e48b274" xmlns:ns3="b76a844d-d15d-452e-b76a-d726ef4d8e8f" targetNamespace="http://schemas.microsoft.com/office/2006/metadata/properties" ma:root="true" ma:fieldsID="f4ed19758b7167822a36dcfcb083479d" ns2:_="" ns3:_="">
    <xsd:import namespace="afc9b743-3fd2-4cd2-8f8f-14054e48b274"/>
    <xsd:import namespace="b76a844d-d15d-452e-b76a-d726ef4d8e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entryintofoce" minOccurs="0"/>
                <xsd:element ref="ns2:owner" minOccurs="0"/>
                <xsd:element ref="ns2:outsourcing" minOccurs="0"/>
                <xsd:element ref="ns2:applicable" minOccurs="0"/>
                <xsd:element ref="ns2:Datareceived" minOccurs="0"/>
                <xsd:element ref="ns2:comment" minOccurs="0"/>
                <xsd:element ref="ns2:MediaServiceAutoKeyPoints" minOccurs="0"/>
                <xsd:element ref="ns2:MediaServiceKeyPoints" minOccurs="0"/>
                <xsd:element ref="ns2:MediaLengthInSeconds" minOccurs="0"/>
                <xsd:element ref="ns2:Responsibleperson" minOccurs="0"/>
                <xsd:element ref="ns2:Progres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b743-3fd2-4cd2-8f8f-14054e48b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entryintofoce" ma:index="18" nillable="true" ma:displayName="entry into foce" ma:format="DateOnly" ma:internalName="entryintofoce">
      <xsd:simpleType>
        <xsd:restriction base="dms:DateTime"/>
      </xsd:simpleType>
    </xsd:element>
    <xsd:element name="owner" ma:index="19" nillable="true" ma:displayName="owner" ma:format="Dropdown" ma:list="UserInfo" ma:SharePointGroup="0"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utsourcing" ma:index="20" nillable="true" ma:displayName="outsourcing" ma:default="1" ma:format="Dropdown" ma:internalName="outsourcing">
      <xsd:simpleType>
        <xsd:restriction base="dms:Boolean"/>
      </xsd:simpleType>
    </xsd:element>
    <xsd:element name="applicable" ma:index="21" nillable="true" ma:displayName="applicable" ma:format="Dropdown" ma:internalName="applicable">
      <xsd:simpleType>
        <xsd:restriction base="dms:Choice">
          <xsd:enumeration value="Baltic"/>
          <xsd:enumeration value="LT"/>
          <xsd:enumeration value="LV"/>
          <xsd:enumeration value="EE"/>
        </xsd:restriction>
      </xsd:simpleType>
    </xsd:element>
    <xsd:element name="Datareceived" ma:index="22" nillable="true" ma:displayName="Data received" ma:format="Dropdown" ma:internalName="Datareceived">
      <xsd:simpleType>
        <xsd:restriction base="dms:Text">
          <xsd:maxLength value="255"/>
        </xsd:restriction>
      </xsd:simpleType>
    </xsd:element>
    <xsd:element name="comment" ma:index="23" nillable="true" ma:displayName="comment" ma:format="Dropdown" ma:internalName="comment">
      <xsd:simpleType>
        <xsd:restriction base="dms:Note">
          <xsd:maxLength value="255"/>
        </xsd:restriction>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Responsibleperson" ma:index="27" nillable="true" ma:displayName="Responsible person" ma:format="Dropdown" ma:list="UserInfo" ma:SharePointGroup="0" ma:internalName="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gress" ma:index="28" nillable="true" ma:displayName="Progress" ma:default="Not Started" ma:internalName="Progress">
      <xsd:simpleType>
        <xsd:restriction base="dms:Unknown">
          <xsd:enumeration value="Uploaded"/>
          <xsd:enumeration value="In Progress"/>
          <xsd:enumeration value="Not Started"/>
        </xsd:restriction>
      </xsd:simpleType>
    </xsd:element>
    <xsd:element name="lcf76f155ced4ddcb4097134ff3c332f" ma:index="30" nillable="true" ma:taxonomy="true" ma:internalName="lcf76f155ced4ddcb4097134ff3c332f" ma:taxonomyFieldName="MediaServiceImageTags" ma:displayName="Vaizdų žymės" ma:readOnly="false" ma:fieldId="{5cf76f15-5ced-4ddc-b409-7134ff3c332f}" ma:taxonomyMulti="true" ma:sspId="4d3b2892-c523-4236-a773-87618c73905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6a844d-d15d-452e-b76a-d726ef4d8e8f"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31" nillable="true" ma:displayName="Taxonomy Catch All Column" ma:hidden="true" ma:list="{619187ad-682c-4746-9ced-c50da9999209}" ma:internalName="TaxCatchAll" ma:showField="CatchAllData" ma:web="b76a844d-d15d-452e-b76a-d726ef4d8e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C7D693-BBFF-4A36-A137-98D800CB3DD1}">
  <ds:schemaRefs>
    <ds:schemaRef ds:uri="http://schemas.microsoft.com/office/2006/metadata/properties"/>
    <ds:schemaRef ds:uri="http://schemas.microsoft.com/office/infopath/2007/PartnerControls"/>
    <ds:schemaRef ds:uri="afc9b743-3fd2-4cd2-8f8f-14054e48b274"/>
    <ds:schemaRef ds:uri="b76a844d-d15d-452e-b76a-d726ef4d8e8f"/>
  </ds:schemaRefs>
</ds:datastoreItem>
</file>

<file path=customXml/itemProps2.xml><?xml version="1.0" encoding="utf-8"?>
<ds:datastoreItem xmlns:ds="http://schemas.openxmlformats.org/officeDocument/2006/customXml" ds:itemID="{E467E704-9E5B-4074-9C57-4F350BB84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b743-3fd2-4cd2-8f8f-14054e48b274"/>
    <ds:schemaRef ds:uri="b76a844d-d15d-452e-b76a-d726ef4d8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3BB5F6-4F8E-4E4F-BFD4-B6C90D5FBB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1052</Words>
  <Characters>5997</Characters>
  <Application>Microsoft Office Word</Application>
  <DocSecurity>0</DocSecurity>
  <Lines>49</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Daujotas, Justas</dc:creator>
  <cp:keywords/>
  <dc:description/>
  <cp:lastModifiedBy>Simona Survilaitė</cp:lastModifiedBy>
  <cp:revision>25</cp:revision>
  <dcterms:created xsi:type="dcterms:W3CDTF">2023-10-02T07:10:00Z</dcterms:created>
  <dcterms:modified xsi:type="dcterms:W3CDTF">2024-04-04T06:06:00Z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0x0101003C7E06F7A2ED9E48BB6F393BF1857470</vt:lpwstr>
  </property>
  <property fmtid="{D5CDD505-2E9C-101B-9397-08002B2CF9AE}" pid="3" name="MediaServiceImageTags">
    <vt:lpwstr/>
  </property>
</Properties>
</file>