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C0189" w14:textId="264A2D4F" w:rsidR="00A728AA" w:rsidRDefault="00A33ED1" w:rsidP="0017754C">
      <w:pPr>
        <w:snapToGrid w:val="0"/>
        <w:spacing w:after="0"/>
        <w:jc w:val="left"/>
        <w:rPr>
          <w:rFonts w:ascii="Verdana" w:hAnsi="Verdana"/>
          <w:b/>
          <w:sz w:val="24"/>
          <w:szCs w:val="24"/>
        </w:rPr>
      </w:pPr>
      <w:r w:rsidRPr="00A33ED1">
        <w:rPr>
          <w:rFonts w:ascii="Verdana" w:hAnsi="Verdana"/>
          <w:b/>
          <w:sz w:val="24"/>
          <w:szCs w:val="24"/>
        </w:rPr>
        <w:t xml:space="preserve">„Citus“ ekspertai: </w:t>
      </w:r>
      <w:r w:rsidR="00BE1ADF">
        <w:rPr>
          <w:rFonts w:ascii="Verdana" w:hAnsi="Verdana"/>
          <w:b/>
          <w:sz w:val="24"/>
          <w:szCs w:val="24"/>
        </w:rPr>
        <w:t>įsigytas turtas turi hipoteką; ką galiu ir ko negaliu su juo daryti, o ko vengti bet kokiomis aplinkybėmis</w:t>
      </w:r>
    </w:p>
    <w:p w14:paraId="46D0FC66" w14:textId="2C911872" w:rsidR="00C35436" w:rsidRPr="0017754C" w:rsidRDefault="00B41BA4" w:rsidP="0017754C">
      <w:pPr>
        <w:snapToGrid w:val="0"/>
        <w:spacing w:after="0"/>
        <w:jc w:val="left"/>
        <w:rPr>
          <w:rFonts w:ascii="Verdana" w:hAnsi="Verdana" w:cs="Open Sans Light"/>
          <w:i/>
          <w:color w:val="000000" w:themeColor="text1"/>
          <w:sz w:val="16"/>
          <w:szCs w:val="16"/>
        </w:rPr>
      </w:pPr>
      <w:r w:rsidRPr="0017754C">
        <w:rPr>
          <w:rFonts w:ascii="Verdana" w:hAnsi="Verdana" w:cs="Open Sans Light"/>
          <w:i/>
          <w:color w:val="000000" w:themeColor="text1"/>
          <w:sz w:val="16"/>
          <w:szCs w:val="16"/>
        </w:rPr>
        <w:t>202</w:t>
      </w:r>
      <w:r w:rsidR="001B4689">
        <w:rPr>
          <w:rFonts w:ascii="Verdana" w:hAnsi="Verdana" w:cs="Open Sans Light"/>
          <w:i/>
          <w:color w:val="000000" w:themeColor="text1"/>
          <w:sz w:val="16"/>
          <w:szCs w:val="16"/>
        </w:rPr>
        <w:t>4</w:t>
      </w:r>
      <w:r w:rsidRPr="0017754C">
        <w:rPr>
          <w:rFonts w:ascii="Verdana" w:hAnsi="Verdana" w:cs="Open Sans Light"/>
          <w:i/>
          <w:color w:val="000000" w:themeColor="text1"/>
          <w:sz w:val="16"/>
          <w:szCs w:val="16"/>
        </w:rPr>
        <w:t xml:space="preserve"> m. </w:t>
      </w:r>
      <w:r w:rsidR="00A33ED1">
        <w:rPr>
          <w:rFonts w:ascii="Verdana" w:hAnsi="Verdana" w:cs="Open Sans Light"/>
          <w:i/>
          <w:color w:val="000000" w:themeColor="text1"/>
          <w:sz w:val="16"/>
          <w:szCs w:val="16"/>
        </w:rPr>
        <w:t>balandžio</w:t>
      </w:r>
      <w:r w:rsidRPr="0017754C">
        <w:rPr>
          <w:rFonts w:ascii="Verdana" w:hAnsi="Verdana" w:cs="Open Sans Light"/>
          <w:i/>
          <w:color w:val="000000" w:themeColor="text1"/>
          <w:sz w:val="16"/>
          <w:szCs w:val="16"/>
        </w:rPr>
        <w:t xml:space="preserve"> </w:t>
      </w:r>
      <w:r w:rsidR="00BE1ADF">
        <w:rPr>
          <w:rFonts w:ascii="Verdana" w:hAnsi="Verdana" w:cs="Open Sans Light"/>
          <w:i/>
          <w:color w:val="000000" w:themeColor="text1"/>
          <w:sz w:val="16"/>
          <w:szCs w:val="16"/>
        </w:rPr>
        <w:t>29</w:t>
      </w:r>
      <w:r w:rsidRPr="0017754C">
        <w:rPr>
          <w:rFonts w:ascii="Verdana" w:hAnsi="Verdana" w:cs="Open Sans Light"/>
          <w:i/>
          <w:color w:val="000000" w:themeColor="text1"/>
          <w:sz w:val="16"/>
          <w:szCs w:val="16"/>
        </w:rPr>
        <w:t xml:space="preserve"> d.</w:t>
      </w:r>
    </w:p>
    <w:p w14:paraId="48F4F2C2" w14:textId="77777777" w:rsidR="00B41BA4" w:rsidRPr="0017754C" w:rsidRDefault="00B41BA4" w:rsidP="0017754C">
      <w:pPr>
        <w:snapToGrid w:val="0"/>
        <w:spacing w:after="0"/>
        <w:rPr>
          <w:rFonts w:ascii="Verdana" w:hAnsi="Verdana" w:cstheme="majorHAnsi"/>
          <w:color w:val="000000" w:themeColor="text1"/>
          <w:sz w:val="18"/>
          <w:szCs w:val="18"/>
        </w:rPr>
      </w:pPr>
    </w:p>
    <w:p w14:paraId="130AFAA1" w14:textId="061B4C43" w:rsidR="00BE1ADF" w:rsidRPr="00BE1ADF" w:rsidRDefault="00BE1ADF" w:rsidP="00BE1ADF">
      <w:pPr>
        <w:pBdr>
          <w:bottom w:val="single" w:sz="8" w:space="1" w:color="FFC000"/>
        </w:pBdr>
        <w:rPr>
          <w:rFonts w:ascii="Verdana" w:hAnsi="Verdana"/>
          <w:b/>
          <w:bCs/>
          <w:sz w:val="18"/>
          <w:szCs w:val="18"/>
        </w:rPr>
      </w:pPr>
      <w:r w:rsidRPr="00BE1ADF">
        <w:rPr>
          <w:rFonts w:ascii="Verdana" w:hAnsi="Verdana"/>
          <w:b/>
          <w:bCs/>
          <w:sz w:val="18"/>
          <w:szCs w:val="18"/>
        </w:rPr>
        <w:t>Pirkdami būstą su paskola ar kreditu</w:t>
      </w:r>
      <w:r w:rsidR="00705320">
        <w:rPr>
          <w:rFonts w:ascii="Verdana" w:hAnsi="Verdana"/>
          <w:b/>
          <w:bCs/>
          <w:sz w:val="18"/>
          <w:szCs w:val="18"/>
        </w:rPr>
        <w:t>,</w:t>
      </w:r>
      <w:r w:rsidRPr="00BE1ADF">
        <w:rPr>
          <w:rFonts w:ascii="Verdana" w:hAnsi="Verdana"/>
          <w:b/>
          <w:bCs/>
          <w:sz w:val="18"/>
          <w:szCs w:val="18"/>
        </w:rPr>
        <w:t xml:space="preserve"> dažniausiai, turime sudaryti ir hipotekos sutartį, tai yra įkeisti turtą kaip užstatą. Kas yra ta hipoteka, kam ji reikalinga ir ko jokiu būdu nerekomenduojama daryti</w:t>
      </w:r>
      <w:r w:rsidR="00705320">
        <w:rPr>
          <w:rFonts w:ascii="Verdana" w:hAnsi="Verdana"/>
          <w:b/>
          <w:bCs/>
          <w:sz w:val="18"/>
          <w:szCs w:val="18"/>
        </w:rPr>
        <w:t xml:space="preserve"> –</w:t>
      </w:r>
      <w:r w:rsidRPr="00BE1ADF">
        <w:rPr>
          <w:rFonts w:ascii="Verdana" w:hAnsi="Verdana"/>
          <w:b/>
          <w:bCs/>
          <w:sz w:val="18"/>
          <w:szCs w:val="18"/>
        </w:rPr>
        <w:t xml:space="preserve"> net ir susidūrus su sunkumais mokant įmokas, pasakoja kūrybiškų NT projektų ir vietokūros kompanijos „Citus“ teisininkė Ieva </w:t>
      </w:r>
      <w:proofErr w:type="spellStart"/>
      <w:r w:rsidRPr="00BE1ADF">
        <w:rPr>
          <w:rFonts w:ascii="Verdana" w:hAnsi="Verdana"/>
          <w:b/>
          <w:bCs/>
          <w:sz w:val="18"/>
          <w:szCs w:val="18"/>
        </w:rPr>
        <w:t>Pukelienė</w:t>
      </w:r>
      <w:proofErr w:type="spellEnd"/>
      <w:r w:rsidRPr="00BE1ADF">
        <w:rPr>
          <w:rFonts w:ascii="Verdana" w:hAnsi="Verdana"/>
          <w:b/>
          <w:bCs/>
          <w:sz w:val="18"/>
          <w:szCs w:val="18"/>
        </w:rPr>
        <w:t>.</w:t>
      </w:r>
    </w:p>
    <w:p w14:paraId="273DB720" w14:textId="77777777" w:rsidR="00BE1ADF" w:rsidRPr="00BE1ADF" w:rsidRDefault="00BE1ADF" w:rsidP="00BE1ADF">
      <w:pPr>
        <w:pBdr>
          <w:bottom w:val="single" w:sz="8" w:space="1" w:color="FFC000"/>
        </w:pBdr>
        <w:rPr>
          <w:rFonts w:ascii="Verdana" w:hAnsi="Verdana"/>
          <w:sz w:val="18"/>
          <w:szCs w:val="18"/>
        </w:rPr>
      </w:pPr>
      <w:r w:rsidRPr="00BE1ADF">
        <w:rPr>
          <w:rFonts w:ascii="Verdana" w:hAnsi="Verdana"/>
          <w:sz w:val="18"/>
          <w:szCs w:val="18"/>
        </w:rPr>
        <w:t>„Pirkdami brangesnį turtą – būstą ar automobilį – jį įkeičiame kaip užstatą kreditoriui. Kartais užstato reikia ir skolinantis didesnę sumą pinigų, tarkime, namuose darant remontą. Tai yra įsipareigojimas kreditoriui, kad besiskolinantysis laikysis kredito grąžinimo sąlygų. Teisiškai, įkeistas turtas visiškai priklauso jo savininkui, kurie ir yra jo šeimininkai, tačiau dar vis pasigirsta kalbų, kad įkeistas turtas priklauso bankui. Tad kartais, iš nežinojimo, kyla tam tikrų nesusipratimų, todėl labai svarbu suprasti savo, kaip turto šeimininkų teises, pareigas bei atsakomybes, kad nesusipratimai nevirstų problemomis“, – pabrėžia „Citus“ ekspertė.</w:t>
      </w:r>
    </w:p>
    <w:p w14:paraId="05A708CA" w14:textId="77777777" w:rsidR="00BE1ADF" w:rsidRPr="00BE1ADF" w:rsidRDefault="00BE1ADF" w:rsidP="00BE1ADF">
      <w:pPr>
        <w:pBdr>
          <w:bottom w:val="single" w:sz="8" w:space="1" w:color="FFC000"/>
        </w:pBdr>
        <w:rPr>
          <w:rFonts w:ascii="Verdana" w:hAnsi="Verdana"/>
          <w:b/>
          <w:bCs/>
          <w:sz w:val="18"/>
          <w:szCs w:val="18"/>
        </w:rPr>
      </w:pPr>
      <w:r w:rsidRPr="00BE1ADF">
        <w:rPr>
          <w:rFonts w:ascii="Verdana" w:hAnsi="Verdana"/>
          <w:b/>
          <w:bCs/>
          <w:sz w:val="18"/>
          <w:szCs w:val="18"/>
        </w:rPr>
        <w:t xml:space="preserve">Kuo svarbi ir </w:t>
      </w:r>
      <w:r w:rsidRPr="00BE1ADF">
        <w:rPr>
          <w:rFonts w:ascii="Verdana" w:hAnsi="Verdana"/>
          <w:b/>
          <w:bCs/>
          <w:i/>
          <w:iCs/>
          <w:sz w:val="18"/>
          <w:szCs w:val="18"/>
        </w:rPr>
        <w:t>patogi</w:t>
      </w:r>
      <w:r w:rsidRPr="00BE1ADF">
        <w:rPr>
          <w:rFonts w:ascii="Verdana" w:hAnsi="Verdana"/>
          <w:b/>
          <w:bCs/>
          <w:sz w:val="18"/>
          <w:szCs w:val="18"/>
        </w:rPr>
        <w:t xml:space="preserve"> hipoteka</w:t>
      </w:r>
    </w:p>
    <w:p w14:paraId="7408EFC4" w14:textId="77777777" w:rsidR="00BE1ADF" w:rsidRPr="00BE1ADF" w:rsidRDefault="00BE1ADF" w:rsidP="00BE1ADF">
      <w:pPr>
        <w:pBdr>
          <w:bottom w:val="single" w:sz="8" w:space="1" w:color="FFC000"/>
        </w:pBdr>
        <w:rPr>
          <w:rFonts w:ascii="Verdana" w:hAnsi="Verdana"/>
          <w:sz w:val="18"/>
          <w:szCs w:val="18"/>
        </w:rPr>
      </w:pPr>
      <w:r w:rsidRPr="00BE1ADF">
        <w:rPr>
          <w:rFonts w:ascii="Verdana" w:hAnsi="Verdana"/>
          <w:sz w:val="18"/>
          <w:szCs w:val="18"/>
        </w:rPr>
        <w:t>Perkant turtą, aiškina teisininkė, paprastai sudaroma hipotekos sutartis. Ši sąvoka taip pat ne visiems aiški ir specialistė sako, kad tai yra sutartis, su papildomomis bei specifinėmis sąlygomis, kurių dalis yra svarbios ir naudingos besiskolinančiam pinigines lėšas ir turtą įkeičiančiam pirkėjui.</w:t>
      </w:r>
    </w:p>
    <w:p w14:paraId="15E32FDC" w14:textId="77777777" w:rsidR="00BE1ADF" w:rsidRPr="00BE1ADF" w:rsidRDefault="00BE1ADF" w:rsidP="00BE1ADF">
      <w:pPr>
        <w:pBdr>
          <w:bottom w:val="single" w:sz="8" w:space="1" w:color="FFC000"/>
        </w:pBdr>
        <w:rPr>
          <w:rFonts w:ascii="Verdana" w:hAnsi="Verdana"/>
          <w:sz w:val="18"/>
          <w:szCs w:val="18"/>
        </w:rPr>
      </w:pPr>
      <w:r w:rsidRPr="00BE1ADF">
        <w:rPr>
          <w:rFonts w:ascii="Verdana" w:hAnsi="Verdana"/>
          <w:sz w:val="18"/>
          <w:szCs w:val="18"/>
        </w:rPr>
        <w:t>Oficialiai, hipoteka – daiktinė teisė į svetimą nekilnojamąjį daiktą, kuria užtikrinamas tinkamas esamos ar būsimos turtinės prievolės įvykdymas, kai įkeistas turtas neperduodamas kreditoriui. Hipotekos sutartis užtikrina, kad skolininkui nevykdant sutarties, kreditorius turės teisines priemones susigrąžinti pinigus.</w:t>
      </w:r>
    </w:p>
    <w:p w14:paraId="47AFD5ED" w14:textId="127B4F74" w:rsidR="00BE1ADF" w:rsidRPr="00BE1ADF" w:rsidRDefault="00BE1ADF" w:rsidP="00BE1ADF">
      <w:pPr>
        <w:pBdr>
          <w:bottom w:val="single" w:sz="8" w:space="1" w:color="FFC000"/>
        </w:pBdr>
        <w:rPr>
          <w:rFonts w:ascii="Verdana" w:hAnsi="Verdana"/>
          <w:sz w:val="18"/>
          <w:szCs w:val="18"/>
        </w:rPr>
      </w:pPr>
      <w:r w:rsidRPr="00BE1ADF">
        <w:rPr>
          <w:rFonts w:ascii="Verdana" w:hAnsi="Verdana"/>
          <w:sz w:val="18"/>
          <w:szCs w:val="18"/>
        </w:rPr>
        <w:t xml:space="preserve">„Paprastai kalbant, hipotekos sutartis – tai besiskolinančiojo pasižadėjimas, tarsi „garantija“ kreditoriui, vykdyti visas kredito sutartyje sulygtas sąlygas. Hipotekos sutartis sudaroma tik nekilnojamojo turto įkeitimo atveju ir yra registruojama viešame registre. Jis anksčiau vadinosi Hipotekos registru, o dabar – Sutarčių ir teisių suvaržymų registru, kurį valdo Registrų centras. Registrų centro savitarnoje yra galimybė rasti informaciją apie sudarytas ir įregistruotas hipotekos ar įkeitimo sutartis. Iš esmės tai yra teisės aktais įtvirtinta skolinimosi užtikrinimo sistema, kuri supaprastina konfliktų tarp skolininko ir kreditoriaus sprendimą, nes dėl skolos grąžinimo nereikia kreiptis į teismą – pakanka notaro išduodamo vykdomojo įrašo, kuris turi vykdomojo dokumento galią. Be to, ši sistema saugo ir besiskolinančius žmones“, – aiškina I. </w:t>
      </w:r>
      <w:proofErr w:type="spellStart"/>
      <w:r w:rsidRPr="00BE1ADF">
        <w:rPr>
          <w:rFonts w:ascii="Verdana" w:hAnsi="Verdana"/>
          <w:sz w:val="18"/>
          <w:szCs w:val="18"/>
        </w:rPr>
        <w:t>Pukelienė</w:t>
      </w:r>
      <w:proofErr w:type="spellEnd"/>
      <w:r w:rsidRPr="00BE1ADF">
        <w:rPr>
          <w:rFonts w:ascii="Verdana" w:hAnsi="Verdana"/>
          <w:sz w:val="18"/>
          <w:szCs w:val="18"/>
        </w:rPr>
        <w:t>.</w:t>
      </w:r>
    </w:p>
    <w:p w14:paraId="3FAEB81E" w14:textId="77777777" w:rsidR="00BE1ADF" w:rsidRPr="00BE1ADF" w:rsidRDefault="00BE1ADF" w:rsidP="00BE1ADF">
      <w:pPr>
        <w:pBdr>
          <w:bottom w:val="single" w:sz="8" w:space="1" w:color="FFC000"/>
        </w:pBdr>
        <w:rPr>
          <w:rFonts w:ascii="Verdana" w:hAnsi="Verdana"/>
          <w:sz w:val="18"/>
          <w:szCs w:val="18"/>
        </w:rPr>
      </w:pPr>
      <w:r w:rsidRPr="00BE1ADF">
        <w:rPr>
          <w:rFonts w:ascii="Verdana" w:hAnsi="Verdana"/>
          <w:sz w:val="18"/>
          <w:szCs w:val="18"/>
        </w:rPr>
        <w:t>Pirmiausia, kaip numatyta LR Civiliniame kodekse, kreditorius negali nepagrįstai praturtėti skolininko sąskaita, o pastarasis turi teisę reikalauti padengti nuostolius, jei juos skolininkas patiria kreditoriui pradėjus neteisėtą išieškojimą ar neteisėtą priverstinį pardavimą.</w:t>
      </w:r>
    </w:p>
    <w:p w14:paraId="2CDA3AA1" w14:textId="77777777" w:rsidR="00BE1ADF" w:rsidRPr="00BE1ADF" w:rsidRDefault="00BE1ADF" w:rsidP="00BE1ADF">
      <w:pPr>
        <w:pBdr>
          <w:bottom w:val="single" w:sz="8" w:space="1" w:color="FFC000"/>
        </w:pBdr>
        <w:rPr>
          <w:rFonts w:ascii="Verdana" w:hAnsi="Verdana"/>
          <w:sz w:val="18"/>
          <w:szCs w:val="18"/>
        </w:rPr>
      </w:pPr>
      <w:r w:rsidRPr="00BE1ADF">
        <w:rPr>
          <w:rFonts w:ascii="Verdana" w:hAnsi="Verdana"/>
          <w:sz w:val="18"/>
          <w:szCs w:val="18"/>
        </w:rPr>
        <w:t>Taip pat hipoteka netrukdo, jei tai leidžia kredito sutartis, anksčiau termino grąžinti kreditą – įvykdžius kredito sutarties įsipareigojimus ir ją užbaigus, pasibaigs ir hipoteka.</w:t>
      </w:r>
    </w:p>
    <w:p w14:paraId="4B080343" w14:textId="77777777" w:rsidR="00BE1ADF" w:rsidRPr="00BE1ADF" w:rsidRDefault="00BE1ADF" w:rsidP="00BE1ADF">
      <w:pPr>
        <w:pBdr>
          <w:bottom w:val="single" w:sz="8" w:space="1" w:color="FFC000"/>
        </w:pBdr>
        <w:rPr>
          <w:rFonts w:ascii="Verdana" w:hAnsi="Verdana"/>
          <w:sz w:val="18"/>
          <w:szCs w:val="18"/>
        </w:rPr>
      </w:pPr>
      <w:r w:rsidRPr="00BE1ADF">
        <w:rPr>
          <w:rFonts w:ascii="Verdana" w:hAnsi="Verdana"/>
          <w:sz w:val="18"/>
          <w:szCs w:val="18"/>
        </w:rPr>
        <w:t>Apskritai, hipoteka neatima ar nepakeičia teisės įkeičiamo turto savininkui tą turtą valdyti, naudoti ir juo disponuoti atsižvelgiant į hipotekos kreditoriaus teises – šį turtą savininkas gali perleisti kito asmens nuosavybėn, pakartotinai įkeisti, išnuomoti ar dovanoti. Pardavimo atveju, dažniausiai, skola kreditoriui yra padengiama iš gautų lėšų, tačiau savininkas, suderinęs su kreditoriumi, taip pat turi teisę ne grąžinti skolą, o kartu su hipoteka, ją perkelti kitam asmeniui (naujajam skolininkui), kuris sutinka ir perima skolininko įsipareigojimus kreditoriui pagal kredito sutartį.</w:t>
      </w:r>
    </w:p>
    <w:p w14:paraId="0D71F3D7" w14:textId="77777777" w:rsidR="00BE1ADF" w:rsidRPr="00BE1ADF" w:rsidRDefault="00BE1ADF" w:rsidP="00BE1ADF">
      <w:pPr>
        <w:pBdr>
          <w:bottom w:val="single" w:sz="8" w:space="1" w:color="FFC000"/>
        </w:pBdr>
        <w:rPr>
          <w:rFonts w:ascii="Verdana" w:hAnsi="Verdana"/>
          <w:sz w:val="18"/>
          <w:szCs w:val="18"/>
        </w:rPr>
      </w:pPr>
      <w:r w:rsidRPr="00BE1ADF">
        <w:rPr>
          <w:rFonts w:ascii="Verdana" w:hAnsi="Verdana"/>
          <w:sz w:val="18"/>
          <w:szCs w:val="18"/>
        </w:rPr>
        <w:t>Dar vienas patogus niuansas – hipotekos objektu gali būti ir nekilnojamojo turto dalis, pvz., automobilio stovėjimo vieta ar dalis žemės sklypo, jei turto vertės pakanka įsipareigojimams užtikrinti. Tokiu atveju turto savininkui nereikia įkeisti viso turto.</w:t>
      </w:r>
    </w:p>
    <w:p w14:paraId="67A4320E" w14:textId="77777777" w:rsidR="00BE1ADF" w:rsidRPr="00BE1ADF" w:rsidRDefault="00BE1ADF" w:rsidP="00BE1ADF">
      <w:pPr>
        <w:pBdr>
          <w:bottom w:val="single" w:sz="8" w:space="1" w:color="FFC000"/>
        </w:pBdr>
        <w:rPr>
          <w:rFonts w:ascii="Verdana" w:hAnsi="Verdana"/>
          <w:sz w:val="18"/>
          <w:szCs w:val="18"/>
        </w:rPr>
      </w:pPr>
      <w:r w:rsidRPr="00BE1ADF">
        <w:rPr>
          <w:rFonts w:ascii="Verdana" w:hAnsi="Verdana"/>
          <w:sz w:val="18"/>
          <w:szCs w:val="18"/>
        </w:rPr>
        <w:t>Labai svarbu atidžiai išnagrinėti tiek kredito, tiek hipotekos sutarčių sąlygas, pažymi „Citus“ teisininkė: kas bus hipotekos sutarties šalys, ar teisingai, kaip sutarta, nurodytas hipotekos objektas, kredito suma, grąžinimo terminai, papildomi privalomi mokėjimai bei kitos sąlygos. Ne mažiau dėmesio reikia skirti pačios hipotekos sudarymo sąlygoms: kokius veiksmus su įkeistu turtu galės atlikti jo savininkas, kaip ir kada galės išregistruoti hipoteką ir kas nutiks, jei realizuosis blogiausias scenarijus: kokiais atvejais ir kokia tvarka kreditorius gali pradėti išieškojimą. Numatytos kredito sumos išieškojimo aplinkybės bei pagrindai dažniausiai apibrėžiami tiek kredito, tiek hipotekos sutartyje, todėl išanalizuoti būtina ir ją.</w:t>
      </w:r>
    </w:p>
    <w:p w14:paraId="212130B5" w14:textId="77777777" w:rsidR="00BE1ADF" w:rsidRPr="00BE1ADF" w:rsidRDefault="00BE1ADF" w:rsidP="00BE1ADF">
      <w:pPr>
        <w:pBdr>
          <w:bottom w:val="single" w:sz="8" w:space="1" w:color="FFC000"/>
        </w:pBdr>
        <w:rPr>
          <w:rFonts w:ascii="Verdana" w:hAnsi="Verdana"/>
          <w:b/>
          <w:bCs/>
          <w:sz w:val="18"/>
          <w:szCs w:val="18"/>
        </w:rPr>
      </w:pPr>
      <w:r w:rsidRPr="00BE1ADF">
        <w:rPr>
          <w:rFonts w:ascii="Verdana" w:hAnsi="Verdana"/>
          <w:b/>
          <w:bCs/>
          <w:sz w:val="18"/>
          <w:szCs w:val="18"/>
        </w:rPr>
        <w:t>Ką daryti ir ko vengti susidūrus su sunkumais</w:t>
      </w:r>
    </w:p>
    <w:p w14:paraId="11565FA1" w14:textId="77777777" w:rsidR="00BE1ADF" w:rsidRPr="00BE1ADF" w:rsidRDefault="00BE1ADF" w:rsidP="00BE1ADF">
      <w:pPr>
        <w:pBdr>
          <w:bottom w:val="single" w:sz="8" w:space="1" w:color="FFC000"/>
        </w:pBdr>
        <w:rPr>
          <w:rFonts w:ascii="Verdana" w:hAnsi="Verdana"/>
          <w:sz w:val="18"/>
          <w:szCs w:val="18"/>
        </w:rPr>
      </w:pPr>
      <w:r w:rsidRPr="00BE1ADF">
        <w:rPr>
          <w:rFonts w:ascii="Verdana" w:hAnsi="Verdana"/>
          <w:sz w:val="18"/>
          <w:szCs w:val="18"/>
        </w:rPr>
        <w:t>„Atrodo paprastas ir akivaizdus faktas: jei norime įsigyti brangų pirkinį ir turime jam pasiskolinti pinigų, įsipareigojame tuos pinigus grąžinti ir laikytis kitų sutarties sąlygų. Kai yra poreikis ar didelis noras, tvirtai tuos įsipareigojimus prisiimame ir viskas atrodo aišku. Tačiau kartais, kai pasikeičia aplinkybės, situacija tampa nepalanki ir susiduriame su iššūkiais laikytis sutarties, viskas ima atrodyti kitaip. Gali atrodyti, kad susiklosčiusios aplinkybės yra išskirtinės, labai svarbios ir pateisinamos, tačiau sutartyse ir teisėje nėra vietos emocijoms, yra susitarimai, teisės ir pareigos. Todėl geriau nepasiklysti tose emocijose, nesukurti nereikalingo streso, o spręsti situaciją kol ji netapo problema“, – pataria teisės specialistė.</w:t>
      </w:r>
    </w:p>
    <w:p w14:paraId="399F6F17" w14:textId="77777777" w:rsidR="00BE1ADF" w:rsidRPr="00BE1ADF" w:rsidRDefault="00BE1ADF" w:rsidP="00BE1ADF">
      <w:pPr>
        <w:pBdr>
          <w:bottom w:val="single" w:sz="8" w:space="1" w:color="FFC000"/>
        </w:pBdr>
        <w:rPr>
          <w:rFonts w:ascii="Verdana" w:hAnsi="Verdana"/>
          <w:sz w:val="18"/>
          <w:szCs w:val="18"/>
        </w:rPr>
      </w:pPr>
      <w:r w:rsidRPr="00BE1ADF">
        <w:rPr>
          <w:rFonts w:ascii="Verdana" w:hAnsi="Verdana"/>
          <w:sz w:val="18"/>
          <w:szCs w:val="18"/>
        </w:rPr>
        <w:lastRenderedPageBreak/>
        <w:t>Ji akcentuoja, kad turto pirkėjas, ir turto hipotekos ar kitokio įkeitimo atveju, yra jo šeimininkas ir su tuo, kaip minėta, susijusios ne tik teisės, bet ir pareigos. Pavyzdžiui: prižiūrėti turtą, mokėti mokesčius, tvarkyti, remontuoti butą ar kaupti daugiabučio namo fonde lėšas su kaimynais, jei būstas yra daugiabučiame name.</w:t>
      </w:r>
    </w:p>
    <w:p w14:paraId="3475A9C3" w14:textId="77777777" w:rsidR="00BE1ADF" w:rsidRPr="00BE1ADF" w:rsidRDefault="00BE1ADF" w:rsidP="00BE1ADF">
      <w:pPr>
        <w:pBdr>
          <w:bottom w:val="single" w:sz="8" w:space="1" w:color="FFC000"/>
        </w:pBdr>
        <w:rPr>
          <w:rFonts w:ascii="Verdana" w:hAnsi="Verdana"/>
          <w:sz w:val="18"/>
          <w:szCs w:val="18"/>
        </w:rPr>
      </w:pPr>
      <w:r w:rsidRPr="00BE1ADF">
        <w:rPr>
          <w:rFonts w:ascii="Verdana" w:hAnsi="Verdana"/>
          <w:sz w:val="18"/>
          <w:szCs w:val="18"/>
        </w:rPr>
        <w:t>Teisininkė pastebi, kad pasitaiko atvejų, kai būstą su kreditu pirkę ir jį hipoteka įkeitę žmonės mano, kad būsto savininku tampa kreditorius, kuris yra atsakingas už esminius sprendimus susijusius su turtu, ir skolininkui pavyks kai kurių įsipareigojimų išvengti.</w:t>
      </w:r>
    </w:p>
    <w:p w14:paraId="20FE609A" w14:textId="77777777" w:rsidR="00BE1ADF" w:rsidRPr="00BE1ADF" w:rsidRDefault="00BE1ADF" w:rsidP="00BE1ADF">
      <w:pPr>
        <w:pBdr>
          <w:bottom w:val="single" w:sz="8" w:space="1" w:color="FFC000"/>
        </w:pBdr>
        <w:rPr>
          <w:rFonts w:ascii="Verdana" w:hAnsi="Verdana"/>
          <w:sz w:val="18"/>
          <w:szCs w:val="18"/>
        </w:rPr>
      </w:pPr>
      <w:r w:rsidRPr="00BE1ADF">
        <w:rPr>
          <w:rFonts w:ascii="Verdana" w:hAnsi="Verdana"/>
          <w:sz w:val="18"/>
          <w:szCs w:val="18"/>
        </w:rPr>
        <w:t>„Tačiau taip nėra: turto savininkas, o ne kreditorius yra atsakingas už visas paminėtas bei kitas priklausančias pareigas ir nuo jų pasislėpti bandyti nėra prasmės. Kaip ir nuo kredito ar hipotekos sutarčių: pranešimų ignoravimas, adreso pakeitimas ar išvykimas į užsienį problemos neišspręs, tik ją pagilins – privers kreditorių imtis kraštutinių išieškojimo veiksmų. Ne kartą esu girdėjusi iš kolegų, dirbančių kreditų, skolų valdymo, sandorių srityse, kad tokiose situacijose atsidūrę žmonės pasielgia neapdairiai. Labai svarbu elgtis protingai ir situaciją kuo greičiau spręsti, nes sprendimo būdų tikrai yra, o delsimas ar neapgalvoti veiksmai gali virsti rimta problema“, – įspėja ekspertė.</w:t>
      </w:r>
    </w:p>
    <w:p w14:paraId="59CCC7B7" w14:textId="77777777" w:rsidR="00BE1ADF" w:rsidRPr="00BE1ADF" w:rsidRDefault="00BE1ADF" w:rsidP="00BE1ADF">
      <w:pPr>
        <w:pBdr>
          <w:bottom w:val="single" w:sz="8" w:space="1" w:color="FFC000"/>
        </w:pBdr>
        <w:rPr>
          <w:rFonts w:ascii="Verdana" w:hAnsi="Verdana"/>
          <w:sz w:val="18"/>
          <w:szCs w:val="18"/>
        </w:rPr>
      </w:pPr>
      <w:r w:rsidRPr="00BE1ADF">
        <w:rPr>
          <w:rFonts w:ascii="Verdana" w:hAnsi="Verdana"/>
          <w:sz w:val="18"/>
          <w:szCs w:val="18"/>
        </w:rPr>
        <w:t>Susidūrus su sunkumais vykdyti kredito sutarties įsipareigojimus – laiku mokėti paskolos įmokas – galimi skirtingi sprendimai. Pradėti vertėtų nuo bandymo sutarti su kreditoriumi dėl laikino įmokų mokėjimo nukėlimo, kredito grąžinimo termino pratęsimo – tokiu būdu sumažėtų mėnesinės įmokos.</w:t>
      </w:r>
    </w:p>
    <w:p w14:paraId="2016942B" w14:textId="77777777" w:rsidR="00BE1ADF" w:rsidRPr="00BE1ADF" w:rsidRDefault="00BE1ADF" w:rsidP="00BE1ADF">
      <w:pPr>
        <w:pBdr>
          <w:bottom w:val="single" w:sz="8" w:space="1" w:color="FFC000"/>
        </w:pBdr>
        <w:rPr>
          <w:rFonts w:ascii="Verdana" w:hAnsi="Verdana"/>
          <w:sz w:val="18"/>
          <w:szCs w:val="18"/>
        </w:rPr>
      </w:pPr>
      <w:r w:rsidRPr="00BE1ADF">
        <w:rPr>
          <w:rFonts w:ascii="Verdana" w:hAnsi="Verdana"/>
          <w:sz w:val="18"/>
          <w:szCs w:val="18"/>
        </w:rPr>
        <w:t xml:space="preserve">Kiti sprendimai – sunkiau realizuojami, tačiau taip pat galimi: galima parduoti įkeistą turtą ir padengti kreditą, parduoti kartu su įsipareigojimais, išnuomoti ir nuomos sutarties pagrindu gautas įmokas skirti kredito įmokų dengimui, </w:t>
      </w:r>
      <w:proofErr w:type="spellStart"/>
      <w:r w:rsidRPr="00BE1ADF">
        <w:rPr>
          <w:rFonts w:ascii="Verdana" w:hAnsi="Verdana"/>
          <w:sz w:val="18"/>
          <w:szCs w:val="18"/>
        </w:rPr>
        <w:t>refinansuoti</w:t>
      </w:r>
      <w:proofErr w:type="spellEnd"/>
      <w:r w:rsidRPr="00BE1ADF">
        <w:rPr>
          <w:rFonts w:ascii="Verdana" w:hAnsi="Verdana"/>
          <w:sz w:val="18"/>
          <w:szCs w:val="18"/>
        </w:rPr>
        <w:t xml:space="preserve"> turimą kreditą, įkeisti papildomą nuosavybės teise turimą turtą arba sudaryti svetimo turto hipoteką, jei turto vertė atitinka įsipareigojimų dydį, ar ieškoti kitų sprendimų pagal individualią situaciją.</w:t>
      </w:r>
    </w:p>
    <w:p w14:paraId="1D3F038D" w14:textId="77777777" w:rsidR="00BE1ADF" w:rsidRPr="00BE1ADF" w:rsidRDefault="00BE1ADF" w:rsidP="00BE1ADF">
      <w:pPr>
        <w:pBdr>
          <w:bottom w:val="single" w:sz="8" w:space="1" w:color="FFC000"/>
        </w:pBdr>
        <w:rPr>
          <w:rFonts w:ascii="Verdana" w:hAnsi="Verdana"/>
          <w:sz w:val="18"/>
          <w:szCs w:val="18"/>
        </w:rPr>
      </w:pPr>
      <w:r w:rsidRPr="00BE1ADF">
        <w:rPr>
          <w:rFonts w:ascii="Verdana" w:hAnsi="Verdana"/>
          <w:sz w:val="18"/>
          <w:szCs w:val="18"/>
        </w:rPr>
        <w:t>Visus šiuos sprendimus dėl tolimesnių veiksmų savo iniciatyva priima įkeisto turto savininkas, tačiau turi juos suderinti su kreditoriumi ir gauti jo sutikimą.</w:t>
      </w:r>
    </w:p>
    <w:p w14:paraId="0FB47948" w14:textId="1577E81B" w:rsidR="009D089A" w:rsidRPr="00BE1ADF" w:rsidRDefault="00BE1ADF" w:rsidP="00BE1ADF">
      <w:pPr>
        <w:pBdr>
          <w:bottom w:val="single" w:sz="8" w:space="1" w:color="FFC000"/>
        </w:pBdr>
        <w:rPr>
          <w:rFonts w:ascii="Verdana" w:hAnsi="Verdana"/>
          <w:sz w:val="18"/>
          <w:szCs w:val="18"/>
        </w:rPr>
      </w:pPr>
      <w:r w:rsidRPr="00BE1ADF">
        <w:rPr>
          <w:rFonts w:ascii="Verdana" w:hAnsi="Verdana"/>
          <w:sz w:val="18"/>
          <w:szCs w:val="18"/>
        </w:rPr>
        <w:t xml:space="preserve">„Gyvename skubėjimo laikais, kai dažnai neturime pakankamai laiko ir galimybių susitaupyti visos dideliam pirkiniui reikalingos sumos. Tačiau tai – ir didelių galimybių laikai, kai tikrai galime pasiskolinti ir įgyvendinti svajones. Tą ir darykime, tik atidžiai susipažinkime ir žinokime savo įsipareigojimus, jų laikykimės bei atsakingai spręskime besikeičiančias situacijas“, – linki „Citus“ teisininkė Ieva </w:t>
      </w:r>
      <w:proofErr w:type="spellStart"/>
      <w:r w:rsidRPr="00BE1ADF">
        <w:rPr>
          <w:rFonts w:ascii="Verdana" w:hAnsi="Verdana"/>
          <w:sz w:val="18"/>
          <w:szCs w:val="18"/>
        </w:rPr>
        <w:t>Pukelienė</w:t>
      </w:r>
      <w:proofErr w:type="spellEnd"/>
      <w:r w:rsidRPr="00BE1ADF">
        <w:rPr>
          <w:rFonts w:ascii="Verdana" w:hAnsi="Verdana"/>
          <w:sz w:val="18"/>
          <w:szCs w:val="18"/>
        </w:rPr>
        <w:t>.</w:t>
      </w:r>
    </w:p>
    <w:p w14:paraId="558C78C5" w14:textId="77777777" w:rsidR="002B447A" w:rsidRPr="0017754C" w:rsidRDefault="002B447A" w:rsidP="0017754C">
      <w:pPr>
        <w:pBdr>
          <w:bottom w:val="single" w:sz="8" w:space="1" w:color="FFC000"/>
        </w:pBdr>
        <w:rPr>
          <w:rFonts w:ascii="Verdana" w:hAnsi="Verdana"/>
          <w:sz w:val="18"/>
          <w:szCs w:val="20"/>
        </w:rPr>
      </w:pPr>
    </w:p>
    <w:p w14:paraId="75AE99DB" w14:textId="4DB54D44" w:rsidR="004137F3" w:rsidRPr="0017754C" w:rsidRDefault="001B4689" w:rsidP="0081024D">
      <w:pPr>
        <w:spacing w:after="100" w:afterAutospacing="1"/>
        <w:contextualSpacing/>
        <w:mirrorIndents/>
        <w:outlineLvl w:val="0"/>
        <w:rPr>
          <w:rFonts w:ascii="Verdana" w:hAnsi="Verdana" w:cstheme="majorHAnsi"/>
          <w:b/>
          <w:sz w:val="18"/>
          <w:szCs w:val="18"/>
          <w:shd w:val="clear" w:color="auto" w:fill="FFFFFF"/>
        </w:rPr>
      </w:pPr>
      <w:r>
        <w:rPr>
          <w:rFonts w:ascii="Verdana" w:hAnsi="Verdana" w:cstheme="majorHAnsi"/>
          <w:b/>
          <w:sz w:val="18"/>
          <w:szCs w:val="18"/>
          <w:shd w:val="clear" w:color="auto" w:fill="FFFFFF"/>
        </w:rPr>
        <w:br/>
      </w:r>
    </w:p>
    <w:p w14:paraId="3187DF5B" w14:textId="77777777" w:rsidR="0081024D" w:rsidRPr="0017754C" w:rsidRDefault="0081024D" w:rsidP="0081024D">
      <w:pPr>
        <w:spacing w:after="100" w:afterAutospacing="1"/>
        <w:contextualSpacing/>
        <w:mirrorIndents/>
        <w:outlineLvl w:val="0"/>
        <w:rPr>
          <w:rFonts w:ascii="Verdana" w:hAnsi="Verdana" w:cs="Open Sans Light"/>
          <w:b/>
          <w:sz w:val="15"/>
          <w:szCs w:val="15"/>
          <w:shd w:val="clear" w:color="auto" w:fill="FFFFFF"/>
        </w:rPr>
      </w:pPr>
      <w:r w:rsidRPr="0017754C">
        <w:rPr>
          <w:rFonts w:ascii="Verdana" w:hAnsi="Verdana" w:cs="Open Sans Light"/>
          <w:b/>
          <w:sz w:val="15"/>
          <w:szCs w:val="15"/>
          <w:shd w:val="clear" w:color="auto" w:fill="FFFFFF"/>
        </w:rPr>
        <w:t xml:space="preserve">Daugiau informacijos: </w:t>
      </w:r>
    </w:p>
    <w:p w14:paraId="475253FD" w14:textId="686F5081" w:rsidR="00481E6F" w:rsidRPr="0017754C" w:rsidRDefault="0081024D">
      <w:pPr>
        <w:jc w:val="left"/>
        <w:rPr>
          <w:rFonts w:ascii="Verdana" w:hAnsi="Verdana" w:cs="Open Sans Light"/>
          <w:color w:val="3B3838" w:themeColor="background2" w:themeShade="40"/>
          <w:sz w:val="15"/>
          <w:szCs w:val="15"/>
          <w:lang w:eastAsia="lt-LT"/>
        </w:rPr>
      </w:pPr>
      <w:r w:rsidRPr="0017754C">
        <w:rPr>
          <w:rFonts w:ascii="Verdana" w:hAnsi="Verdana" w:cs="Open Sans Light"/>
          <w:sz w:val="15"/>
          <w:szCs w:val="15"/>
          <w:lang w:eastAsia="lt-LT"/>
        </w:rPr>
        <w:t>Rytas Stalnionis</w:t>
      </w:r>
      <w:r w:rsidRPr="0017754C">
        <w:rPr>
          <w:rFonts w:ascii="Verdana" w:hAnsi="Verdana" w:cs="Open Sans Light"/>
          <w:sz w:val="15"/>
          <w:szCs w:val="15"/>
          <w:lang w:eastAsia="lt-LT"/>
        </w:rPr>
        <w:br/>
        <w:t>Komunikacijos vadovas</w:t>
      </w:r>
      <w:r w:rsidRPr="0017754C">
        <w:rPr>
          <w:rFonts w:ascii="Verdana" w:hAnsi="Verdana" w:cs="Open Sans Light"/>
          <w:sz w:val="15"/>
          <w:szCs w:val="15"/>
          <w:lang w:eastAsia="lt-LT"/>
        </w:rPr>
        <w:br/>
        <w:t>Tel.: +370 614 01829</w:t>
      </w:r>
      <w:r w:rsidRPr="0017754C">
        <w:rPr>
          <w:rFonts w:ascii="Verdana" w:hAnsi="Verdana" w:cs="Open Sans Light"/>
          <w:sz w:val="15"/>
          <w:szCs w:val="15"/>
          <w:lang w:eastAsia="lt-LT"/>
        </w:rPr>
        <w:br/>
        <w:t xml:space="preserve">El. paštas </w:t>
      </w:r>
      <w:hyperlink r:id="rId8" w:history="1">
        <w:r w:rsidRPr="0017754C">
          <w:rPr>
            <w:rStyle w:val="Hyperlink"/>
            <w:rFonts w:ascii="Verdana" w:hAnsi="Verdana" w:cs="Open Sans Light"/>
            <w:b/>
            <w:color w:val="3B3838" w:themeColor="background2" w:themeShade="40"/>
            <w:sz w:val="15"/>
            <w:szCs w:val="15"/>
            <w:u w:val="none"/>
            <w:lang w:eastAsia="lt-LT"/>
          </w:rPr>
          <w:t>rytas.stalnionis@citus.lt</w:t>
        </w:r>
      </w:hyperlink>
      <w:r w:rsidRPr="0017754C">
        <w:rPr>
          <w:rFonts w:ascii="Verdana" w:hAnsi="Verdana" w:cs="Open Sans Light"/>
          <w:sz w:val="15"/>
          <w:szCs w:val="15"/>
          <w:lang w:eastAsia="lt-LT"/>
        </w:rPr>
        <w:br/>
      </w:r>
      <w:hyperlink r:id="rId9" w:history="1">
        <w:r w:rsidRPr="0017754C">
          <w:rPr>
            <w:rStyle w:val="Hyperlink"/>
            <w:rFonts w:ascii="Verdana" w:hAnsi="Verdana" w:cs="Open Sans Light"/>
            <w:b/>
            <w:color w:val="3B3838" w:themeColor="background2" w:themeShade="40"/>
            <w:sz w:val="15"/>
            <w:szCs w:val="15"/>
            <w:u w:val="none"/>
            <w:lang w:eastAsia="lt-LT"/>
          </w:rPr>
          <w:t>www.citus.lt</w:t>
        </w:r>
      </w:hyperlink>
    </w:p>
    <w:sectPr w:rsidR="00481E6F" w:rsidRPr="0017754C" w:rsidSect="00B61F58">
      <w:headerReference w:type="default" r:id="rId10"/>
      <w:pgSz w:w="11906" w:h="16838"/>
      <w:pgMar w:top="1418" w:right="567" w:bottom="567"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1C977" w14:textId="77777777" w:rsidR="009275F7" w:rsidRDefault="009275F7" w:rsidP="00404A94">
      <w:pPr>
        <w:spacing w:after="0"/>
      </w:pPr>
      <w:r>
        <w:separator/>
      </w:r>
    </w:p>
  </w:endnote>
  <w:endnote w:type="continuationSeparator" w:id="0">
    <w:p w14:paraId="6EEFD48D" w14:textId="77777777" w:rsidR="009275F7" w:rsidRDefault="009275F7" w:rsidP="00404A94">
      <w:pPr>
        <w:spacing w:after="0"/>
      </w:pPr>
      <w:r>
        <w:continuationSeparator/>
      </w:r>
    </w:p>
  </w:endnote>
  <w:endnote w:type="continuationNotice" w:id="1">
    <w:p w14:paraId="5B4C2E96" w14:textId="77777777" w:rsidR="009275F7" w:rsidRDefault="009275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00022FF" w:usb1="C000205B" w:usb2="00000009" w:usb3="00000000" w:csb0="000001DF" w:csb1="00000000"/>
  </w:font>
  <w:font w:name="Verdana">
    <w:panose1 w:val="020B0604030504040204"/>
    <w:charset w:val="00"/>
    <w:family w:val="swiss"/>
    <w:pitch w:val="variable"/>
    <w:sig w:usb0="A10006FF" w:usb1="4000205B" w:usb2="00000010" w:usb3="00000000" w:csb0="0000019F" w:csb1="00000000"/>
  </w:font>
  <w:font w:name="Open Sans Light">
    <w:panose1 w:val="020B0306030504020204"/>
    <w:charset w:val="00"/>
    <w:family w:val="swiss"/>
    <w:pitch w:val="variable"/>
    <w:sig w:usb0="E00002EF" w:usb1="4000205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47878" w14:textId="77777777" w:rsidR="009275F7" w:rsidRDefault="009275F7" w:rsidP="00404A94">
      <w:pPr>
        <w:spacing w:after="0"/>
      </w:pPr>
      <w:r>
        <w:separator/>
      </w:r>
    </w:p>
  </w:footnote>
  <w:footnote w:type="continuationSeparator" w:id="0">
    <w:p w14:paraId="0EC22F24" w14:textId="77777777" w:rsidR="009275F7" w:rsidRDefault="009275F7" w:rsidP="00404A94">
      <w:pPr>
        <w:spacing w:after="0"/>
      </w:pPr>
      <w:r>
        <w:continuationSeparator/>
      </w:r>
    </w:p>
  </w:footnote>
  <w:footnote w:type="continuationNotice" w:id="1">
    <w:p w14:paraId="266E613D" w14:textId="77777777" w:rsidR="009275F7" w:rsidRDefault="009275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32CD" w14:textId="66366189" w:rsidR="00E46A19" w:rsidRPr="00E46A19" w:rsidRDefault="00F84055" w:rsidP="00E46A19">
    <w:pPr>
      <w:spacing w:after="0"/>
      <w:jc w:val="left"/>
      <w:rPr>
        <w:rFonts w:ascii="Times New Roman" w:eastAsia="Times New Roman" w:hAnsi="Times New Roman" w:cs="Times New Roman"/>
        <w:sz w:val="24"/>
        <w:szCs w:val="24"/>
        <w:lang w:val="en-US"/>
      </w:rPr>
    </w:pPr>
    <w:r>
      <w:rPr>
        <w:noProof/>
        <w:lang w:val="en-US"/>
      </w:rPr>
      <w:drawing>
        <wp:anchor distT="0" distB="0" distL="114300" distR="114300" simplePos="0" relativeHeight="251658240" behindDoc="0" locked="0" layoutInCell="1" allowOverlap="1" wp14:anchorId="124E77E4" wp14:editId="669F2F81">
          <wp:simplePos x="0" y="0"/>
          <wp:positionH relativeFrom="margin">
            <wp:posOffset>3810</wp:posOffset>
          </wp:positionH>
          <wp:positionV relativeFrom="paragraph">
            <wp:posOffset>-349413</wp:posOffset>
          </wp:positionV>
          <wp:extent cx="6468745" cy="534532"/>
          <wp:effectExtent l="0" t="0" r="0" b="0"/>
          <wp:wrapNone/>
          <wp:docPr id="879240556" name="Picture 879240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468745" cy="534532"/>
                  </a:xfrm>
                  <a:prstGeom prst="rect">
                    <a:avLst/>
                  </a:prstGeom>
                </pic:spPr>
              </pic:pic>
            </a:graphicData>
          </a:graphic>
          <wp14:sizeRelH relativeFrom="margin">
            <wp14:pctWidth>0</wp14:pctWidth>
          </wp14:sizeRelH>
          <wp14:sizeRelV relativeFrom="margin">
            <wp14:pctHeight>0</wp14:pctHeight>
          </wp14:sizeRelV>
        </wp:anchor>
      </w:drawing>
    </w:r>
    <w:r w:rsidR="00E46A19" w:rsidRPr="00E46A19">
      <w:rPr>
        <w:rFonts w:ascii="Times New Roman" w:eastAsia="Times New Roman" w:hAnsi="Times New Roman" w:cs="Times New Roman"/>
        <w:sz w:val="24"/>
        <w:szCs w:val="24"/>
        <w:lang w:val="en-US"/>
      </w:rPr>
      <w:fldChar w:fldCharType="begin"/>
    </w:r>
    <w:r w:rsidR="00E46A19" w:rsidRPr="00E46A19">
      <w:rPr>
        <w:rFonts w:ascii="Times New Roman" w:eastAsia="Times New Roman" w:hAnsi="Times New Roman" w:cs="Times New Roman"/>
        <w:sz w:val="24"/>
        <w:szCs w:val="24"/>
        <w:lang w:val="en-US"/>
      </w:rPr>
      <w:instrText xml:space="preserve"> INCLUDEPICTURE "http://lntpa.lt/wp-content/themes/lntpa-front/img/logo.png" \* MERGEFORMATINET </w:instrText>
    </w:r>
    <w:r w:rsidR="00E46A19" w:rsidRPr="00E46A19">
      <w:rPr>
        <w:rFonts w:ascii="Times New Roman" w:eastAsia="Times New Roman" w:hAnsi="Times New Roman" w:cs="Times New Roman"/>
        <w:sz w:val="24"/>
        <w:szCs w:val="24"/>
        <w:lang w:val="en-US"/>
      </w:rPr>
      <w:fldChar w:fldCharType="end"/>
    </w:r>
  </w:p>
  <w:p w14:paraId="1FC68457" w14:textId="67EF6659" w:rsidR="00404A94" w:rsidRDefault="00404A94">
    <w:pPr>
      <w:pStyle w:val="Header"/>
    </w:pPr>
  </w:p>
  <w:p w14:paraId="69503709" w14:textId="0F2DF9DD" w:rsidR="00404A94" w:rsidRDefault="00404A94">
    <w:pPr>
      <w:pStyle w:val="Header"/>
    </w:pPr>
  </w:p>
  <w:p w14:paraId="10703575" w14:textId="77777777" w:rsidR="00404A94" w:rsidRDefault="00404A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829A3"/>
    <w:multiLevelType w:val="multilevel"/>
    <w:tmpl w:val="0920846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92223A"/>
    <w:multiLevelType w:val="hybridMultilevel"/>
    <w:tmpl w:val="73CE27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881B0B"/>
    <w:multiLevelType w:val="hybridMultilevel"/>
    <w:tmpl w:val="E8325F64"/>
    <w:lvl w:ilvl="0" w:tplc="1F22B208">
      <w:start w:val="1"/>
      <w:numFmt w:val="bullet"/>
      <w:lvlText w:val=""/>
      <w:lvlJc w:val="left"/>
      <w:pPr>
        <w:ind w:left="720" w:hanging="360"/>
      </w:pPr>
      <w:rPr>
        <w:rFonts w:ascii="Symbol" w:hAnsi="Symbol" w:hint="default"/>
        <w:color w:val="FFC000"/>
      </w:rPr>
    </w:lvl>
    <w:lvl w:ilvl="1" w:tplc="1646BB9A">
      <w:start w:val="1"/>
      <w:numFmt w:val="bullet"/>
      <w:lvlText w:val="–"/>
      <w:lvlJc w:val="left"/>
      <w:pPr>
        <w:ind w:left="1440" w:hanging="360"/>
      </w:pPr>
      <w:rPr>
        <w:rFonts w:ascii="Courier New" w:hAnsi="Courier New" w:hint="default"/>
        <w:color w:val="FFC000"/>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CB9357A"/>
    <w:multiLevelType w:val="hybridMultilevel"/>
    <w:tmpl w:val="EB2801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0B3517"/>
    <w:multiLevelType w:val="hybridMultilevel"/>
    <w:tmpl w:val="9D044534"/>
    <w:lvl w:ilvl="0" w:tplc="41663E14">
      <w:start w:val="1"/>
      <w:numFmt w:val="decimal"/>
      <w:lvlText w:val="%1."/>
      <w:lvlJc w:val="left"/>
      <w:pPr>
        <w:ind w:left="720" w:hanging="360"/>
      </w:pPr>
      <w:rPr>
        <w:b/>
        <w:bCs/>
        <w:color w:val="FFC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DC2E1C"/>
    <w:multiLevelType w:val="hybridMultilevel"/>
    <w:tmpl w:val="2220A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334606"/>
    <w:multiLevelType w:val="hybridMultilevel"/>
    <w:tmpl w:val="09CC2A08"/>
    <w:lvl w:ilvl="0" w:tplc="0D6892BA">
      <w:start w:val="1"/>
      <w:numFmt w:val="bullet"/>
      <w:lvlText w:val=""/>
      <w:lvlJc w:val="left"/>
      <w:pPr>
        <w:ind w:left="720" w:hanging="360"/>
      </w:pPr>
      <w:rPr>
        <w:rFonts w:ascii="Symbol" w:hAnsi="Symbol"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81308"/>
    <w:multiLevelType w:val="hybridMultilevel"/>
    <w:tmpl w:val="A65A7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EF69C9"/>
    <w:multiLevelType w:val="hybridMultilevel"/>
    <w:tmpl w:val="C484736A"/>
    <w:lvl w:ilvl="0" w:tplc="0D6892BA">
      <w:start w:val="1"/>
      <w:numFmt w:val="bullet"/>
      <w:lvlText w:val=""/>
      <w:lvlJc w:val="left"/>
      <w:pPr>
        <w:ind w:left="720" w:hanging="360"/>
      </w:pPr>
      <w:rPr>
        <w:rFonts w:ascii="Symbol" w:hAnsi="Symbol" w:hint="default"/>
        <w:color w:val="FFC000"/>
      </w:rPr>
    </w:lvl>
    <w:lvl w:ilvl="1" w:tplc="0A98A6C2">
      <w:start w:val="1"/>
      <w:numFmt w:val="bullet"/>
      <w:lvlText w:val=""/>
      <w:lvlJc w:val="left"/>
      <w:pPr>
        <w:ind w:left="1440" w:hanging="360"/>
      </w:pPr>
      <w:rPr>
        <w:rFonts w:ascii="Symbol" w:hAnsi="Symbol" w:hint="default"/>
        <w:color w:val="808080" w:themeColor="background1" w:themeShade="8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AD5E54"/>
    <w:multiLevelType w:val="hybridMultilevel"/>
    <w:tmpl w:val="C5E21E66"/>
    <w:lvl w:ilvl="0" w:tplc="75082596">
      <w:start w:val="1"/>
      <w:numFmt w:val="bullet"/>
      <w:lvlText w:val=""/>
      <w:lvlJc w:val="left"/>
      <w:pPr>
        <w:ind w:left="720" w:hanging="360"/>
      </w:pPr>
      <w:rPr>
        <w:rFonts w:ascii="Symbol" w:hAnsi="Symbol" w:hint="default"/>
        <w:color w:val="DAA6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91438C"/>
    <w:multiLevelType w:val="hybridMultilevel"/>
    <w:tmpl w:val="0EDC7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2D4C5A"/>
    <w:multiLevelType w:val="hybridMultilevel"/>
    <w:tmpl w:val="810E674E"/>
    <w:lvl w:ilvl="0" w:tplc="A600C59C">
      <w:start w:val="1"/>
      <w:numFmt w:val="bullet"/>
      <w:lvlText w:val=""/>
      <w:lvlJc w:val="left"/>
      <w:pPr>
        <w:ind w:left="720" w:hanging="360"/>
      </w:pPr>
      <w:rPr>
        <w:rFonts w:ascii="Symbol" w:hAnsi="Symbol" w:hint="default"/>
        <w:color w:val="FFC000" w:themeColor="accent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6805A2"/>
    <w:multiLevelType w:val="multilevel"/>
    <w:tmpl w:val="0920846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8C451EE"/>
    <w:multiLevelType w:val="hybridMultilevel"/>
    <w:tmpl w:val="DE96BAE4"/>
    <w:lvl w:ilvl="0" w:tplc="69E2A17A">
      <w:start w:val="1"/>
      <w:numFmt w:val="decimal"/>
      <w:lvlText w:val="%1."/>
      <w:lvlJc w:val="left"/>
      <w:pPr>
        <w:ind w:left="720" w:hanging="360"/>
      </w:pPr>
      <w:rPr>
        <w:rFonts w:hint="default"/>
        <w:b/>
        <w:bCs/>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18618A"/>
    <w:multiLevelType w:val="hybridMultilevel"/>
    <w:tmpl w:val="4A286D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30B0F3E"/>
    <w:multiLevelType w:val="hybridMultilevel"/>
    <w:tmpl w:val="E272EB22"/>
    <w:lvl w:ilvl="0" w:tplc="0D6892BA">
      <w:start w:val="1"/>
      <w:numFmt w:val="bullet"/>
      <w:lvlText w:val=""/>
      <w:lvlJc w:val="left"/>
      <w:pPr>
        <w:ind w:left="720" w:hanging="360"/>
      </w:pPr>
      <w:rPr>
        <w:rFonts w:ascii="Symbol" w:hAnsi="Symbol"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133CF1"/>
    <w:multiLevelType w:val="hybridMultilevel"/>
    <w:tmpl w:val="316091A4"/>
    <w:lvl w:ilvl="0" w:tplc="C5AE4714">
      <w:start w:val="1"/>
      <w:numFmt w:val="bullet"/>
      <w:lvlText w:val=""/>
      <w:lvlJc w:val="left"/>
      <w:pPr>
        <w:ind w:left="720" w:hanging="360"/>
      </w:pPr>
      <w:rPr>
        <w:rFonts w:ascii="Symbol" w:hAnsi="Symbol"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D13D46"/>
    <w:multiLevelType w:val="hybridMultilevel"/>
    <w:tmpl w:val="C4F2F01C"/>
    <w:lvl w:ilvl="0" w:tplc="EEA60D74">
      <w:start w:val="1"/>
      <w:numFmt w:val="bullet"/>
      <w:lvlText w:val=""/>
      <w:lvlJc w:val="left"/>
      <w:pPr>
        <w:ind w:left="720" w:hanging="360"/>
      </w:pPr>
      <w:rPr>
        <w:rFonts w:ascii="Symbol" w:hAnsi="Symbol" w:hint="default"/>
        <w:color w:val="FCD010"/>
        <w:sz w:val="28"/>
      </w:rPr>
    </w:lvl>
    <w:lvl w:ilvl="1" w:tplc="EEB2CD12">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AB7931"/>
    <w:multiLevelType w:val="hybridMultilevel"/>
    <w:tmpl w:val="4488A3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FC5BC5"/>
    <w:multiLevelType w:val="hybridMultilevel"/>
    <w:tmpl w:val="8D44F542"/>
    <w:lvl w:ilvl="0" w:tplc="8E18CB84">
      <w:start w:val="1"/>
      <w:numFmt w:val="bullet"/>
      <w:lvlText w:val=""/>
      <w:lvlJc w:val="left"/>
      <w:pPr>
        <w:ind w:left="720" w:hanging="360"/>
      </w:pPr>
      <w:rPr>
        <w:rFonts w:ascii="Symbol" w:hAnsi="Symbol"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8E6ED4"/>
    <w:multiLevelType w:val="multilevel"/>
    <w:tmpl w:val="13005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5F77060"/>
    <w:multiLevelType w:val="hybridMultilevel"/>
    <w:tmpl w:val="D3D65E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64B2005"/>
    <w:multiLevelType w:val="hybridMultilevel"/>
    <w:tmpl w:val="6F72ECA2"/>
    <w:lvl w:ilvl="0" w:tplc="69E2A17A">
      <w:start w:val="1"/>
      <w:numFmt w:val="decimal"/>
      <w:lvlText w:val="%1."/>
      <w:lvlJc w:val="left"/>
      <w:pPr>
        <w:ind w:left="720" w:hanging="360"/>
      </w:pPr>
      <w:rPr>
        <w:rFonts w:hint="default"/>
        <w:b/>
        <w:bCs/>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C72A64"/>
    <w:multiLevelType w:val="hybridMultilevel"/>
    <w:tmpl w:val="F9085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1022CA"/>
    <w:multiLevelType w:val="hybridMultilevel"/>
    <w:tmpl w:val="C91CD8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F5F6A06"/>
    <w:multiLevelType w:val="hybridMultilevel"/>
    <w:tmpl w:val="60481A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04841F9"/>
    <w:multiLevelType w:val="hybridMultilevel"/>
    <w:tmpl w:val="3F9A5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8A7BB9"/>
    <w:multiLevelType w:val="hybridMultilevel"/>
    <w:tmpl w:val="691CC364"/>
    <w:lvl w:ilvl="0" w:tplc="639606BC">
      <w:start w:val="1"/>
      <w:numFmt w:val="bullet"/>
      <w:lvlText w:val=""/>
      <w:lvlJc w:val="left"/>
      <w:pPr>
        <w:ind w:left="720" w:hanging="360"/>
      </w:pPr>
      <w:rPr>
        <w:rFonts w:ascii="Symbol" w:hAnsi="Symbol"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7F7F18"/>
    <w:multiLevelType w:val="hybridMultilevel"/>
    <w:tmpl w:val="41D4E442"/>
    <w:lvl w:ilvl="0" w:tplc="75082596">
      <w:start w:val="1"/>
      <w:numFmt w:val="bullet"/>
      <w:lvlText w:val=""/>
      <w:lvlJc w:val="left"/>
      <w:pPr>
        <w:ind w:left="720" w:hanging="360"/>
      </w:pPr>
      <w:rPr>
        <w:rFonts w:ascii="Symbol" w:hAnsi="Symbol" w:hint="default"/>
        <w:color w:val="DAA6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30751201">
    <w:abstractNumId w:val="3"/>
  </w:num>
  <w:num w:numId="2" w16cid:durableId="1565750052">
    <w:abstractNumId w:val="24"/>
  </w:num>
  <w:num w:numId="3" w16cid:durableId="1815903907">
    <w:abstractNumId w:val="25"/>
  </w:num>
  <w:num w:numId="4" w16cid:durableId="1561406862">
    <w:abstractNumId w:val="28"/>
  </w:num>
  <w:num w:numId="5" w16cid:durableId="321006177">
    <w:abstractNumId w:val="21"/>
  </w:num>
  <w:num w:numId="6" w16cid:durableId="503938402">
    <w:abstractNumId w:val="18"/>
  </w:num>
  <w:num w:numId="7" w16cid:durableId="1758016345">
    <w:abstractNumId w:val="16"/>
  </w:num>
  <w:num w:numId="8" w16cid:durableId="2074308771">
    <w:abstractNumId w:val="9"/>
  </w:num>
  <w:num w:numId="9" w16cid:durableId="263540259">
    <w:abstractNumId w:val="19"/>
  </w:num>
  <w:num w:numId="10" w16cid:durableId="1759860241">
    <w:abstractNumId w:val="7"/>
  </w:num>
  <w:num w:numId="11" w16cid:durableId="813330766">
    <w:abstractNumId w:val="22"/>
  </w:num>
  <w:num w:numId="12" w16cid:durableId="1478958565">
    <w:abstractNumId w:val="13"/>
  </w:num>
  <w:num w:numId="13" w16cid:durableId="574709329">
    <w:abstractNumId w:val="27"/>
  </w:num>
  <w:num w:numId="14" w16cid:durableId="29310045">
    <w:abstractNumId w:val="4"/>
  </w:num>
  <w:num w:numId="15" w16cid:durableId="1947807562">
    <w:abstractNumId w:val="2"/>
  </w:num>
  <w:num w:numId="16" w16cid:durableId="2101025905">
    <w:abstractNumId w:val="23"/>
  </w:num>
  <w:num w:numId="17" w16cid:durableId="394011149">
    <w:abstractNumId w:val="26"/>
  </w:num>
  <w:num w:numId="18" w16cid:durableId="1758165198">
    <w:abstractNumId w:val="5"/>
  </w:num>
  <w:num w:numId="19" w16cid:durableId="836648520">
    <w:abstractNumId w:val="11"/>
  </w:num>
  <w:num w:numId="20" w16cid:durableId="120078200">
    <w:abstractNumId w:val="15"/>
  </w:num>
  <w:num w:numId="21" w16cid:durableId="562251221">
    <w:abstractNumId w:val="6"/>
  </w:num>
  <w:num w:numId="22" w16cid:durableId="1653556973">
    <w:abstractNumId w:val="8"/>
  </w:num>
  <w:num w:numId="23" w16cid:durableId="303893639">
    <w:abstractNumId w:val="14"/>
  </w:num>
  <w:num w:numId="24" w16cid:durableId="1997344683">
    <w:abstractNumId w:val="17"/>
  </w:num>
  <w:num w:numId="25" w16cid:durableId="1493328608">
    <w:abstractNumId w:val="0"/>
  </w:num>
  <w:num w:numId="26" w16cid:durableId="1410615241">
    <w:abstractNumId w:val="12"/>
  </w:num>
  <w:num w:numId="27" w16cid:durableId="564411746">
    <w:abstractNumId w:val="20"/>
  </w:num>
  <w:num w:numId="28" w16cid:durableId="617685256">
    <w:abstractNumId w:val="10"/>
  </w:num>
  <w:num w:numId="29" w16cid:durableId="599122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1BC6"/>
    <w:rsid w:val="0000119F"/>
    <w:rsid w:val="00001CEF"/>
    <w:rsid w:val="00003B21"/>
    <w:rsid w:val="000102C2"/>
    <w:rsid w:val="00010448"/>
    <w:rsid w:val="000108A2"/>
    <w:rsid w:val="00011977"/>
    <w:rsid w:val="00013672"/>
    <w:rsid w:val="0001721B"/>
    <w:rsid w:val="0002086F"/>
    <w:rsid w:val="000217A6"/>
    <w:rsid w:val="000220B2"/>
    <w:rsid w:val="000221C9"/>
    <w:rsid w:val="00024A94"/>
    <w:rsid w:val="00026800"/>
    <w:rsid w:val="00026C07"/>
    <w:rsid w:val="00031848"/>
    <w:rsid w:val="00031AB6"/>
    <w:rsid w:val="000337FF"/>
    <w:rsid w:val="00034DE4"/>
    <w:rsid w:val="00035DFA"/>
    <w:rsid w:val="000402B6"/>
    <w:rsid w:val="00041FD0"/>
    <w:rsid w:val="0004556B"/>
    <w:rsid w:val="00045CD6"/>
    <w:rsid w:val="000465CD"/>
    <w:rsid w:val="00046EBB"/>
    <w:rsid w:val="00050130"/>
    <w:rsid w:val="00052F47"/>
    <w:rsid w:val="00053E05"/>
    <w:rsid w:val="0005705C"/>
    <w:rsid w:val="00057388"/>
    <w:rsid w:val="00057C81"/>
    <w:rsid w:val="0006162D"/>
    <w:rsid w:val="00065A74"/>
    <w:rsid w:val="00066E9C"/>
    <w:rsid w:val="00071C5C"/>
    <w:rsid w:val="00075B5D"/>
    <w:rsid w:val="0007783D"/>
    <w:rsid w:val="00077B19"/>
    <w:rsid w:val="00077E4B"/>
    <w:rsid w:val="00080238"/>
    <w:rsid w:val="00082253"/>
    <w:rsid w:val="00086589"/>
    <w:rsid w:val="00087E40"/>
    <w:rsid w:val="0009095D"/>
    <w:rsid w:val="00091988"/>
    <w:rsid w:val="00093117"/>
    <w:rsid w:val="00095090"/>
    <w:rsid w:val="00095A7F"/>
    <w:rsid w:val="0009618E"/>
    <w:rsid w:val="00097BCF"/>
    <w:rsid w:val="000A348C"/>
    <w:rsid w:val="000A3BCC"/>
    <w:rsid w:val="000B415E"/>
    <w:rsid w:val="000B51C4"/>
    <w:rsid w:val="000B6652"/>
    <w:rsid w:val="000C2D23"/>
    <w:rsid w:val="000C466A"/>
    <w:rsid w:val="000D3793"/>
    <w:rsid w:val="000D52B0"/>
    <w:rsid w:val="000D5408"/>
    <w:rsid w:val="000D6181"/>
    <w:rsid w:val="000D7996"/>
    <w:rsid w:val="000E0278"/>
    <w:rsid w:val="000E2549"/>
    <w:rsid w:val="000E412F"/>
    <w:rsid w:val="000E76EF"/>
    <w:rsid w:val="000F0AE3"/>
    <w:rsid w:val="000F316C"/>
    <w:rsid w:val="000F349B"/>
    <w:rsid w:val="000F3861"/>
    <w:rsid w:val="000F67CF"/>
    <w:rsid w:val="000F6D77"/>
    <w:rsid w:val="0010074C"/>
    <w:rsid w:val="00100E5F"/>
    <w:rsid w:val="001019A3"/>
    <w:rsid w:val="0010443F"/>
    <w:rsid w:val="00110172"/>
    <w:rsid w:val="00110A4F"/>
    <w:rsid w:val="00113E0A"/>
    <w:rsid w:val="0011478A"/>
    <w:rsid w:val="001157AE"/>
    <w:rsid w:val="00116893"/>
    <w:rsid w:val="001168FC"/>
    <w:rsid w:val="00120A16"/>
    <w:rsid w:val="00123A5A"/>
    <w:rsid w:val="00124643"/>
    <w:rsid w:val="00127DAE"/>
    <w:rsid w:val="001301F8"/>
    <w:rsid w:val="00131EEE"/>
    <w:rsid w:val="001352A6"/>
    <w:rsid w:val="00135A25"/>
    <w:rsid w:val="00143194"/>
    <w:rsid w:val="001448B0"/>
    <w:rsid w:val="00144B4C"/>
    <w:rsid w:val="001461B5"/>
    <w:rsid w:val="0014782B"/>
    <w:rsid w:val="0014782E"/>
    <w:rsid w:val="00150643"/>
    <w:rsid w:val="00154127"/>
    <w:rsid w:val="00155BAD"/>
    <w:rsid w:val="001562E0"/>
    <w:rsid w:val="00156834"/>
    <w:rsid w:val="00157C43"/>
    <w:rsid w:val="0016042B"/>
    <w:rsid w:val="00162248"/>
    <w:rsid w:val="001625E1"/>
    <w:rsid w:val="00166160"/>
    <w:rsid w:val="0016653B"/>
    <w:rsid w:val="001669D3"/>
    <w:rsid w:val="00167031"/>
    <w:rsid w:val="00170EDF"/>
    <w:rsid w:val="001763B9"/>
    <w:rsid w:val="0017754C"/>
    <w:rsid w:val="001808C3"/>
    <w:rsid w:val="00183163"/>
    <w:rsid w:val="001842DA"/>
    <w:rsid w:val="001923F6"/>
    <w:rsid w:val="0019298F"/>
    <w:rsid w:val="00194A2D"/>
    <w:rsid w:val="001958A7"/>
    <w:rsid w:val="00195958"/>
    <w:rsid w:val="001A10C9"/>
    <w:rsid w:val="001A17DD"/>
    <w:rsid w:val="001A4310"/>
    <w:rsid w:val="001A559F"/>
    <w:rsid w:val="001A607B"/>
    <w:rsid w:val="001A7C57"/>
    <w:rsid w:val="001B4202"/>
    <w:rsid w:val="001B4689"/>
    <w:rsid w:val="001B7400"/>
    <w:rsid w:val="001B7B47"/>
    <w:rsid w:val="001C08A4"/>
    <w:rsid w:val="001C5DAE"/>
    <w:rsid w:val="001C6006"/>
    <w:rsid w:val="001D2FE9"/>
    <w:rsid w:val="001D4D1A"/>
    <w:rsid w:val="001E2509"/>
    <w:rsid w:val="001E3644"/>
    <w:rsid w:val="001E51A0"/>
    <w:rsid w:val="001E5AD7"/>
    <w:rsid w:val="001E720E"/>
    <w:rsid w:val="001E7680"/>
    <w:rsid w:val="001F08A7"/>
    <w:rsid w:val="001F14EC"/>
    <w:rsid w:val="001F695C"/>
    <w:rsid w:val="001F7CF5"/>
    <w:rsid w:val="00201EAB"/>
    <w:rsid w:val="00204913"/>
    <w:rsid w:val="00205E76"/>
    <w:rsid w:val="0021114B"/>
    <w:rsid w:val="00213309"/>
    <w:rsid w:val="0021336A"/>
    <w:rsid w:val="00214349"/>
    <w:rsid w:val="002155CF"/>
    <w:rsid w:val="00220DA2"/>
    <w:rsid w:val="00221860"/>
    <w:rsid w:val="00225476"/>
    <w:rsid w:val="00225DC1"/>
    <w:rsid w:val="00226FE4"/>
    <w:rsid w:val="00237177"/>
    <w:rsid w:val="0023765A"/>
    <w:rsid w:val="00237FA4"/>
    <w:rsid w:val="00241C37"/>
    <w:rsid w:val="00243606"/>
    <w:rsid w:val="002461FF"/>
    <w:rsid w:val="00246B12"/>
    <w:rsid w:val="00247FB5"/>
    <w:rsid w:val="00251240"/>
    <w:rsid w:val="00254D36"/>
    <w:rsid w:val="002550D7"/>
    <w:rsid w:val="002606AC"/>
    <w:rsid w:val="0026093C"/>
    <w:rsid w:val="00260A01"/>
    <w:rsid w:val="0026120A"/>
    <w:rsid w:val="00264801"/>
    <w:rsid w:val="002651DB"/>
    <w:rsid w:val="00265B81"/>
    <w:rsid w:val="00270E92"/>
    <w:rsid w:val="002717F0"/>
    <w:rsid w:val="002745DA"/>
    <w:rsid w:val="002767B8"/>
    <w:rsid w:val="0027680F"/>
    <w:rsid w:val="0028070B"/>
    <w:rsid w:val="00281077"/>
    <w:rsid w:val="002836DD"/>
    <w:rsid w:val="00287BF9"/>
    <w:rsid w:val="00290AE9"/>
    <w:rsid w:val="00291878"/>
    <w:rsid w:val="002928DA"/>
    <w:rsid w:val="00296465"/>
    <w:rsid w:val="002A210A"/>
    <w:rsid w:val="002A71A6"/>
    <w:rsid w:val="002A78C2"/>
    <w:rsid w:val="002B0A7D"/>
    <w:rsid w:val="002B1F95"/>
    <w:rsid w:val="002B2462"/>
    <w:rsid w:val="002B447A"/>
    <w:rsid w:val="002B59D3"/>
    <w:rsid w:val="002B74FA"/>
    <w:rsid w:val="002C0A0D"/>
    <w:rsid w:val="002C3517"/>
    <w:rsid w:val="002C4127"/>
    <w:rsid w:val="002C51AF"/>
    <w:rsid w:val="002C7B21"/>
    <w:rsid w:val="002D6044"/>
    <w:rsid w:val="002D6660"/>
    <w:rsid w:val="002E1ED9"/>
    <w:rsid w:val="002E41F0"/>
    <w:rsid w:val="002F6589"/>
    <w:rsid w:val="00303A18"/>
    <w:rsid w:val="00303B6E"/>
    <w:rsid w:val="00303E68"/>
    <w:rsid w:val="00313D0E"/>
    <w:rsid w:val="00314491"/>
    <w:rsid w:val="0031495A"/>
    <w:rsid w:val="00315026"/>
    <w:rsid w:val="003151C1"/>
    <w:rsid w:val="00320F82"/>
    <w:rsid w:val="00321266"/>
    <w:rsid w:val="00322FC8"/>
    <w:rsid w:val="00324AC6"/>
    <w:rsid w:val="00325B7C"/>
    <w:rsid w:val="00325BD6"/>
    <w:rsid w:val="00327A63"/>
    <w:rsid w:val="00330521"/>
    <w:rsid w:val="0033251B"/>
    <w:rsid w:val="00333F2B"/>
    <w:rsid w:val="00334E5B"/>
    <w:rsid w:val="00335334"/>
    <w:rsid w:val="0033705A"/>
    <w:rsid w:val="00342741"/>
    <w:rsid w:val="0034505C"/>
    <w:rsid w:val="003528EE"/>
    <w:rsid w:val="00352A8C"/>
    <w:rsid w:val="00355FF4"/>
    <w:rsid w:val="0036426E"/>
    <w:rsid w:val="003675E8"/>
    <w:rsid w:val="0036787E"/>
    <w:rsid w:val="003679FC"/>
    <w:rsid w:val="00367DE5"/>
    <w:rsid w:val="00367F05"/>
    <w:rsid w:val="00372866"/>
    <w:rsid w:val="00372AA1"/>
    <w:rsid w:val="003737ED"/>
    <w:rsid w:val="0037405F"/>
    <w:rsid w:val="0037583C"/>
    <w:rsid w:val="00381E63"/>
    <w:rsid w:val="003825A7"/>
    <w:rsid w:val="00384377"/>
    <w:rsid w:val="003860BB"/>
    <w:rsid w:val="00386C56"/>
    <w:rsid w:val="00394693"/>
    <w:rsid w:val="00394BC2"/>
    <w:rsid w:val="003A02F8"/>
    <w:rsid w:val="003A0367"/>
    <w:rsid w:val="003A560E"/>
    <w:rsid w:val="003A6246"/>
    <w:rsid w:val="003B0ADE"/>
    <w:rsid w:val="003B3E96"/>
    <w:rsid w:val="003B625B"/>
    <w:rsid w:val="003C013C"/>
    <w:rsid w:val="003C3D91"/>
    <w:rsid w:val="003C4B93"/>
    <w:rsid w:val="003C7566"/>
    <w:rsid w:val="003C7CFB"/>
    <w:rsid w:val="003D0D73"/>
    <w:rsid w:val="003D75DF"/>
    <w:rsid w:val="003E04C6"/>
    <w:rsid w:val="003E4F45"/>
    <w:rsid w:val="003E5444"/>
    <w:rsid w:val="003F3DC5"/>
    <w:rsid w:val="003F49B2"/>
    <w:rsid w:val="003F5681"/>
    <w:rsid w:val="003F74BD"/>
    <w:rsid w:val="0040467E"/>
    <w:rsid w:val="00404A94"/>
    <w:rsid w:val="00406519"/>
    <w:rsid w:val="00406A4D"/>
    <w:rsid w:val="0041043B"/>
    <w:rsid w:val="004137F3"/>
    <w:rsid w:val="00414B1E"/>
    <w:rsid w:val="0041524B"/>
    <w:rsid w:val="004167A6"/>
    <w:rsid w:val="00417E64"/>
    <w:rsid w:val="00420F4B"/>
    <w:rsid w:val="00421F7F"/>
    <w:rsid w:val="00422232"/>
    <w:rsid w:val="00425D31"/>
    <w:rsid w:val="00432D54"/>
    <w:rsid w:val="00434A91"/>
    <w:rsid w:val="004361FB"/>
    <w:rsid w:val="00436EAA"/>
    <w:rsid w:val="0044207B"/>
    <w:rsid w:val="00442D9B"/>
    <w:rsid w:val="00446BAD"/>
    <w:rsid w:val="004521F4"/>
    <w:rsid w:val="00456048"/>
    <w:rsid w:val="004561FB"/>
    <w:rsid w:val="00456AEB"/>
    <w:rsid w:val="00456B11"/>
    <w:rsid w:val="00460A41"/>
    <w:rsid w:val="00462396"/>
    <w:rsid w:val="0046628B"/>
    <w:rsid w:val="00470D62"/>
    <w:rsid w:val="00470EBC"/>
    <w:rsid w:val="00481E6F"/>
    <w:rsid w:val="00483C59"/>
    <w:rsid w:val="00483C7E"/>
    <w:rsid w:val="00484D06"/>
    <w:rsid w:val="00485130"/>
    <w:rsid w:val="00485D5F"/>
    <w:rsid w:val="004903D9"/>
    <w:rsid w:val="004926A3"/>
    <w:rsid w:val="00492E5F"/>
    <w:rsid w:val="00493D6F"/>
    <w:rsid w:val="004945C5"/>
    <w:rsid w:val="0049757B"/>
    <w:rsid w:val="00497789"/>
    <w:rsid w:val="004A0601"/>
    <w:rsid w:val="004A0657"/>
    <w:rsid w:val="004A1BC6"/>
    <w:rsid w:val="004A1FE0"/>
    <w:rsid w:val="004A2E5C"/>
    <w:rsid w:val="004B0357"/>
    <w:rsid w:val="004B1657"/>
    <w:rsid w:val="004B2E9F"/>
    <w:rsid w:val="004B3050"/>
    <w:rsid w:val="004B330C"/>
    <w:rsid w:val="004B5144"/>
    <w:rsid w:val="004C1C98"/>
    <w:rsid w:val="004C50BE"/>
    <w:rsid w:val="004C6BD1"/>
    <w:rsid w:val="004D12DC"/>
    <w:rsid w:val="004D26A1"/>
    <w:rsid w:val="004D53FF"/>
    <w:rsid w:val="004D6814"/>
    <w:rsid w:val="004E33F6"/>
    <w:rsid w:val="004E41B8"/>
    <w:rsid w:val="004E6BC5"/>
    <w:rsid w:val="004E79F4"/>
    <w:rsid w:val="004F0336"/>
    <w:rsid w:val="004F42AE"/>
    <w:rsid w:val="004F686D"/>
    <w:rsid w:val="00501514"/>
    <w:rsid w:val="00501572"/>
    <w:rsid w:val="00504427"/>
    <w:rsid w:val="00505F74"/>
    <w:rsid w:val="005060EE"/>
    <w:rsid w:val="00506E6C"/>
    <w:rsid w:val="00507972"/>
    <w:rsid w:val="00510ED1"/>
    <w:rsid w:val="005132FC"/>
    <w:rsid w:val="00513301"/>
    <w:rsid w:val="00517DBB"/>
    <w:rsid w:val="00520004"/>
    <w:rsid w:val="005206CE"/>
    <w:rsid w:val="00520B0F"/>
    <w:rsid w:val="00520D5A"/>
    <w:rsid w:val="0052199B"/>
    <w:rsid w:val="00521CCA"/>
    <w:rsid w:val="00523406"/>
    <w:rsid w:val="00523E56"/>
    <w:rsid w:val="00530367"/>
    <w:rsid w:val="00530D5D"/>
    <w:rsid w:val="00532C4E"/>
    <w:rsid w:val="00537458"/>
    <w:rsid w:val="00540FF7"/>
    <w:rsid w:val="00543DC7"/>
    <w:rsid w:val="005443C4"/>
    <w:rsid w:val="005445AD"/>
    <w:rsid w:val="00544BDC"/>
    <w:rsid w:val="00546A8A"/>
    <w:rsid w:val="005513CF"/>
    <w:rsid w:val="00552CB2"/>
    <w:rsid w:val="00555F6D"/>
    <w:rsid w:val="0056026A"/>
    <w:rsid w:val="00563C5B"/>
    <w:rsid w:val="00565AFB"/>
    <w:rsid w:val="00565E38"/>
    <w:rsid w:val="00566805"/>
    <w:rsid w:val="00571125"/>
    <w:rsid w:val="00573510"/>
    <w:rsid w:val="005779FB"/>
    <w:rsid w:val="005813BF"/>
    <w:rsid w:val="005821A3"/>
    <w:rsid w:val="005923D2"/>
    <w:rsid w:val="0059761B"/>
    <w:rsid w:val="005A06F2"/>
    <w:rsid w:val="005B3FF7"/>
    <w:rsid w:val="005B4250"/>
    <w:rsid w:val="005B4ECA"/>
    <w:rsid w:val="005B581E"/>
    <w:rsid w:val="005B6A52"/>
    <w:rsid w:val="005C4B50"/>
    <w:rsid w:val="005C5D60"/>
    <w:rsid w:val="005C5F9A"/>
    <w:rsid w:val="005D217D"/>
    <w:rsid w:val="005D31BF"/>
    <w:rsid w:val="005D3309"/>
    <w:rsid w:val="005E0572"/>
    <w:rsid w:val="005E2169"/>
    <w:rsid w:val="005E2C18"/>
    <w:rsid w:val="005E735C"/>
    <w:rsid w:val="005F0B05"/>
    <w:rsid w:val="005F181F"/>
    <w:rsid w:val="005F1E13"/>
    <w:rsid w:val="005F261A"/>
    <w:rsid w:val="005F2BD8"/>
    <w:rsid w:val="0060051A"/>
    <w:rsid w:val="006036D2"/>
    <w:rsid w:val="006037F6"/>
    <w:rsid w:val="00603985"/>
    <w:rsid w:val="006070B0"/>
    <w:rsid w:val="00610256"/>
    <w:rsid w:val="00610A79"/>
    <w:rsid w:val="00615BB4"/>
    <w:rsid w:val="00621B4D"/>
    <w:rsid w:val="00621CDF"/>
    <w:rsid w:val="00622C70"/>
    <w:rsid w:val="00623E92"/>
    <w:rsid w:val="00627DBA"/>
    <w:rsid w:val="00630575"/>
    <w:rsid w:val="00633082"/>
    <w:rsid w:val="006358DB"/>
    <w:rsid w:val="006513A2"/>
    <w:rsid w:val="0065284C"/>
    <w:rsid w:val="00654878"/>
    <w:rsid w:val="00654BB0"/>
    <w:rsid w:val="00657BF0"/>
    <w:rsid w:val="0066182B"/>
    <w:rsid w:val="0066324B"/>
    <w:rsid w:val="006735D4"/>
    <w:rsid w:val="00674A31"/>
    <w:rsid w:val="00680B49"/>
    <w:rsid w:val="00683A11"/>
    <w:rsid w:val="00685BDA"/>
    <w:rsid w:val="00691A54"/>
    <w:rsid w:val="00692802"/>
    <w:rsid w:val="00693835"/>
    <w:rsid w:val="00693E03"/>
    <w:rsid w:val="00694533"/>
    <w:rsid w:val="00694DFF"/>
    <w:rsid w:val="00696470"/>
    <w:rsid w:val="00697869"/>
    <w:rsid w:val="006A30CA"/>
    <w:rsid w:val="006A4568"/>
    <w:rsid w:val="006B1830"/>
    <w:rsid w:val="006B338F"/>
    <w:rsid w:val="006B3831"/>
    <w:rsid w:val="006B5CDC"/>
    <w:rsid w:val="006C19D2"/>
    <w:rsid w:val="006C4175"/>
    <w:rsid w:val="006C455A"/>
    <w:rsid w:val="006C4633"/>
    <w:rsid w:val="006C49A5"/>
    <w:rsid w:val="006C6325"/>
    <w:rsid w:val="006C74FA"/>
    <w:rsid w:val="006D0EC6"/>
    <w:rsid w:val="006D39D0"/>
    <w:rsid w:val="006D4B4C"/>
    <w:rsid w:val="006D6C9D"/>
    <w:rsid w:val="006D7A68"/>
    <w:rsid w:val="006D7E50"/>
    <w:rsid w:val="006E0599"/>
    <w:rsid w:val="006E230C"/>
    <w:rsid w:val="006E26E4"/>
    <w:rsid w:val="006E35E2"/>
    <w:rsid w:val="006E39DC"/>
    <w:rsid w:val="006E58B8"/>
    <w:rsid w:val="006F09BA"/>
    <w:rsid w:val="006F3C1A"/>
    <w:rsid w:val="006F4687"/>
    <w:rsid w:val="006F5DBE"/>
    <w:rsid w:val="006F69CB"/>
    <w:rsid w:val="006F79C3"/>
    <w:rsid w:val="006F7F14"/>
    <w:rsid w:val="00702B38"/>
    <w:rsid w:val="00702BF0"/>
    <w:rsid w:val="00704AB3"/>
    <w:rsid w:val="00705320"/>
    <w:rsid w:val="00707BC9"/>
    <w:rsid w:val="00712CF8"/>
    <w:rsid w:val="0071363A"/>
    <w:rsid w:val="00713F37"/>
    <w:rsid w:val="007266ED"/>
    <w:rsid w:val="007279F8"/>
    <w:rsid w:val="007303AB"/>
    <w:rsid w:val="007315DB"/>
    <w:rsid w:val="00735474"/>
    <w:rsid w:val="00741F1E"/>
    <w:rsid w:val="00743F00"/>
    <w:rsid w:val="007509C5"/>
    <w:rsid w:val="00753D8D"/>
    <w:rsid w:val="00753FA3"/>
    <w:rsid w:val="00756AC3"/>
    <w:rsid w:val="00756C8C"/>
    <w:rsid w:val="00757D4C"/>
    <w:rsid w:val="00757E50"/>
    <w:rsid w:val="00760250"/>
    <w:rsid w:val="00763DD7"/>
    <w:rsid w:val="00770ED4"/>
    <w:rsid w:val="007829A4"/>
    <w:rsid w:val="00785F60"/>
    <w:rsid w:val="00787089"/>
    <w:rsid w:val="00791659"/>
    <w:rsid w:val="00794B88"/>
    <w:rsid w:val="00795591"/>
    <w:rsid w:val="007966AF"/>
    <w:rsid w:val="007A2CE0"/>
    <w:rsid w:val="007A495C"/>
    <w:rsid w:val="007B13A2"/>
    <w:rsid w:val="007B1BB2"/>
    <w:rsid w:val="007B256D"/>
    <w:rsid w:val="007B27AC"/>
    <w:rsid w:val="007B2BD1"/>
    <w:rsid w:val="007C0CD4"/>
    <w:rsid w:val="007C13ED"/>
    <w:rsid w:val="007C3050"/>
    <w:rsid w:val="007C645E"/>
    <w:rsid w:val="007C6ADC"/>
    <w:rsid w:val="007D2622"/>
    <w:rsid w:val="007D3BBF"/>
    <w:rsid w:val="007D49DA"/>
    <w:rsid w:val="007D51A4"/>
    <w:rsid w:val="007D794E"/>
    <w:rsid w:val="007E2DB6"/>
    <w:rsid w:val="007E5EDA"/>
    <w:rsid w:val="007E7C89"/>
    <w:rsid w:val="007F27B4"/>
    <w:rsid w:val="007F44B6"/>
    <w:rsid w:val="007F6E77"/>
    <w:rsid w:val="00801573"/>
    <w:rsid w:val="00801973"/>
    <w:rsid w:val="0080252A"/>
    <w:rsid w:val="008051CA"/>
    <w:rsid w:val="00806C2E"/>
    <w:rsid w:val="00807144"/>
    <w:rsid w:val="0081024D"/>
    <w:rsid w:val="00817506"/>
    <w:rsid w:val="008204CA"/>
    <w:rsid w:val="008215FC"/>
    <w:rsid w:val="0082291D"/>
    <w:rsid w:val="00825F9F"/>
    <w:rsid w:val="00831F03"/>
    <w:rsid w:val="00836A3B"/>
    <w:rsid w:val="00837766"/>
    <w:rsid w:val="008433E0"/>
    <w:rsid w:val="00850D6A"/>
    <w:rsid w:val="0085695D"/>
    <w:rsid w:val="0086223C"/>
    <w:rsid w:val="00863131"/>
    <w:rsid w:val="0086360F"/>
    <w:rsid w:val="008658A9"/>
    <w:rsid w:val="00865CD1"/>
    <w:rsid w:val="008676BC"/>
    <w:rsid w:val="00870212"/>
    <w:rsid w:val="008717F9"/>
    <w:rsid w:val="00877043"/>
    <w:rsid w:val="00884BEA"/>
    <w:rsid w:val="00884E16"/>
    <w:rsid w:val="00884F8D"/>
    <w:rsid w:val="0088682D"/>
    <w:rsid w:val="00887A29"/>
    <w:rsid w:val="008907BC"/>
    <w:rsid w:val="0089359F"/>
    <w:rsid w:val="00893B1D"/>
    <w:rsid w:val="00894140"/>
    <w:rsid w:val="00895458"/>
    <w:rsid w:val="00897D47"/>
    <w:rsid w:val="008A0FF8"/>
    <w:rsid w:val="008A492F"/>
    <w:rsid w:val="008A5604"/>
    <w:rsid w:val="008A5AA2"/>
    <w:rsid w:val="008A6983"/>
    <w:rsid w:val="008A7B09"/>
    <w:rsid w:val="008B203A"/>
    <w:rsid w:val="008B250C"/>
    <w:rsid w:val="008B2625"/>
    <w:rsid w:val="008B3A9B"/>
    <w:rsid w:val="008B4941"/>
    <w:rsid w:val="008B5D7E"/>
    <w:rsid w:val="008B763F"/>
    <w:rsid w:val="008C46B5"/>
    <w:rsid w:val="008C5160"/>
    <w:rsid w:val="008D2069"/>
    <w:rsid w:val="008D49ED"/>
    <w:rsid w:val="008E0EC4"/>
    <w:rsid w:val="008E69FB"/>
    <w:rsid w:val="008F0257"/>
    <w:rsid w:val="008F1B1C"/>
    <w:rsid w:val="008F33A5"/>
    <w:rsid w:val="009005B7"/>
    <w:rsid w:val="009020C5"/>
    <w:rsid w:val="00903BE2"/>
    <w:rsid w:val="00910EA0"/>
    <w:rsid w:val="009142FD"/>
    <w:rsid w:val="00917209"/>
    <w:rsid w:val="009177FF"/>
    <w:rsid w:val="0092196D"/>
    <w:rsid w:val="00921E3D"/>
    <w:rsid w:val="00925201"/>
    <w:rsid w:val="009275F7"/>
    <w:rsid w:val="009302E7"/>
    <w:rsid w:val="00931956"/>
    <w:rsid w:val="009341B5"/>
    <w:rsid w:val="00937C07"/>
    <w:rsid w:val="00946F98"/>
    <w:rsid w:val="009547AA"/>
    <w:rsid w:val="00955DC8"/>
    <w:rsid w:val="0095647C"/>
    <w:rsid w:val="00957439"/>
    <w:rsid w:val="00960106"/>
    <w:rsid w:val="00960FDF"/>
    <w:rsid w:val="00962B1C"/>
    <w:rsid w:val="009650CC"/>
    <w:rsid w:val="00970829"/>
    <w:rsid w:val="009724D2"/>
    <w:rsid w:val="00972AB9"/>
    <w:rsid w:val="00974732"/>
    <w:rsid w:val="009771C2"/>
    <w:rsid w:val="009779CF"/>
    <w:rsid w:val="00980027"/>
    <w:rsid w:val="009806F0"/>
    <w:rsid w:val="009817F4"/>
    <w:rsid w:val="00982416"/>
    <w:rsid w:val="009825AC"/>
    <w:rsid w:val="0098308A"/>
    <w:rsid w:val="00985735"/>
    <w:rsid w:val="0098620D"/>
    <w:rsid w:val="009A16F5"/>
    <w:rsid w:val="009A232C"/>
    <w:rsid w:val="009A2922"/>
    <w:rsid w:val="009A7CB3"/>
    <w:rsid w:val="009B0042"/>
    <w:rsid w:val="009B2D5C"/>
    <w:rsid w:val="009B3D5C"/>
    <w:rsid w:val="009C3EEC"/>
    <w:rsid w:val="009C691B"/>
    <w:rsid w:val="009C77B5"/>
    <w:rsid w:val="009D0730"/>
    <w:rsid w:val="009D089A"/>
    <w:rsid w:val="009D1895"/>
    <w:rsid w:val="009D207E"/>
    <w:rsid w:val="009D3716"/>
    <w:rsid w:val="009D7ECD"/>
    <w:rsid w:val="009E0761"/>
    <w:rsid w:val="009E142C"/>
    <w:rsid w:val="009E22CD"/>
    <w:rsid w:val="009E2C26"/>
    <w:rsid w:val="009E4FFA"/>
    <w:rsid w:val="009E5019"/>
    <w:rsid w:val="009E73D1"/>
    <w:rsid w:val="009F1670"/>
    <w:rsid w:val="009F20EB"/>
    <w:rsid w:val="00A01F35"/>
    <w:rsid w:val="00A03270"/>
    <w:rsid w:val="00A03DB5"/>
    <w:rsid w:val="00A06EFE"/>
    <w:rsid w:val="00A10B3E"/>
    <w:rsid w:val="00A116DB"/>
    <w:rsid w:val="00A164C2"/>
    <w:rsid w:val="00A175DA"/>
    <w:rsid w:val="00A176A9"/>
    <w:rsid w:val="00A20FBE"/>
    <w:rsid w:val="00A2224C"/>
    <w:rsid w:val="00A267E4"/>
    <w:rsid w:val="00A26B62"/>
    <w:rsid w:val="00A32059"/>
    <w:rsid w:val="00A3279B"/>
    <w:rsid w:val="00A32904"/>
    <w:rsid w:val="00A3362F"/>
    <w:rsid w:val="00A33942"/>
    <w:rsid w:val="00A33ED1"/>
    <w:rsid w:val="00A3564F"/>
    <w:rsid w:val="00A40CF6"/>
    <w:rsid w:val="00A41E3C"/>
    <w:rsid w:val="00A47158"/>
    <w:rsid w:val="00A47EE4"/>
    <w:rsid w:val="00A50143"/>
    <w:rsid w:val="00A5593A"/>
    <w:rsid w:val="00A55D2D"/>
    <w:rsid w:val="00A56C20"/>
    <w:rsid w:val="00A56D8F"/>
    <w:rsid w:val="00A63B80"/>
    <w:rsid w:val="00A650C1"/>
    <w:rsid w:val="00A672FF"/>
    <w:rsid w:val="00A7200A"/>
    <w:rsid w:val="00A728AA"/>
    <w:rsid w:val="00A730B9"/>
    <w:rsid w:val="00A7439C"/>
    <w:rsid w:val="00A7507E"/>
    <w:rsid w:val="00A772E4"/>
    <w:rsid w:val="00A77D8B"/>
    <w:rsid w:val="00A816A1"/>
    <w:rsid w:val="00A839CF"/>
    <w:rsid w:val="00A84EE8"/>
    <w:rsid w:val="00A87ABE"/>
    <w:rsid w:val="00A946F4"/>
    <w:rsid w:val="00A947C2"/>
    <w:rsid w:val="00A957D3"/>
    <w:rsid w:val="00A97094"/>
    <w:rsid w:val="00A97D97"/>
    <w:rsid w:val="00AA0160"/>
    <w:rsid w:val="00AA1C0D"/>
    <w:rsid w:val="00AA3616"/>
    <w:rsid w:val="00AA4A54"/>
    <w:rsid w:val="00AA5D8E"/>
    <w:rsid w:val="00AB40A7"/>
    <w:rsid w:val="00AC0302"/>
    <w:rsid w:val="00AC05A6"/>
    <w:rsid w:val="00AC0A4D"/>
    <w:rsid w:val="00AC2350"/>
    <w:rsid w:val="00AC2A2F"/>
    <w:rsid w:val="00AC6222"/>
    <w:rsid w:val="00AC6390"/>
    <w:rsid w:val="00AD207C"/>
    <w:rsid w:val="00AD2FA9"/>
    <w:rsid w:val="00AD535F"/>
    <w:rsid w:val="00AD5C5D"/>
    <w:rsid w:val="00AD61B5"/>
    <w:rsid w:val="00AE203D"/>
    <w:rsid w:val="00AE213F"/>
    <w:rsid w:val="00AE3477"/>
    <w:rsid w:val="00AE55EF"/>
    <w:rsid w:val="00AE732E"/>
    <w:rsid w:val="00AF22CC"/>
    <w:rsid w:val="00AF4241"/>
    <w:rsid w:val="00AF4993"/>
    <w:rsid w:val="00B013BC"/>
    <w:rsid w:val="00B02232"/>
    <w:rsid w:val="00B076AC"/>
    <w:rsid w:val="00B119A9"/>
    <w:rsid w:val="00B15278"/>
    <w:rsid w:val="00B174B8"/>
    <w:rsid w:val="00B2270A"/>
    <w:rsid w:val="00B2295E"/>
    <w:rsid w:val="00B237B5"/>
    <w:rsid w:val="00B277DD"/>
    <w:rsid w:val="00B27DE4"/>
    <w:rsid w:val="00B35AB5"/>
    <w:rsid w:val="00B360C4"/>
    <w:rsid w:val="00B36E76"/>
    <w:rsid w:val="00B403D1"/>
    <w:rsid w:val="00B41BA4"/>
    <w:rsid w:val="00B42CBD"/>
    <w:rsid w:val="00B43563"/>
    <w:rsid w:val="00B43EAB"/>
    <w:rsid w:val="00B5040F"/>
    <w:rsid w:val="00B51CC8"/>
    <w:rsid w:val="00B555A7"/>
    <w:rsid w:val="00B61F58"/>
    <w:rsid w:val="00B65EEC"/>
    <w:rsid w:val="00B6630E"/>
    <w:rsid w:val="00B802A2"/>
    <w:rsid w:val="00B80C12"/>
    <w:rsid w:val="00B83385"/>
    <w:rsid w:val="00B83DD8"/>
    <w:rsid w:val="00B86F54"/>
    <w:rsid w:val="00B9195D"/>
    <w:rsid w:val="00B95304"/>
    <w:rsid w:val="00B963CE"/>
    <w:rsid w:val="00B968CF"/>
    <w:rsid w:val="00BA081A"/>
    <w:rsid w:val="00BA164C"/>
    <w:rsid w:val="00BA3D1E"/>
    <w:rsid w:val="00BB0E21"/>
    <w:rsid w:val="00BB179D"/>
    <w:rsid w:val="00BB4C71"/>
    <w:rsid w:val="00BC11CA"/>
    <w:rsid w:val="00BC156A"/>
    <w:rsid w:val="00BC2F69"/>
    <w:rsid w:val="00BC6BF2"/>
    <w:rsid w:val="00BD112C"/>
    <w:rsid w:val="00BD128F"/>
    <w:rsid w:val="00BD1F5B"/>
    <w:rsid w:val="00BD29F7"/>
    <w:rsid w:val="00BD2B14"/>
    <w:rsid w:val="00BD4423"/>
    <w:rsid w:val="00BD49CD"/>
    <w:rsid w:val="00BD689D"/>
    <w:rsid w:val="00BD7051"/>
    <w:rsid w:val="00BD7562"/>
    <w:rsid w:val="00BD776E"/>
    <w:rsid w:val="00BE0D7D"/>
    <w:rsid w:val="00BE1217"/>
    <w:rsid w:val="00BE1ADF"/>
    <w:rsid w:val="00BE37B5"/>
    <w:rsid w:val="00BE49C7"/>
    <w:rsid w:val="00BF299C"/>
    <w:rsid w:val="00BF66E8"/>
    <w:rsid w:val="00BF6C8D"/>
    <w:rsid w:val="00BF75C5"/>
    <w:rsid w:val="00C00B7B"/>
    <w:rsid w:val="00C01111"/>
    <w:rsid w:val="00C02510"/>
    <w:rsid w:val="00C02907"/>
    <w:rsid w:val="00C040E2"/>
    <w:rsid w:val="00C04933"/>
    <w:rsid w:val="00C05F75"/>
    <w:rsid w:val="00C13A6E"/>
    <w:rsid w:val="00C15006"/>
    <w:rsid w:val="00C20FB6"/>
    <w:rsid w:val="00C24D14"/>
    <w:rsid w:val="00C260DE"/>
    <w:rsid w:val="00C26BD3"/>
    <w:rsid w:val="00C3182E"/>
    <w:rsid w:val="00C323F7"/>
    <w:rsid w:val="00C343C6"/>
    <w:rsid w:val="00C35436"/>
    <w:rsid w:val="00C35C67"/>
    <w:rsid w:val="00C35E01"/>
    <w:rsid w:val="00C362D6"/>
    <w:rsid w:val="00C4327A"/>
    <w:rsid w:val="00C45830"/>
    <w:rsid w:val="00C46712"/>
    <w:rsid w:val="00C47F23"/>
    <w:rsid w:val="00C53617"/>
    <w:rsid w:val="00C550F3"/>
    <w:rsid w:val="00C56448"/>
    <w:rsid w:val="00C62B85"/>
    <w:rsid w:val="00C62BD4"/>
    <w:rsid w:val="00C63339"/>
    <w:rsid w:val="00C64B78"/>
    <w:rsid w:val="00C64D11"/>
    <w:rsid w:val="00C66589"/>
    <w:rsid w:val="00C66812"/>
    <w:rsid w:val="00C66ADE"/>
    <w:rsid w:val="00C66C39"/>
    <w:rsid w:val="00C66D1C"/>
    <w:rsid w:val="00C67128"/>
    <w:rsid w:val="00C71704"/>
    <w:rsid w:val="00C72420"/>
    <w:rsid w:val="00C72B84"/>
    <w:rsid w:val="00C7669D"/>
    <w:rsid w:val="00C80631"/>
    <w:rsid w:val="00C810B6"/>
    <w:rsid w:val="00C81133"/>
    <w:rsid w:val="00C8253F"/>
    <w:rsid w:val="00C836A4"/>
    <w:rsid w:val="00C85F9B"/>
    <w:rsid w:val="00C86307"/>
    <w:rsid w:val="00C91C0C"/>
    <w:rsid w:val="00C91E29"/>
    <w:rsid w:val="00C94E9B"/>
    <w:rsid w:val="00C969C6"/>
    <w:rsid w:val="00CA0D1B"/>
    <w:rsid w:val="00CA37C9"/>
    <w:rsid w:val="00CA686E"/>
    <w:rsid w:val="00CA6904"/>
    <w:rsid w:val="00CB0D9F"/>
    <w:rsid w:val="00CB2394"/>
    <w:rsid w:val="00CB3B74"/>
    <w:rsid w:val="00CB51C5"/>
    <w:rsid w:val="00CB5564"/>
    <w:rsid w:val="00CC0AD5"/>
    <w:rsid w:val="00CC131F"/>
    <w:rsid w:val="00CC4416"/>
    <w:rsid w:val="00CC49F1"/>
    <w:rsid w:val="00CC7484"/>
    <w:rsid w:val="00CD404D"/>
    <w:rsid w:val="00CD5701"/>
    <w:rsid w:val="00CD6DC7"/>
    <w:rsid w:val="00CE1705"/>
    <w:rsid w:val="00CE1A05"/>
    <w:rsid w:val="00CE4595"/>
    <w:rsid w:val="00CE6E3B"/>
    <w:rsid w:val="00CE7411"/>
    <w:rsid w:val="00CF104C"/>
    <w:rsid w:val="00CF1A1B"/>
    <w:rsid w:val="00CF1B7B"/>
    <w:rsid w:val="00CF38B3"/>
    <w:rsid w:val="00CF3BC9"/>
    <w:rsid w:val="00D0132C"/>
    <w:rsid w:val="00D04B9C"/>
    <w:rsid w:val="00D11B81"/>
    <w:rsid w:val="00D12772"/>
    <w:rsid w:val="00D127D3"/>
    <w:rsid w:val="00D15DAC"/>
    <w:rsid w:val="00D15E93"/>
    <w:rsid w:val="00D17CBB"/>
    <w:rsid w:val="00D20461"/>
    <w:rsid w:val="00D206D7"/>
    <w:rsid w:val="00D22C3A"/>
    <w:rsid w:val="00D24808"/>
    <w:rsid w:val="00D325F5"/>
    <w:rsid w:val="00D32987"/>
    <w:rsid w:val="00D374E8"/>
    <w:rsid w:val="00D40E2E"/>
    <w:rsid w:val="00D40FF7"/>
    <w:rsid w:val="00D421A2"/>
    <w:rsid w:val="00D51528"/>
    <w:rsid w:val="00D51CA0"/>
    <w:rsid w:val="00D520C4"/>
    <w:rsid w:val="00D534B4"/>
    <w:rsid w:val="00D551D4"/>
    <w:rsid w:val="00D5636B"/>
    <w:rsid w:val="00D56DF0"/>
    <w:rsid w:val="00D60262"/>
    <w:rsid w:val="00D60F13"/>
    <w:rsid w:val="00D63A62"/>
    <w:rsid w:val="00D65422"/>
    <w:rsid w:val="00D66C07"/>
    <w:rsid w:val="00D70298"/>
    <w:rsid w:val="00D707DC"/>
    <w:rsid w:val="00D71199"/>
    <w:rsid w:val="00D71344"/>
    <w:rsid w:val="00D72072"/>
    <w:rsid w:val="00D724DC"/>
    <w:rsid w:val="00D76249"/>
    <w:rsid w:val="00D80EEC"/>
    <w:rsid w:val="00D8184D"/>
    <w:rsid w:val="00D82BB5"/>
    <w:rsid w:val="00D82CD1"/>
    <w:rsid w:val="00D842F5"/>
    <w:rsid w:val="00D84472"/>
    <w:rsid w:val="00D849C1"/>
    <w:rsid w:val="00D92261"/>
    <w:rsid w:val="00D92561"/>
    <w:rsid w:val="00D945D0"/>
    <w:rsid w:val="00D9490B"/>
    <w:rsid w:val="00DA2733"/>
    <w:rsid w:val="00DA3E3F"/>
    <w:rsid w:val="00DB1AB1"/>
    <w:rsid w:val="00DB5F31"/>
    <w:rsid w:val="00DB7E8A"/>
    <w:rsid w:val="00DC1814"/>
    <w:rsid w:val="00DC4CF5"/>
    <w:rsid w:val="00DC654A"/>
    <w:rsid w:val="00DC71B8"/>
    <w:rsid w:val="00DD0CF5"/>
    <w:rsid w:val="00DD18E0"/>
    <w:rsid w:val="00DD38A0"/>
    <w:rsid w:val="00DD5769"/>
    <w:rsid w:val="00DE24EB"/>
    <w:rsid w:val="00DE4429"/>
    <w:rsid w:val="00DF0FE8"/>
    <w:rsid w:val="00E00E93"/>
    <w:rsid w:val="00E01261"/>
    <w:rsid w:val="00E04E81"/>
    <w:rsid w:val="00E05446"/>
    <w:rsid w:val="00E12364"/>
    <w:rsid w:val="00E12FA2"/>
    <w:rsid w:val="00E13EF4"/>
    <w:rsid w:val="00E15DFC"/>
    <w:rsid w:val="00E237FE"/>
    <w:rsid w:val="00E32615"/>
    <w:rsid w:val="00E344C3"/>
    <w:rsid w:val="00E34519"/>
    <w:rsid w:val="00E3467D"/>
    <w:rsid w:val="00E41156"/>
    <w:rsid w:val="00E43461"/>
    <w:rsid w:val="00E45B46"/>
    <w:rsid w:val="00E46A19"/>
    <w:rsid w:val="00E47039"/>
    <w:rsid w:val="00E51334"/>
    <w:rsid w:val="00E51DC7"/>
    <w:rsid w:val="00E563B9"/>
    <w:rsid w:val="00E56C86"/>
    <w:rsid w:val="00E6157E"/>
    <w:rsid w:val="00E670B4"/>
    <w:rsid w:val="00E67146"/>
    <w:rsid w:val="00E67618"/>
    <w:rsid w:val="00E6770B"/>
    <w:rsid w:val="00E70D9D"/>
    <w:rsid w:val="00E71928"/>
    <w:rsid w:val="00E72D73"/>
    <w:rsid w:val="00E760F4"/>
    <w:rsid w:val="00E81E63"/>
    <w:rsid w:val="00E81E8C"/>
    <w:rsid w:val="00E86406"/>
    <w:rsid w:val="00E86D17"/>
    <w:rsid w:val="00E96641"/>
    <w:rsid w:val="00EA1E73"/>
    <w:rsid w:val="00EB0A2B"/>
    <w:rsid w:val="00EB19FF"/>
    <w:rsid w:val="00EB2378"/>
    <w:rsid w:val="00EB40F6"/>
    <w:rsid w:val="00EB5804"/>
    <w:rsid w:val="00EB6C9D"/>
    <w:rsid w:val="00EB764E"/>
    <w:rsid w:val="00EB7CDD"/>
    <w:rsid w:val="00EC02BF"/>
    <w:rsid w:val="00EC1D7C"/>
    <w:rsid w:val="00EC5A00"/>
    <w:rsid w:val="00ED16A5"/>
    <w:rsid w:val="00ED2E4F"/>
    <w:rsid w:val="00ED56EF"/>
    <w:rsid w:val="00EE4AAF"/>
    <w:rsid w:val="00EF115F"/>
    <w:rsid w:val="00EF347D"/>
    <w:rsid w:val="00EF4703"/>
    <w:rsid w:val="00EF4982"/>
    <w:rsid w:val="00EF58E3"/>
    <w:rsid w:val="00F015B1"/>
    <w:rsid w:val="00F02E4A"/>
    <w:rsid w:val="00F03373"/>
    <w:rsid w:val="00F05251"/>
    <w:rsid w:val="00F100D8"/>
    <w:rsid w:val="00F10E54"/>
    <w:rsid w:val="00F12D55"/>
    <w:rsid w:val="00F14041"/>
    <w:rsid w:val="00F1426C"/>
    <w:rsid w:val="00F17269"/>
    <w:rsid w:val="00F20925"/>
    <w:rsid w:val="00F23F6A"/>
    <w:rsid w:val="00F25B9C"/>
    <w:rsid w:val="00F26C9E"/>
    <w:rsid w:val="00F27A39"/>
    <w:rsid w:val="00F27ACC"/>
    <w:rsid w:val="00F30134"/>
    <w:rsid w:val="00F33BF9"/>
    <w:rsid w:val="00F33C99"/>
    <w:rsid w:val="00F371C2"/>
    <w:rsid w:val="00F41B58"/>
    <w:rsid w:val="00F42DBE"/>
    <w:rsid w:val="00F42F77"/>
    <w:rsid w:val="00F466A8"/>
    <w:rsid w:val="00F512A2"/>
    <w:rsid w:val="00F54667"/>
    <w:rsid w:val="00F54FBB"/>
    <w:rsid w:val="00F550E3"/>
    <w:rsid w:val="00F568A7"/>
    <w:rsid w:val="00F62BA9"/>
    <w:rsid w:val="00F6334E"/>
    <w:rsid w:val="00F65740"/>
    <w:rsid w:val="00F70A61"/>
    <w:rsid w:val="00F71A4B"/>
    <w:rsid w:val="00F723A0"/>
    <w:rsid w:val="00F73F69"/>
    <w:rsid w:val="00F77B12"/>
    <w:rsid w:val="00F84055"/>
    <w:rsid w:val="00F84E19"/>
    <w:rsid w:val="00F85010"/>
    <w:rsid w:val="00F853B6"/>
    <w:rsid w:val="00F96161"/>
    <w:rsid w:val="00F96475"/>
    <w:rsid w:val="00FA1B7B"/>
    <w:rsid w:val="00FA268B"/>
    <w:rsid w:val="00FA2B8C"/>
    <w:rsid w:val="00FA5FA5"/>
    <w:rsid w:val="00FA7010"/>
    <w:rsid w:val="00FB2857"/>
    <w:rsid w:val="00FB4266"/>
    <w:rsid w:val="00FB632A"/>
    <w:rsid w:val="00FC765B"/>
    <w:rsid w:val="00FD3BF5"/>
    <w:rsid w:val="00FD3F21"/>
    <w:rsid w:val="00FD6EB5"/>
    <w:rsid w:val="00FE2311"/>
    <w:rsid w:val="00FE289C"/>
    <w:rsid w:val="00FE55C7"/>
    <w:rsid w:val="00FE585C"/>
    <w:rsid w:val="00FE767D"/>
    <w:rsid w:val="00FE7C0A"/>
    <w:rsid w:val="00FF10C7"/>
    <w:rsid w:val="00FF3B94"/>
    <w:rsid w:val="00FF6F15"/>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4C44C5"/>
  <w15:chartTrackingRefBased/>
  <w15:docId w15:val="{43652DDC-6E8D-4437-B700-28B5B0043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HAnsi" w:hAnsi="Calibri Light" w:cstheme="minorBidi"/>
        <w:sz w:val="22"/>
        <w:szCs w:val="22"/>
        <w:lang w:val="lt-LT"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26BD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E55C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2A71A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7A39"/>
    <w:pPr>
      <w:ind w:left="720"/>
      <w:contextualSpacing/>
    </w:pPr>
  </w:style>
  <w:style w:type="character" w:styleId="CommentReference">
    <w:name w:val="annotation reference"/>
    <w:basedOn w:val="DefaultParagraphFont"/>
    <w:uiPriority w:val="99"/>
    <w:semiHidden/>
    <w:unhideWhenUsed/>
    <w:rsid w:val="00CB5564"/>
    <w:rPr>
      <w:sz w:val="16"/>
      <w:szCs w:val="16"/>
    </w:rPr>
  </w:style>
  <w:style w:type="paragraph" w:styleId="CommentText">
    <w:name w:val="annotation text"/>
    <w:basedOn w:val="Normal"/>
    <w:link w:val="CommentTextChar"/>
    <w:uiPriority w:val="99"/>
    <w:unhideWhenUsed/>
    <w:rsid w:val="00CB5564"/>
    <w:rPr>
      <w:sz w:val="20"/>
      <w:szCs w:val="20"/>
    </w:rPr>
  </w:style>
  <w:style w:type="character" w:customStyle="1" w:styleId="CommentTextChar">
    <w:name w:val="Comment Text Char"/>
    <w:basedOn w:val="DefaultParagraphFont"/>
    <w:link w:val="CommentText"/>
    <w:uiPriority w:val="99"/>
    <w:rsid w:val="00CB5564"/>
    <w:rPr>
      <w:sz w:val="20"/>
      <w:szCs w:val="20"/>
    </w:rPr>
  </w:style>
  <w:style w:type="paragraph" w:styleId="CommentSubject">
    <w:name w:val="annotation subject"/>
    <w:basedOn w:val="CommentText"/>
    <w:next w:val="CommentText"/>
    <w:link w:val="CommentSubjectChar"/>
    <w:uiPriority w:val="99"/>
    <w:semiHidden/>
    <w:unhideWhenUsed/>
    <w:rsid w:val="00CB5564"/>
    <w:rPr>
      <w:b/>
      <w:bCs/>
    </w:rPr>
  </w:style>
  <w:style w:type="character" w:customStyle="1" w:styleId="CommentSubjectChar">
    <w:name w:val="Comment Subject Char"/>
    <w:basedOn w:val="CommentTextChar"/>
    <w:link w:val="CommentSubject"/>
    <w:uiPriority w:val="99"/>
    <w:semiHidden/>
    <w:rsid w:val="00CB5564"/>
    <w:rPr>
      <w:b/>
      <w:bCs/>
      <w:sz w:val="20"/>
      <w:szCs w:val="20"/>
    </w:rPr>
  </w:style>
  <w:style w:type="paragraph" w:styleId="BalloonText">
    <w:name w:val="Balloon Text"/>
    <w:basedOn w:val="Normal"/>
    <w:link w:val="BalloonTextChar"/>
    <w:uiPriority w:val="99"/>
    <w:semiHidden/>
    <w:unhideWhenUsed/>
    <w:rsid w:val="00CB5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5564"/>
    <w:rPr>
      <w:rFonts w:ascii="Segoe UI" w:hAnsi="Segoe UI" w:cs="Segoe UI"/>
      <w:sz w:val="18"/>
      <w:szCs w:val="18"/>
    </w:rPr>
  </w:style>
  <w:style w:type="paragraph" w:styleId="Header">
    <w:name w:val="header"/>
    <w:basedOn w:val="Normal"/>
    <w:link w:val="HeaderChar"/>
    <w:uiPriority w:val="99"/>
    <w:unhideWhenUsed/>
    <w:rsid w:val="00404A94"/>
    <w:pPr>
      <w:tabs>
        <w:tab w:val="center" w:pos="4819"/>
        <w:tab w:val="right" w:pos="9638"/>
      </w:tabs>
      <w:spacing w:after="0"/>
    </w:pPr>
  </w:style>
  <w:style w:type="character" w:customStyle="1" w:styleId="HeaderChar">
    <w:name w:val="Header Char"/>
    <w:basedOn w:val="DefaultParagraphFont"/>
    <w:link w:val="Header"/>
    <w:uiPriority w:val="99"/>
    <w:rsid w:val="00404A94"/>
  </w:style>
  <w:style w:type="paragraph" w:styleId="Footer">
    <w:name w:val="footer"/>
    <w:basedOn w:val="Normal"/>
    <w:link w:val="FooterChar"/>
    <w:uiPriority w:val="99"/>
    <w:unhideWhenUsed/>
    <w:rsid w:val="00404A94"/>
    <w:pPr>
      <w:tabs>
        <w:tab w:val="center" w:pos="4819"/>
        <w:tab w:val="right" w:pos="9638"/>
      </w:tabs>
      <w:spacing w:after="0"/>
    </w:pPr>
  </w:style>
  <w:style w:type="character" w:customStyle="1" w:styleId="FooterChar">
    <w:name w:val="Footer Char"/>
    <w:basedOn w:val="DefaultParagraphFont"/>
    <w:link w:val="Footer"/>
    <w:uiPriority w:val="99"/>
    <w:rsid w:val="00404A94"/>
  </w:style>
  <w:style w:type="character" w:styleId="Hyperlink">
    <w:name w:val="Hyperlink"/>
    <w:uiPriority w:val="99"/>
    <w:unhideWhenUsed/>
    <w:rsid w:val="00404A94"/>
    <w:rPr>
      <w:color w:val="0563C1"/>
      <w:u w:val="single"/>
    </w:rPr>
  </w:style>
  <w:style w:type="character" w:customStyle="1" w:styleId="UnresolvedMention1">
    <w:name w:val="Unresolved Mention1"/>
    <w:basedOn w:val="DefaultParagraphFont"/>
    <w:uiPriority w:val="99"/>
    <w:semiHidden/>
    <w:unhideWhenUsed/>
    <w:rsid w:val="00FC765B"/>
    <w:rPr>
      <w:color w:val="808080"/>
      <w:shd w:val="clear" w:color="auto" w:fill="E6E6E6"/>
    </w:rPr>
  </w:style>
  <w:style w:type="character" w:customStyle="1" w:styleId="Heading1Char">
    <w:name w:val="Heading 1 Char"/>
    <w:basedOn w:val="DefaultParagraphFont"/>
    <w:link w:val="Heading1"/>
    <w:uiPriority w:val="9"/>
    <w:rsid w:val="00C26BD3"/>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FE55C7"/>
    <w:rPr>
      <w:rFonts w:asciiTheme="majorHAnsi" w:eastAsiaTheme="majorEastAsia" w:hAnsiTheme="majorHAnsi" w:cstheme="majorBidi"/>
      <w:color w:val="2F5496" w:themeColor="accent1" w:themeShade="BF"/>
      <w:sz w:val="26"/>
      <w:szCs w:val="26"/>
    </w:rPr>
  </w:style>
  <w:style w:type="character" w:styleId="FollowedHyperlink">
    <w:name w:val="FollowedHyperlink"/>
    <w:basedOn w:val="DefaultParagraphFont"/>
    <w:uiPriority w:val="99"/>
    <w:semiHidden/>
    <w:unhideWhenUsed/>
    <w:rsid w:val="00FE55C7"/>
    <w:rPr>
      <w:color w:val="954F72" w:themeColor="followedHyperlink"/>
      <w:u w:val="single"/>
    </w:rPr>
  </w:style>
  <w:style w:type="character" w:styleId="Strong">
    <w:name w:val="Strong"/>
    <w:basedOn w:val="DefaultParagraphFont"/>
    <w:uiPriority w:val="22"/>
    <w:qFormat/>
    <w:rsid w:val="007B27AC"/>
    <w:rPr>
      <w:b/>
      <w:bCs/>
    </w:rPr>
  </w:style>
  <w:style w:type="character" w:customStyle="1" w:styleId="Heading3Char">
    <w:name w:val="Heading 3 Char"/>
    <w:basedOn w:val="DefaultParagraphFont"/>
    <w:link w:val="Heading3"/>
    <w:uiPriority w:val="9"/>
    <w:semiHidden/>
    <w:rsid w:val="002A71A6"/>
    <w:rPr>
      <w:rFonts w:asciiTheme="majorHAnsi" w:eastAsiaTheme="majorEastAsia" w:hAnsiTheme="majorHAnsi" w:cstheme="majorBidi"/>
      <w:color w:val="1F3763" w:themeColor="accent1" w:themeShade="7F"/>
      <w:sz w:val="24"/>
      <w:szCs w:val="24"/>
    </w:rPr>
  </w:style>
  <w:style w:type="paragraph" w:styleId="FootnoteText">
    <w:name w:val="footnote text"/>
    <w:basedOn w:val="Normal"/>
    <w:link w:val="FootnoteTextChar"/>
    <w:uiPriority w:val="99"/>
    <w:semiHidden/>
    <w:unhideWhenUsed/>
    <w:rsid w:val="00456AEB"/>
    <w:pPr>
      <w:spacing w:after="0"/>
    </w:pPr>
    <w:rPr>
      <w:sz w:val="20"/>
      <w:szCs w:val="20"/>
    </w:rPr>
  </w:style>
  <w:style w:type="character" w:customStyle="1" w:styleId="FootnoteTextChar">
    <w:name w:val="Footnote Text Char"/>
    <w:basedOn w:val="DefaultParagraphFont"/>
    <w:link w:val="FootnoteText"/>
    <w:uiPriority w:val="99"/>
    <w:semiHidden/>
    <w:rsid w:val="00456AEB"/>
    <w:rPr>
      <w:sz w:val="20"/>
      <w:szCs w:val="20"/>
    </w:rPr>
  </w:style>
  <w:style w:type="character" w:styleId="FootnoteReference">
    <w:name w:val="footnote reference"/>
    <w:basedOn w:val="DefaultParagraphFont"/>
    <w:uiPriority w:val="99"/>
    <w:semiHidden/>
    <w:unhideWhenUsed/>
    <w:rsid w:val="00456AEB"/>
    <w:rPr>
      <w:vertAlign w:val="superscript"/>
    </w:rPr>
  </w:style>
  <w:style w:type="character" w:styleId="UnresolvedMention">
    <w:name w:val="Unresolved Mention"/>
    <w:basedOn w:val="DefaultParagraphFont"/>
    <w:uiPriority w:val="99"/>
    <w:semiHidden/>
    <w:unhideWhenUsed/>
    <w:rsid w:val="004521F4"/>
    <w:rPr>
      <w:color w:val="605E5C"/>
      <w:shd w:val="clear" w:color="auto" w:fill="E1DFDD"/>
    </w:rPr>
  </w:style>
  <w:style w:type="paragraph" w:styleId="Revision">
    <w:name w:val="Revision"/>
    <w:hidden/>
    <w:uiPriority w:val="99"/>
    <w:semiHidden/>
    <w:rsid w:val="00831F03"/>
    <w:pPr>
      <w:spacing w:after="0"/>
      <w:jc w:val="left"/>
    </w:pPr>
  </w:style>
  <w:style w:type="paragraph" w:styleId="Title">
    <w:name w:val="Title"/>
    <w:basedOn w:val="Normal"/>
    <w:next w:val="Normal"/>
    <w:link w:val="TitleChar"/>
    <w:uiPriority w:val="10"/>
    <w:qFormat/>
    <w:rsid w:val="005923D2"/>
    <w:pPr>
      <w:keepNext/>
      <w:keepLines/>
      <w:spacing w:after="60" w:line="276" w:lineRule="auto"/>
      <w:jc w:val="left"/>
    </w:pPr>
    <w:rPr>
      <w:rFonts w:ascii="Arial" w:eastAsia="Arial" w:hAnsi="Arial" w:cs="Arial"/>
      <w:sz w:val="52"/>
      <w:szCs w:val="52"/>
      <w:lang w:val="lt" w:eastAsia="en-GB"/>
    </w:rPr>
  </w:style>
  <w:style w:type="character" w:customStyle="1" w:styleId="TitleChar">
    <w:name w:val="Title Char"/>
    <w:basedOn w:val="DefaultParagraphFont"/>
    <w:link w:val="Title"/>
    <w:uiPriority w:val="10"/>
    <w:rsid w:val="005923D2"/>
    <w:rPr>
      <w:rFonts w:ascii="Arial" w:eastAsia="Arial" w:hAnsi="Arial" w:cs="Arial"/>
      <w:sz w:val="52"/>
      <w:szCs w:val="52"/>
      <w:lang w:val="lt" w:eastAsia="en-GB"/>
    </w:rPr>
  </w:style>
  <w:style w:type="paragraph" w:customStyle="1" w:styleId="m-3097494929686872870msolistparagraph">
    <w:name w:val="m_-3097494929686872870msolistparagraph"/>
    <w:basedOn w:val="Normal"/>
    <w:rsid w:val="00B403D1"/>
    <w:pPr>
      <w:spacing w:before="100" w:beforeAutospacing="1" w:after="100" w:afterAutospacing="1"/>
      <w:jc w:val="left"/>
    </w:pPr>
    <w:rPr>
      <w:rFonts w:ascii="Times New Roman" w:eastAsia="Times New Roman" w:hAnsi="Times New Roman" w:cs="Times New Roman"/>
      <w:sz w:val="24"/>
      <w:szCs w:val="24"/>
      <w:lang w:val="en-LT" w:eastAsia="en-GB"/>
    </w:rPr>
  </w:style>
  <w:style w:type="character" w:customStyle="1" w:styleId="ui-provider">
    <w:name w:val="ui-provider"/>
    <w:basedOn w:val="DefaultParagraphFont"/>
    <w:rsid w:val="00B61F58"/>
  </w:style>
  <w:style w:type="character" w:customStyle="1" w:styleId="hgkelc">
    <w:name w:val="hgkelc"/>
    <w:basedOn w:val="DefaultParagraphFont"/>
    <w:rsid w:val="00B61F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2143">
      <w:bodyDiv w:val="1"/>
      <w:marLeft w:val="0"/>
      <w:marRight w:val="0"/>
      <w:marTop w:val="0"/>
      <w:marBottom w:val="0"/>
      <w:divBdr>
        <w:top w:val="none" w:sz="0" w:space="0" w:color="auto"/>
        <w:left w:val="none" w:sz="0" w:space="0" w:color="auto"/>
        <w:bottom w:val="none" w:sz="0" w:space="0" w:color="auto"/>
        <w:right w:val="none" w:sz="0" w:space="0" w:color="auto"/>
      </w:divBdr>
    </w:div>
    <w:div w:id="111443435">
      <w:bodyDiv w:val="1"/>
      <w:marLeft w:val="0"/>
      <w:marRight w:val="0"/>
      <w:marTop w:val="0"/>
      <w:marBottom w:val="0"/>
      <w:divBdr>
        <w:top w:val="none" w:sz="0" w:space="0" w:color="auto"/>
        <w:left w:val="none" w:sz="0" w:space="0" w:color="auto"/>
        <w:bottom w:val="none" w:sz="0" w:space="0" w:color="auto"/>
        <w:right w:val="none" w:sz="0" w:space="0" w:color="auto"/>
      </w:divBdr>
    </w:div>
    <w:div w:id="128940501">
      <w:bodyDiv w:val="1"/>
      <w:marLeft w:val="0"/>
      <w:marRight w:val="0"/>
      <w:marTop w:val="0"/>
      <w:marBottom w:val="0"/>
      <w:divBdr>
        <w:top w:val="none" w:sz="0" w:space="0" w:color="auto"/>
        <w:left w:val="none" w:sz="0" w:space="0" w:color="auto"/>
        <w:bottom w:val="none" w:sz="0" w:space="0" w:color="auto"/>
        <w:right w:val="none" w:sz="0" w:space="0" w:color="auto"/>
      </w:divBdr>
    </w:div>
    <w:div w:id="154153574">
      <w:bodyDiv w:val="1"/>
      <w:marLeft w:val="0"/>
      <w:marRight w:val="0"/>
      <w:marTop w:val="0"/>
      <w:marBottom w:val="0"/>
      <w:divBdr>
        <w:top w:val="none" w:sz="0" w:space="0" w:color="auto"/>
        <w:left w:val="none" w:sz="0" w:space="0" w:color="auto"/>
        <w:bottom w:val="none" w:sz="0" w:space="0" w:color="auto"/>
        <w:right w:val="none" w:sz="0" w:space="0" w:color="auto"/>
      </w:divBdr>
    </w:div>
    <w:div w:id="224729685">
      <w:bodyDiv w:val="1"/>
      <w:marLeft w:val="0"/>
      <w:marRight w:val="0"/>
      <w:marTop w:val="0"/>
      <w:marBottom w:val="0"/>
      <w:divBdr>
        <w:top w:val="none" w:sz="0" w:space="0" w:color="auto"/>
        <w:left w:val="none" w:sz="0" w:space="0" w:color="auto"/>
        <w:bottom w:val="none" w:sz="0" w:space="0" w:color="auto"/>
        <w:right w:val="none" w:sz="0" w:space="0" w:color="auto"/>
      </w:divBdr>
    </w:div>
    <w:div w:id="293368950">
      <w:bodyDiv w:val="1"/>
      <w:marLeft w:val="0"/>
      <w:marRight w:val="0"/>
      <w:marTop w:val="0"/>
      <w:marBottom w:val="0"/>
      <w:divBdr>
        <w:top w:val="none" w:sz="0" w:space="0" w:color="auto"/>
        <w:left w:val="none" w:sz="0" w:space="0" w:color="auto"/>
        <w:bottom w:val="none" w:sz="0" w:space="0" w:color="auto"/>
        <w:right w:val="none" w:sz="0" w:space="0" w:color="auto"/>
      </w:divBdr>
    </w:div>
    <w:div w:id="350497648">
      <w:bodyDiv w:val="1"/>
      <w:marLeft w:val="0"/>
      <w:marRight w:val="0"/>
      <w:marTop w:val="0"/>
      <w:marBottom w:val="0"/>
      <w:divBdr>
        <w:top w:val="none" w:sz="0" w:space="0" w:color="auto"/>
        <w:left w:val="none" w:sz="0" w:space="0" w:color="auto"/>
        <w:bottom w:val="none" w:sz="0" w:space="0" w:color="auto"/>
        <w:right w:val="none" w:sz="0" w:space="0" w:color="auto"/>
      </w:divBdr>
    </w:div>
    <w:div w:id="450438894">
      <w:bodyDiv w:val="1"/>
      <w:marLeft w:val="0"/>
      <w:marRight w:val="0"/>
      <w:marTop w:val="0"/>
      <w:marBottom w:val="0"/>
      <w:divBdr>
        <w:top w:val="none" w:sz="0" w:space="0" w:color="auto"/>
        <w:left w:val="none" w:sz="0" w:space="0" w:color="auto"/>
        <w:bottom w:val="none" w:sz="0" w:space="0" w:color="auto"/>
        <w:right w:val="none" w:sz="0" w:space="0" w:color="auto"/>
      </w:divBdr>
    </w:div>
    <w:div w:id="527522939">
      <w:bodyDiv w:val="1"/>
      <w:marLeft w:val="0"/>
      <w:marRight w:val="0"/>
      <w:marTop w:val="0"/>
      <w:marBottom w:val="0"/>
      <w:divBdr>
        <w:top w:val="none" w:sz="0" w:space="0" w:color="auto"/>
        <w:left w:val="none" w:sz="0" w:space="0" w:color="auto"/>
        <w:bottom w:val="none" w:sz="0" w:space="0" w:color="auto"/>
        <w:right w:val="none" w:sz="0" w:space="0" w:color="auto"/>
      </w:divBdr>
    </w:div>
    <w:div w:id="538590059">
      <w:bodyDiv w:val="1"/>
      <w:marLeft w:val="0"/>
      <w:marRight w:val="0"/>
      <w:marTop w:val="0"/>
      <w:marBottom w:val="0"/>
      <w:divBdr>
        <w:top w:val="none" w:sz="0" w:space="0" w:color="auto"/>
        <w:left w:val="none" w:sz="0" w:space="0" w:color="auto"/>
        <w:bottom w:val="none" w:sz="0" w:space="0" w:color="auto"/>
        <w:right w:val="none" w:sz="0" w:space="0" w:color="auto"/>
      </w:divBdr>
    </w:div>
    <w:div w:id="563570940">
      <w:bodyDiv w:val="1"/>
      <w:marLeft w:val="0"/>
      <w:marRight w:val="0"/>
      <w:marTop w:val="0"/>
      <w:marBottom w:val="0"/>
      <w:divBdr>
        <w:top w:val="none" w:sz="0" w:space="0" w:color="auto"/>
        <w:left w:val="none" w:sz="0" w:space="0" w:color="auto"/>
        <w:bottom w:val="none" w:sz="0" w:space="0" w:color="auto"/>
        <w:right w:val="none" w:sz="0" w:space="0" w:color="auto"/>
      </w:divBdr>
    </w:div>
    <w:div w:id="636227962">
      <w:bodyDiv w:val="1"/>
      <w:marLeft w:val="0"/>
      <w:marRight w:val="0"/>
      <w:marTop w:val="0"/>
      <w:marBottom w:val="0"/>
      <w:divBdr>
        <w:top w:val="none" w:sz="0" w:space="0" w:color="auto"/>
        <w:left w:val="none" w:sz="0" w:space="0" w:color="auto"/>
        <w:bottom w:val="none" w:sz="0" w:space="0" w:color="auto"/>
        <w:right w:val="none" w:sz="0" w:space="0" w:color="auto"/>
      </w:divBdr>
    </w:div>
    <w:div w:id="648438984">
      <w:bodyDiv w:val="1"/>
      <w:marLeft w:val="0"/>
      <w:marRight w:val="0"/>
      <w:marTop w:val="0"/>
      <w:marBottom w:val="0"/>
      <w:divBdr>
        <w:top w:val="none" w:sz="0" w:space="0" w:color="auto"/>
        <w:left w:val="none" w:sz="0" w:space="0" w:color="auto"/>
        <w:bottom w:val="none" w:sz="0" w:space="0" w:color="auto"/>
        <w:right w:val="none" w:sz="0" w:space="0" w:color="auto"/>
      </w:divBdr>
    </w:div>
    <w:div w:id="655304003">
      <w:bodyDiv w:val="1"/>
      <w:marLeft w:val="0"/>
      <w:marRight w:val="0"/>
      <w:marTop w:val="0"/>
      <w:marBottom w:val="0"/>
      <w:divBdr>
        <w:top w:val="none" w:sz="0" w:space="0" w:color="auto"/>
        <w:left w:val="none" w:sz="0" w:space="0" w:color="auto"/>
        <w:bottom w:val="none" w:sz="0" w:space="0" w:color="auto"/>
        <w:right w:val="none" w:sz="0" w:space="0" w:color="auto"/>
      </w:divBdr>
    </w:div>
    <w:div w:id="662926648">
      <w:bodyDiv w:val="1"/>
      <w:marLeft w:val="0"/>
      <w:marRight w:val="0"/>
      <w:marTop w:val="0"/>
      <w:marBottom w:val="0"/>
      <w:divBdr>
        <w:top w:val="none" w:sz="0" w:space="0" w:color="auto"/>
        <w:left w:val="none" w:sz="0" w:space="0" w:color="auto"/>
        <w:bottom w:val="none" w:sz="0" w:space="0" w:color="auto"/>
        <w:right w:val="none" w:sz="0" w:space="0" w:color="auto"/>
      </w:divBdr>
    </w:div>
    <w:div w:id="694162171">
      <w:bodyDiv w:val="1"/>
      <w:marLeft w:val="0"/>
      <w:marRight w:val="0"/>
      <w:marTop w:val="0"/>
      <w:marBottom w:val="0"/>
      <w:divBdr>
        <w:top w:val="none" w:sz="0" w:space="0" w:color="auto"/>
        <w:left w:val="none" w:sz="0" w:space="0" w:color="auto"/>
        <w:bottom w:val="none" w:sz="0" w:space="0" w:color="auto"/>
        <w:right w:val="none" w:sz="0" w:space="0" w:color="auto"/>
      </w:divBdr>
    </w:div>
    <w:div w:id="699746044">
      <w:bodyDiv w:val="1"/>
      <w:marLeft w:val="0"/>
      <w:marRight w:val="0"/>
      <w:marTop w:val="0"/>
      <w:marBottom w:val="0"/>
      <w:divBdr>
        <w:top w:val="none" w:sz="0" w:space="0" w:color="auto"/>
        <w:left w:val="none" w:sz="0" w:space="0" w:color="auto"/>
        <w:bottom w:val="none" w:sz="0" w:space="0" w:color="auto"/>
        <w:right w:val="none" w:sz="0" w:space="0" w:color="auto"/>
      </w:divBdr>
    </w:div>
    <w:div w:id="704986985">
      <w:bodyDiv w:val="1"/>
      <w:marLeft w:val="0"/>
      <w:marRight w:val="0"/>
      <w:marTop w:val="0"/>
      <w:marBottom w:val="0"/>
      <w:divBdr>
        <w:top w:val="none" w:sz="0" w:space="0" w:color="auto"/>
        <w:left w:val="none" w:sz="0" w:space="0" w:color="auto"/>
        <w:bottom w:val="none" w:sz="0" w:space="0" w:color="auto"/>
        <w:right w:val="none" w:sz="0" w:space="0" w:color="auto"/>
      </w:divBdr>
      <w:divsChild>
        <w:div w:id="1152867329">
          <w:marLeft w:val="0"/>
          <w:marRight w:val="0"/>
          <w:marTop w:val="0"/>
          <w:marBottom w:val="0"/>
          <w:divBdr>
            <w:top w:val="none" w:sz="0" w:space="0" w:color="auto"/>
            <w:left w:val="none" w:sz="0" w:space="0" w:color="auto"/>
            <w:bottom w:val="none" w:sz="0" w:space="0" w:color="auto"/>
            <w:right w:val="none" w:sz="0" w:space="0" w:color="auto"/>
          </w:divBdr>
        </w:div>
        <w:div w:id="701594428">
          <w:marLeft w:val="0"/>
          <w:marRight w:val="0"/>
          <w:marTop w:val="0"/>
          <w:marBottom w:val="0"/>
          <w:divBdr>
            <w:top w:val="none" w:sz="0" w:space="0" w:color="auto"/>
            <w:left w:val="none" w:sz="0" w:space="0" w:color="auto"/>
            <w:bottom w:val="none" w:sz="0" w:space="0" w:color="auto"/>
            <w:right w:val="none" w:sz="0" w:space="0" w:color="auto"/>
          </w:divBdr>
        </w:div>
        <w:div w:id="1542129582">
          <w:marLeft w:val="0"/>
          <w:marRight w:val="0"/>
          <w:marTop w:val="0"/>
          <w:marBottom w:val="0"/>
          <w:divBdr>
            <w:top w:val="none" w:sz="0" w:space="0" w:color="auto"/>
            <w:left w:val="none" w:sz="0" w:space="0" w:color="auto"/>
            <w:bottom w:val="none" w:sz="0" w:space="0" w:color="auto"/>
            <w:right w:val="none" w:sz="0" w:space="0" w:color="auto"/>
          </w:divBdr>
        </w:div>
      </w:divsChild>
    </w:div>
    <w:div w:id="710810708">
      <w:bodyDiv w:val="1"/>
      <w:marLeft w:val="0"/>
      <w:marRight w:val="0"/>
      <w:marTop w:val="0"/>
      <w:marBottom w:val="0"/>
      <w:divBdr>
        <w:top w:val="none" w:sz="0" w:space="0" w:color="auto"/>
        <w:left w:val="none" w:sz="0" w:space="0" w:color="auto"/>
        <w:bottom w:val="none" w:sz="0" w:space="0" w:color="auto"/>
        <w:right w:val="none" w:sz="0" w:space="0" w:color="auto"/>
      </w:divBdr>
    </w:div>
    <w:div w:id="786393893">
      <w:bodyDiv w:val="1"/>
      <w:marLeft w:val="0"/>
      <w:marRight w:val="0"/>
      <w:marTop w:val="0"/>
      <w:marBottom w:val="0"/>
      <w:divBdr>
        <w:top w:val="none" w:sz="0" w:space="0" w:color="auto"/>
        <w:left w:val="none" w:sz="0" w:space="0" w:color="auto"/>
        <w:bottom w:val="none" w:sz="0" w:space="0" w:color="auto"/>
        <w:right w:val="none" w:sz="0" w:space="0" w:color="auto"/>
      </w:divBdr>
    </w:div>
    <w:div w:id="786773655">
      <w:bodyDiv w:val="1"/>
      <w:marLeft w:val="0"/>
      <w:marRight w:val="0"/>
      <w:marTop w:val="0"/>
      <w:marBottom w:val="0"/>
      <w:divBdr>
        <w:top w:val="none" w:sz="0" w:space="0" w:color="auto"/>
        <w:left w:val="none" w:sz="0" w:space="0" w:color="auto"/>
        <w:bottom w:val="none" w:sz="0" w:space="0" w:color="auto"/>
        <w:right w:val="none" w:sz="0" w:space="0" w:color="auto"/>
      </w:divBdr>
    </w:div>
    <w:div w:id="810296003">
      <w:bodyDiv w:val="1"/>
      <w:marLeft w:val="0"/>
      <w:marRight w:val="0"/>
      <w:marTop w:val="0"/>
      <w:marBottom w:val="0"/>
      <w:divBdr>
        <w:top w:val="none" w:sz="0" w:space="0" w:color="auto"/>
        <w:left w:val="none" w:sz="0" w:space="0" w:color="auto"/>
        <w:bottom w:val="none" w:sz="0" w:space="0" w:color="auto"/>
        <w:right w:val="none" w:sz="0" w:space="0" w:color="auto"/>
      </w:divBdr>
    </w:div>
    <w:div w:id="814447279">
      <w:bodyDiv w:val="1"/>
      <w:marLeft w:val="0"/>
      <w:marRight w:val="0"/>
      <w:marTop w:val="0"/>
      <w:marBottom w:val="0"/>
      <w:divBdr>
        <w:top w:val="none" w:sz="0" w:space="0" w:color="auto"/>
        <w:left w:val="none" w:sz="0" w:space="0" w:color="auto"/>
        <w:bottom w:val="none" w:sz="0" w:space="0" w:color="auto"/>
        <w:right w:val="none" w:sz="0" w:space="0" w:color="auto"/>
      </w:divBdr>
    </w:div>
    <w:div w:id="831264494">
      <w:bodyDiv w:val="1"/>
      <w:marLeft w:val="0"/>
      <w:marRight w:val="0"/>
      <w:marTop w:val="0"/>
      <w:marBottom w:val="0"/>
      <w:divBdr>
        <w:top w:val="none" w:sz="0" w:space="0" w:color="auto"/>
        <w:left w:val="none" w:sz="0" w:space="0" w:color="auto"/>
        <w:bottom w:val="none" w:sz="0" w:space="0" w:color="auto"/>
        <w:right w:val="none" w:sz="0" w:space="0" w:color="auto"/>
      </w:divBdr>
    </w:div>
    <w:div w:id="880245446">
      <w:bodyDiv w:val="1"/>
      <w:marLeft w:val="0"/>
      <w:marRight w:val="0"/>
      <w:marTop w:val="0"/>
      <w:marBottom w:val="0"/>
      <w:divBdr>
        <w:top w:val="none" w:sz="0" w:space="0" w:color="auto"/>
        <w:left w:val="none" w:sz="0" w:space="0" w:color="auto"/>
        <w:bottom w:val="none" w:sz="0" w:space="0" w:color="auto"/>
        <w:right w:val="none" w:sz="0" w:space="0" w:color="auto"/>
      </w:divBdr>
    </w:div>
    <w:div w:id="911040588">
      <w:bodyDiv w:val="1"/>
      <w:marLeft w:val="0"/>
      <w:marRight w:val="0"/>
      <w:marTop w:val="0"/>
      <w:marBottom w:val="0"/>
      <w:divBdr>
        <w:top w:val="none" w:sz="0" w:space="0" w:color="auto"/>
        <w:left w:val="none" w:sz="0" w:space="0" w:color="auto"/>
        <w:bottom w:val="none" w:sz="0" w:space="0" w:color="auto"/>
        <w:right w:val="none" w:sz="0" w:space="0" w:color="auto"/>
      </w:divBdr>
    </w:div>
    <w:div w:id="913124491">
      <w:bodyDiv w:val="1"/>
      <w:marLeft w:val="0"/>
      <w:marRight w:val="0"/>
      <w:marTop w:val="0"/>
      <w:marBottom w:val="0"/>
      <w:divBdr>
        <w:top w:val="none" w:sz="0" w:space="0" w:color="auto"/>
        <w:left w:val="none" w:sz="0" w:space="0" w:color="auto"/>
        <w:bottom w:val="none" w:sz="0" w:space="0" w:color="auto"/>
        <w:right w:val="none" w:sz="0" w:space="0" w:color="auto"/>
      </w:divBdr>
    </w:div>
    <w:div w:id="920286704">
      <w:bodyDiv w:val="1"/>
      <w:marLeft w:val="0"/>
      <w:marRight w:val="0"/>
      <w:marTop w:val="0"/>
      <w:marBottom w:val="0"/>
      <w:divBdr>
        <w:top w:val="none" w:sz="0" w:space="0" w:color="auto"/>
        <w:left w:val="none" w:sz="0" w:space="0" w:color="auto"/>
        <w:bottom w:val="none" w:sz="0" w:space="0" w:color="auto"/>
        <w:right w:val="none" w:sz="0" w:space="0" w:color="auto"/>
      </w:divBdr>
    </w:div>
    <w:div w:id="935557786">
      <w:bodyDiv w:val="1"/>
      <w:marLeft w:val="0"/>
      <w:marRight w:val="0"/>
      <w:marTop w:val="0"/>
      <w:marBottom w:val="0"/>
      <w:divBdr>
        <w:top w:val="none" w:sz="0" w:space="0" w:color="auto"/>
        <w:left w:val="none" w:sz="0" w:space="0" w:color="auto"/>
        <w:bottom w:val="none" w:sz="0" w:space="0" w:color="auto"/>
        <w:right w:val="none" w:sz="0" w:space="0" w:color="auto"/>
      </w:divBdr>
    </w:div>
    <w:div w:id="965354334">
      <w:bodyDiv w:val="1"/>
      <w:marLeft w:val="0"/>
      <w:marRight w:val="0"/>
      <w:marTop w:val="0"/>
      <w:marBottom w:val="0"/>
      <w:divBdr>
        <w:top w:val="none" w:sz="0" w:space="0" w:color="auto"/>
        <w:left w:val="none" w:sz="0" w:space="0" w:color="auto"/>
        <w:bottom w:val="none" w:sz="0" w:space="0" w:color="auto"/>
        <w:right w:val="none" w:sz="0" w:space="0" w:color="auto"/>
      </w:divBdr>
    </w:div>
    <w:div w:id="1045178166">
      <w:bodyDiv w:val="1"/>
      <w:marLeft w:val="0"/>
      <w:marRight w:val="0"/>
      <w:marTop w:val="0"/>
      <w:marBottom w:val="0"/>
      <w:divBdr>
        <w:top w:val="none" w:sz="0" w:space="0" w:color="auto"/>
        <w:left w:val="none" w:sz="0" w:space="0" w:color="auto"/>
        <w:bottom w:val="none" w:sz="0" w:space="0" w:color="auto"/>
        <w:right w:val="none" w:sz="0" w:space="0" w:color="auto"/>
      </w:divBdr>
    </w:div>
    <w:div w:id="1052076455">
      <w:bodyDiv w:val="1"/>
      <w:marLeft w:val="0"/>
      <w:marRight w:val="0"/>
      <w:marTop w:val="0"/>
      <w:marBottom w:val="0"/>
      <w:divBdr>
        <w:top w:val="none" w:sz="0" w:space="0" w:color="auto"/>
        <w:left w:val="none" w:sz="0" w:space="0" w:color="auto"/>
        <w:bottom w:val="none" w:sz="0" w:space="0" w:color="auto"/>
        <w:right w:val="none" w:sz="0" w:space="0" w:color="auto"/>
      </w:divBdr>
    </w:div>
    <w:div w:id="1224485604">
      <w:bodyDiv w:val="1"/>
      <w:marLeft w:val="0"/>
      <w:marRight w:val="0"/>
      <w:marTop w:val="0"/>
      <w:marBottom w:val="0"/>
      <w:divBdr>
        <w:top w:val="none" w:sz="0" w:space="0" w:color="auto"/>
        <w:left w:val="none" w:sz="0" w:space="0" w:color="auto"/>
        <w:bottom w:val="none" w:sz="0" w:space="0" w:color="auto"/>
        <w:right w:val="none" w:sz="0" w:space="0" w:color="auto"/>
      </w:divBdr>
    </w:div>
    <w:div w:id="1240795968">
      <w:bodyDiv w:val="1"/>
      <w:marLeft w:val="0"/>
      <w:marRight w:val="0"/>
      <w:marTop w:val="0"/>
      <w:marBottom w:val="0"/>
      <w:divBdr>
        <w:top w:val="none" w:sz="0" w:space="0" w:color="auto"/>
        <w:left w:val="none" w:sz="0" w:space="0" w:color="auto"/>
        <w:bottom w:val="none" w:sz="0" w:space="0" w:color="auto"/>
        <w:right w:val="none" w:sz="0" w:space="0" w:color="auto"/>
      </w:divBdr>
    </w:div>
    <w:div w:id="1246262532">
      <w:bodyDiv w:val="1"/>
      <w:marLeft w:val="0"/>
      <w:marRight w:val="0"/>
      <w:marTop w:val="0"/>
      <w:marBottom w:val="0"/>
      <w:divBdr>
        <w:top w:val="none" w:sz="0" w:space="0" w:color="auto"/>
        <w:left w:val="none" w:sz="0" w:space="0" w:color="auto"/>
        <w:bottom w:val="none" w:sz="0" w:space="0" w:color="auto"/>
        <w:right w:val="none" w:sz="0" w:space="0" w:color="auto"/>
      </w:divBdr>
    </w:div>
    <w:div w:id="1281767772">
      <w:bodyDiv w:val="1"/>
      <w:marLeft w:val="0"/>
      <w:marRight w:val="0"/>
      <w:marTop w:val="0"/>
      <w:marBottom w:val="0"/>
      <w:divBdr>
        <w:top w:val="none" w:sz="0" w:space="0" w:color="auto"/>
        <w:left w:val="none" w:sz="0" w:space="0" w:color="auto"/>
        <w:bottom w:val="none" w:sz="0" w:space="0" w:color="auto"/>
        <w:right w:val="none" w:sz="0" w:space="0" w:color="auto"/>
      </w:divBdr>
    </w:div>
    <w:div w:id="1360936295">
      <w:bodyDiv w:val="1"/>
      <w:marLeft w:val="0"/>
      <w:marRight w:val="0"/>
      <w:marTop w:val="0"/>
      <w:marBottom w:val="0"/>
      <w:divBdr>
        <w:top w:val="none" w:sz="0" w:space="0" w:color="auto"/>
        <w:left w:val="none" w:sz="0" w:space="0" w:color="auto"/>
        <w:bottom w:val="none" w:sz="0" w:space="0" w:color="auto"/>
        <w:right w:val="none" w:sz="0" w:space="0" w:color="auto"/>
      </w:divBdr>
    </w:div>
    <w:div w:id="1417635154">
      <w:bodyDiv w:val="1"/>
      <w:marLeft w:val="0"/>
      <w:marRight w:val="0"/>
      <w:marTop w:val="0"/>
      <w:marBottom w:val="0"/>
      <w:divBdr>
        <w:top w:val="none" w:sz="0" w:space="0" w:color="auto"/>
        <w:left w:val="none" w:sz="0" w:space="0" w:color="auto"/>
        <w:bottom w:val="none" w:sz="0" w:space="0" w:color="auto"/>
        <w:right w:val="none" w:sz="0" w:space="0" w:color="auto"/>
      </w:divBdr>
    </w:div>
    <w:div w:id="1521236123">
      <w:bodyDiv w:val="1"/>
      <w:marLeft w:val="0"/>
      <w:marRight w:val="0"/>
      <w:marTop w:val="0"/>
      <w:marBottom w:val="0"/>
      <w:divBdr>
        <w:top w:val="none" w:sz="0" w:space="0" w:color="auto"/>
        <w:left w:val="none" w:sz="0" w:space="0" w:color="auto"/>
        <w:bottom w:val="none" w:sz="0" w:space="0" w:color="auto"/>
        <w:right w:val="none" w:sz="0" w:space="0" w:color="auto"/>
      </w:divBdr>
    </w:div>
    <w:div w:id="1611544636">
      <w:bodyDiv w:val="1"/>
      <w:marLeft w:val="0"/>
      <w:marRight w:val="0"/>
      <w:marTop w:val="0"/>
      <w:marBottom w:val="0"/>
      <w:divBdr>
        <w:top w:val="none" w:sz="0" w:space="0" w:color="auto"/>
        <w:left w:val="none" w:sz="0" w:space="0" w:color="auto"/>
        <w:bottom w:val="none" w:sz="0" w:space="0" w:color="auto"/>
        <w:right w:val="none" w:sz="0" w:space="0" w:color="auto"/>
      </w:divBdr>
    </w:div>
    <w:div w:id="1658923773">
      <w:bodyDiv w:val="1"/>
      <w:marLeft w:val="0"/>
      <w:marRight w:val="0"/>
      <w:marTop w:val="0"/>
      <w:marBottom w:val="0"/>
      <w:divBdr>
        <w:top w:val="none" w:sz="0" w:space="0" w:color="auto"/>
        <w:left w:val="none" w:sz="0" w:space="0" w:color="auto"/>
        <w:bottom w:val="none" w:sz="0" w:space="0" w:color="auto"/>
        <w:right w:val="none" w:sz="0" w:space="0" w:color="auto"/>
      </w:divBdr>
    </w:div>
    <w:div w:id="1659916763">
      <w:bodyDiv w:val="1"/>
      <w:marLeft w:val="0"/>
      <w:marRight w:val="0"/>
      <w:marTop w:val="0"/>
      <w:marBottom w:val="0"/>
      <w:divBdr>
        <w:top w:val="none" w:sz="0" w:space="0" w:color="auto"/>
        <w:left w:val="none" w:sz="0" w:space="0" w:color="auto"/>
        <w:bottom w:val="none" w:sz="0" w:space="0" w:color="auto"/>
        <w:right w:val="none" w:sz="0" w:space="0" w:color="auto"/>
      </w:divBdr>
      <w:divsChild>
        <w:div w:id="576473367">
          <w:marLeft w:val="0"/>
          <w:marRight w:val="0"/>
          <w:marTop w:val="0"/>
          <w:marBottom w:val="0"/>
          <w:divBdr>
            <w:top w:val="none" w:sz="0" w:space="0" w:color="auto"/>
            <w:left w:val="none" w:sz="0" w:space="0" w:color="auto"/>
            <w:bottom w:val="none" w:sz="0" w:space="0" w:color="auto"/>
            <w:right w:val="none" w:sz="0" w:space="0" w:color="auto"/>
          </w:divBdr>
        </w:div>
        <w:div w:id="465700204">
          <w:marLeft w:val="0"/>
          <w:marRight w:val="0"/>
          <w:marTop w:val="0"/>
          <w:marBottom w:val="0"/>
          <w:divBdr>
            <w:top w:val="none" w:sz="0" w:space="0" w:color="auto"/>
            <w:left w:val="none" w:sz="0" w:space="0" w:color="auto"/>
            <w:bottom w:val="none" w:sz="0" w:space="0" w:color="auto"/>
            <w:right w:val="none" w:sz="0" w:space="0" w:color="auto"/>
          </w:divBdr>
        </w:div>
        <w:div w:id="50615462">
          <w:marLeft w:val="0"/>
          <w:marRight w:val="0"/>
          <w:marTop w:val="0"/>
          <w:marBottom w:val="0"/>
          <w:divBdr>
            <w:top w:val="none" w:sz="0" w:space="0" w:color="auto"/>
            <w:left w:val="none" w:sz="0" w:space="0" w:color="auto"/>
            <w:bottom w:val="none" w:sz="0" w:space="0" w:color="auto"/>
            <w:right w:val="none" w:sz="0" w:space="0" w:color="auto"/>
          </w:divBdr>
        </w:div>
        <w:div w:id="349795777">
          <w:marLeft w:val="0"/>
          <w:marRight w:val="0"/>
          <w:marTop w:val="0"/>
          <w:marBottom w:val="0"/>
          <w:divBdr>
            <w:top w:val="none" w:sz="0" w:space="0" w:color="auto"/>
            <w:left w:val="none" w:sz="0" w:space="0" w:color="auto"/>
            <w:bottom w:val="none" w:sz="0" w:space="0" w:color="auto"/>
            <w:right w:val="none" w:sz="0" w:space="0" w:color="auto"/>
          </w:divBdr>
        </w:div>
        <w:div w:id="119232390">
          <w:marLeft w:val="0"/>
          <w:marRight w:val="0"/>
          <w:marTop w:val="0"/>
          <w:marBottom w:val="0"/>
          <w:divBdr>
            <w:top w:val="none" w:sz="0" w:space="0" w:color="auto"/>
            <w:left w:val="none" w:sz="0" w:space="0" w:color="auto"/>
            <w:bottom w:val="none" w:sz="0" w:space="0" w:color="auto"/>
            <w:right w:val="none" w:sz="0" w:space="0" w:color="auto"/>
          </w:divBdr>
        </w:div>
        <w:div w:id="1278217950">
          <w:marLeft w:val="0"/>
          <w:marRight w:val="0"/>
          <w:marTop w:val="0"/>
          <w:marBottom w:val="0"/>
          <w:divBdr>
            <w:top w:val="none" w:sz="0" w:space="0" w:color="auto"/>
            <w:left w:val="none" w:sz="0" w:space="0" w:color="auto"/>
            <w:bottom w:val="none" w:sz="0" w:space="0" w:color="auto"/>
            <w:right w:val="none" w:sz="0" w:space="0" w:color="auto"/>
          </w:divBdr>
        </w:div>
        <w:div w:id="1469398164">
          <w:marLeft w:val="0"/>
          <w:marRight w:val="0"/>
          <w:marTop w:val="0"/>
          <w:marBottom w:val="0"/>
          <w:divBdr>
            <w:top w:val="none" w:sz="0" w:space="0" w:color="auto"/>
            <w:left w:val="none" w:sz="0" w:space="0" w:color="auto"/>
            <w:bottom w:val="none" w:sz="0" w:space="0" w:color="auto"/>
            <w:right w:val="none" w:sz="0" w:space="0" w:color="auto"/>
          </w:divBdr>
        </w:div>
        <w:div w:id="120344250">
          <w:marLeft w:val="0"/>
          <w:marRight w:val="0"/>
          <w:marTop w:val="0"/>
          <w:marBottom w:val="0"/>
          <w:divBdr>
            <w:top w:val="none" w:sz="0" w:space="0" w:color="auto"/>
            <w:left w:val="none" w:sz="0" w:space="0" w:color="auto"/>
            <w:bottom w:val="none" w:sz="0" w:space="0" w:color="auto"/>
            <w:right w:val="none" w:sz="0" w:space="0" w:color="auto"/>
          </w:divBdr>
        </w:div>
        <w:div w:id="1602569846">
          <w:marLeft w:val="0"/>
          <w:marRight w:val="0"/>
          <w:marTop w:val="0"/>
          <w:marBottom w:val="0"/>
          <w:divBdr>
            <w:top w:val="none" w:sz="0" w:space="0" w:color="auto"/>
            <w:left w:val="none" w:sz="0" w:space="0" w:color="auto"/>
            <w:bottom w:val="none" w:sz="0" w:space="0" w:color="auto"/>
            <w:right w:val="none" w:sz="0" w:space="0" w:color="auto"/>
          </w:divBdr>
        </w:div>
        <w:div w:id="1213543567">
          <w:marLeft w:val="0"/>
          <w:marRight w:val="0"/>
          <w:marTop w:val="0"/>
          <w:marBottom w:val="0"/>
          <w:divBdr>
            <w:top w:val="none" w:sz="0" w:space="0" w:color="auto"/>
            <w:left w:val="none" w:sz="0" w:space="0" w:color="auto"/>
            <w:bottom w:val="none" w:sz="0" w:space="0" w:color="auto"/>
            <w:right w:val="none" w:sz="0" w:space="0" w:color="auto"/>
          </w:divBdr>
        </w:div>
      </w:divsChild>
    </w:div>
    <w:div w:id="1702053102">
      <w:bodyDiv w:val="1"/>
      <w:marLeft w:val="0"/>
      <w:marRight w:val="0"/>
      <w:marTop w:val="0"/>
      <w:marBottom w:val="0"/>
      <w:divBdr>
        <w:top w:val="none" w:sz="0" w:space="0" w:color="auto"/>
        <w:left w:val="none" w:sz="0" w:space="0" w:color="auto"/>
        <w:bottom w:val="none" w:sz="0" w:space="0" w:color="auto"/>
        <w:right w:val="none" w:sz="0" w:space="0" w:color="auto"/>
      </w:divBdr>
    </w:div>
    <w:div w:id="1704329974">
      <w:bodyDiv w:val="1"/>
      <w:marLeft w:val="0"/>
      <w:marRight w:val="0"/>
      <w:marTop w:val="0"/>
      <w:marBottom w:val="0"/>
      <w:divBdr>
        <w:top w:val="none" w:sz="0" w:space="0" w:color="auto"/>
        <w:left w:val="none" w:sz="0" w:space="0" w:color="auto"/>
        <w:bottom w:val="none" w:sz="0" w:space="0" w:color="auto"/>
        <w:right w:val="none" w:sz="0" w:space="0" w:color="auto"/>
      </w:divBdr>
    </w:div>
    <w:div w:id="1714694457">
      <w:bodyDiv w:val="1"/>
      <w:marLeft w:val="0"/>
      <w:marRight w:val="0"/>
      <w:marTop w:val="0"/>
      <w:marBottom w:val="0"/>
      <w:divBdr>
        <w:top w:val="none" w:sz="0" w:space="0" w:color="auto"/>
        <w:left w:val="none" w:sz="0" w:space="0" w:color="auto"/>
        <w:bottom w:val="none" w:sz="0" w:space="0" w:color="auto"/>
        <w:right w:val="none" w:sz="0" w:space="0" w:color="auto"/>
      </w:divBdr>
    </w:div>
    <w:div w:id="1761638098">
      <w:bodyDiv w:val="1"/>
      <w:marLeft w:val="0"/>
      <w:marRight w:val="0"/>
      <w:marTop w:val="0"/>
      <w:marBottom w:val="0"/>
      <w:divBdr>
        <w:top w:val="none" w:sz="0" w:space="0" w:color="auto"/>
        <w:left w:val="none" w:sz="0" w:space="0" w:color="auto"/>
        <w:bottom w:val="none" w:sz="0" w:space="0" w:color="auto"/>
        <w:right w:val="none" w:sz="0" w:space="0" w:color="auto"/>
      </w:divBdr>
    </w:div>
    <w:div w:id="1790661542">
      <w:bodyDiv w:val="1"/>
      <w:marLeft w:val="0"/>
      <w:marRight w:val="0"/>
      <w:marTop w:val="0"/>
      <w:marBottom w:val="0"/>
      <w:divBdr>
        <w:top w:val="none" w:sz="0" w:space="0" w:color="auto"/>
        <w:left w:val="none" w:sz="0" w:space="0" w:color="auto"/>
        <w:bottom w:val="none" w:sz="0" w:space="0" w:color="auto"/>
        <w:right w:val="none" w:sz="0" w:space="0" w:color="auto"/>
      </w:divBdr>
    </w:div>
    <w:div w:id="1849366871">
      <w:bodyDiv w:val="1"/>
      <w:marLeft w:val="0"/>
      <w:marRight w:val="0"/>
      <w:marTop w:val="0"/>
      <w:marBottom w:val="0"/>
      <w:divBdr>
        <w:top w:val="none" w:sz="0" w:space="0" w:color="auto"/>
        <w:left w:val="none" w:sz="0" w:space="0" w:color="auto"/>
        <w:bottom w:val="none" w:sz="0" w:space="0" w:color="auto"/>
        <w:right w:val="none" w:sz="0" w:space="0" w:color="auto"/>
      </w:divBdr>
    </w:div>
    <w:div w:id="1894121767">
      <w:bodyDiv w:val="1"/>
      <w:marLeft w:val="0"/>
      <w:marRight w:val="0"/>
      <w:marTop w:val="0"/>
      <w:marBottom w:val="0"/>
      <w:divBdr>
        <w:top w:val="none" w:sz="0" w:space="0" w:color="auto"/>
        <w:left w:val="none" w:sz="0" w:space="0" w:color="auto"/>
        <w:bottom w:val="none" w:sz="0" w:space="0" w:color="auto"/>
        <w:right w:val="none" w:sz="0" w:space="0" w:color="auto"/>
      </w:divBdr>
    </w:div>
    <w:div w:id="1912344832">
      <w:bodyDiv w:val="1"/>
      <w:marLeft w:val="0"/>
      <w:marRight w:val="0"/>
      <w:marTop w:val="0"/>
      <w:marBottom w:val="0"/>
      <w:divBdr>
        <w:top w:val="none" w:sz="0" w:space="0" w:color="auto"/>
        <w:left w:val="none" w:sz="0" w:space="0" w:color="auto"/>
        <w:bottom w:val="none" w:sz="0" w:space="0" w:color="auto"/>
        <w:right w:val="none" w:sz="0" w:space="0" w:color="auto"/>
      </w:divBdr>
    </w:div>
    <w:div w:id="1913730746">
      <w:bodyDiv w:val="1"/>
      <w:marLeft w:val="0"/>
      <w:marRight w:val="0"/>
      <w:marTop w:val="0"/>
      <w:marBottom w:val="0"/>
      <w:divBdr>
        <w:top w:val="none" w:sz="0" w:space="0" w:color="auto"/>
        <w:left w:val="none" w:sz="0" w:space="0" w:color="auto"/>
        <w:bottom w:val="none" w:sz="0" w:space="0" w:color="auto"/>
        <w:right w:val="none" w:sz="0" w:space="0" w:color="auto"/>
      </w:divBdr>
    </w:div>
    <w:div w:id="1918856953">
      <w:bodyDiv w:val="1"/>
      <w:marLeft w:val="0"/>
      <w:marRight w:val="0"/>
      <w:marTop w:val="0"/>
      <w:marBottom w:val="0"/>
      <w:divBdr>
        <w:top w:val="none" w:sz="0" w:space="0" w:color="auto"/>
        <w:left w:val="none" w:sz="0" w:space="0" w:color="auto"/>
        <w:bottom w:val="none" w:sz="0" w:space="0" w:color="auto"/>
        <w:right w:val="none" w:sz="0" w:space="0" w:color="auto"/>
      </w:divBdr>
    </w:div>
    <w:div w:id="1933123333">
      <w:bodyDiv w:val="1"/>
      <w:marLeft w:val="0"/>
      <w:marRight w:val="0"/>
      <w:marTop w:val="0"/>
      <w:marBottom w:val="0"/>
      <w:divBdr>
        <w:top w:val="none" w:sz="0" w:space="0" w:color="auto"/>
        <w:left w:val="none" w:sz="0" w:space="0" w:color="auto"/>
        <w:bottom w:val="none" w:sz="0" w:space="0" w:color="auto"/>
        <w:right w:val="none" w:sz="0" w:space="0" w:color="auto"/>
      </w:divBdr>
    </w:div>
    <w:div w:id="1965429675">
      <w:bodyDiv w:val="1"/>
      <w:marLeft w:val="0"/>
      <w:marRight w:val="0"/>
      <w:marTop w:val="0"/>
      <w:marBottom w:val="0"/>
      <w:divBdr>
        <w:top w:val="none" w:sz="0" w:space="0" w:color="auto"/>
        <w:left w:val="none" w:sz="0" w:space="0" w:color="auto"/>
        <w:bottom w:val="none" w:sz="0" w:space="0" w:color="auto"/>
        <w:right w:val="none" w:sz="0" w:space="0" w:color="auto"/>
      </w:divBdr>
    </w:div>
    <w:div w:id="1983919527">
      <w:bodyDiv w:val="1"/>
      <w:marLeft w:val="0"/>
      <w:marRight w:val="0"/>
      <w:marTop w:val="0"/>
      <w:marBottom w:val="0"/>
      <w:divBdr>
        <w:top w:val="none" w:sz="0" w:space="0" w:color="auto"/>
        <w:left w:val="none" w:sz="0" w:space="0" w:color="auto"/>
        <w:bottom w:val="none" w:sz="0" w:space="0" w:color="auto"/>
        <w:right w:val="none" w:sz="0" w:space="0" w:color="auto"/>
      </w:divBdr>
    </w:div>
    <w:div w:id="2031681597">
      <w:bodyDiv w:val="1"/>
      <w:marLeft w:val="0"/>
      <w:marRight w:val="0"/>
      <w:marTop w:val="0"/>
      <w:marBottom w:val="0"/>
      <w:divBdr>
        <w:top w:val="none" w:sz="0" w:space="0" w:color="auto"/>
        <w:left w:val="none" w:sz="0" w:space="0" w:color="auto"/>
        <w:bottom w:val="none" w:sz="0" w:space="0" w:color="auto"/>
        <w:right w:val="none" w:sz="0" w:space="0" w:color="auto"/>
      </w:divBdr>
    </w:div>
    <w:div w:id="2054888788">
      <w:bodyDiv w:val="1"/>
      <w:marLeft w:val="0"/>
      <w:marRight w:val="0"/>
      <w:marTop w:val="0"/>
      <w:marBottom w:val="0"/>
      <w:divBdr>
        <w:top w:val="none" w:sz="0" w:space="0" w:color="auto"/>
        <w:left w:val="none" w:sz="0" w:space="0" w:color="auto"/>
        <w:bottom w:val="none" w:sz="0" w:space="0" w:color="auto"/>
        <w:right w:val="none" w:sz="0" w:space="0" w:color="auto"/>
      </w:divBdr>
    </w:div>
    <w:div w:id="20754702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ytas.stalnionis@citu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itus.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C8714-A1BD-2142-95D5-582952AB3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1246</Words>
  <Characters>7107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8337</CharactersWithSpaces>
  <SharedDoc>false</SharedDoc>
  <HLinks>
    <vt:vector size="12" baseType="variant">
      <vt:variant>
        <vt:i4>786454</vt:i4>
      </vt:variant>
      <vt:variant>
        <vt:i4>3</vt:i4>
      </vt:variant>
      <vt:variant>
        <vt:i4>0</vt:i4>
      </vt:variant>
      <vt:variant>
        <vt:i4>5</vt:i4>
      </vt:variant>
      <vt:variant>
        <vt:lpwstr>http://www.citus.lt/</vt:lpwstr>
      </vt:variant>
      <vt:variant>
        <vt:lpwstr/>
      </vt:variant>
      <vt:variant>
        <vt:i4>7012376</vt:i4>
      </vt:variant>
      <vt:variant>
        <vt:i4>0</vt:i4>
      </vt:variant>
      <vt:variant>
        <vt:i4>0</vt:i4>
      </vt:variant>
      <vt:variant>
        <vt:i4>5</vt:i4>
      </vt:variant>
      <vt:variant>
        <vt:lpwstr>mailto:rytas.stalnionis@citus.lt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Rytas</dc:creator>
  <cp:keywords/>
  <dc:description/>
  <cp:lastModifiedBy>Rytas Stalnionis | Citus</cp:lastModifiedBy>
  <cp:revision>3</cp:revision>
  <cp:lastPrinted>2018-09-12T07:36:00Z</cp:lastPrinted>
  <dcterms:created xsi:type="dcterms:W3CDTF">2024-04-29T10:33:00Z</dcterms:created>
  <dcterms:modified xsi:type="dcterms:W3CDTF">2024-04-29T10:44:00Z</dcterms:modified>
</cp:coreProperties>
</file>