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3C34" w14:textId="5A4EF490" w:rsidR="00F84452" w:rsidRPr="005E62DD" w:rsidRDefault="00F84452"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 xml:space="preserve">Kas vyksta finansų rinkose? </w:t>
      </w:r>
      <w:r w:rsidR="00EF0BE9">
        <w:rPr>
          <w:rFonts w:ascii="Arial" w:eastAsia="Arial" w:hAnsi="Arial" w:cs="Arial"/>
          <w:b/>
          <w:bCs/>
          <w:color w:val="000000" w:themeColor="text1"/>
          <w:sz w:val="28"/>
          <w:szCs w:val="28"/>
        </w:rPr>
        <w:t>Balandžio</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55AF2EC8" w14:textId="06EDB4EF"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1FA6AE0B" w14:textId="77777777" w:rsidR="00EF0BE9" w:rsidRPr="00EF0BE9" w:rsidRDefault="00EF0BE9" w:rsidP="00EF0BE9">
      <w:pPr>
        <w:spacing w:line="270" w:lineRule="exact"/>
        <w:jc w:val="both"/>
        <w:rPr>
          <w:rFonts w:ascii="Arial" w:eastAsia="Arial" w:hAnsi="Arial" w:cs="Arial"/>
          <w:b/>
          <w:bCs/>
          <w:noProof/>
          <w:color w:val="000000" w:themeColor="text1"/>
          <w:lang w:val="en-US"/>
        </w:rPr>
      </w:pPr>
      <w:r w:rsidRPr="00EF0BE9">
        <w:rPr>
          <w:rFonts w:ascii="Arial" w:eastAsia="Arial" w:hAnsi="Arial" w:cs="Arial"/>
          <w:b/>
          <w:bCs/>
          <w:noProof/>
          <w:color w:val="000000" w:themeColor="text1"/>
          <w:lang w:val="en-US"/>
        </w:rPr>
        <w:t>109 dienos. Tokią, balandžio pradžioje nutrūkusią augimo seriją be 3 proc. korekcijos pasiekė MSCI viso pasaulio akcijų indeksas. Pozityvus sentimentas keitėsi sulig solidžiais JAV užimtumo duomenimis ir aukštesne nei tikėtasi infliacija šalyje. Nuosekliai augančios ekonomikos ir „prilipusių“ kainų dinamika leidžia JAV centriniam bankui išlaikyti aukštas palūkanų normas, o tai balandį neigiamai veikė tiek akcijų, tiek obligacijų rinkas.</w:t>
      </w:r>
    </w:p>
    <w:p w14:paraId="586F92EB" w14:textId="77777777" w:rsidR="00EF0BE9" w:rsidRDefault="00EF0BE9" w:rsidP="00EF0BE9">
      <w:pPr>
        <w:spacing w:line="270" w:lineRule="exact"/>
        <w:jc w:val="both"/>
        <w:rPr>
          <w:rFonts w:ascii="Arial" w:eastAsia="Arial" w:hAnsi="Arial" w:cs="Arial"/>
          <w:noProof/>
          <w:color w:val="000000" w:themeColor="text1"/>
          <w:lang w:val="en-US"/>
        </w:rPr>
      </w:pPr>
      <w:r w:rsidRPr="6F339525">
        <w:rPr>
          <w:rFonts w:ascii="Arial" w:eastAsia="Arial" w:hAnsi="Arial" w:cs="Arial"/>
          <w:noProof/>
          <w:color w:val="000000" w:themeColor="text1"/>
          <w:lang w:val="en-US"/>
        </w:rPr>
        <w:t xml:space="preserve">Balandis parodė ir didesnę takoskyrą tarp JAV </w:t>
      </w:r>
      <w:r>
        <w:rPr>
          <w:rFonts w:ascii="Arial" w:eastAsia="Arial" w:hAnsi="Arial" w:cs="Arial"/>
          <w:noProof/>
          <w:color w:val="000000" w:themeColor="text1"/>
          <w:lang w:val="en-US"/>
        </w:rPr>
        <w:t>bei</w:t>
      </w:r>
      <w:r w:rsidRPr="6F339525">
        <w:rPr>
          <w:rFonts w:ascii="Arial" w:eastAsia="Arial" w:hAnsi="Arial" w:cs="Arial"/>
          <w:noProof/>
          <w:color w:val="000000" w:themeColor="text1"/>
          <w:lang w:val="en-US"/>
        </w:rPr>
        <w:t xml:space="preserve"> Euro zonos, kurioje kainų augimas buvo lėtesnis ir pozityviai stebino. Tuo pačiu, stagnuojanti </w:t>
      </w:r>
      <w:r>
        <w:rPr>
          <w:rFonts w:ascii="Arial" w:eastAsia="Arial" w:hAnsi="Arial" w:cs="Arial"/>
          <w:noProof/>
          <w:color w:val="000000" w:themeColor="text1"/>
          <w:lang w:val="en-US"/>
        </w:rPr>
        <w:t xml:space="preserve">Europos </w:t>
      </w:r>
      <w:r w:rsidRPr="6F339525">
        <w:rPr>
          <w:rFonts w:ascii="Arial" w:eastAsia="Arial" w:hAnsi="Arial" w:cs="Arial"/>
          <w:noProof/>
          <w:color w:val="000000" w:themeColor="text1"/>
          <w:lang w:val="en-US"/>
        </w:rPr>
        <w:t xml:space="preserve">regiono ekonomika balandį plėtėsi sparčiau nei tikėtasi, ypač pramonės sektoriuje. Tikimybė, kad Europos centrinis bankas anksčiau mažins palūkanų normas nei JAV Federalinis rezervas </w:t>
      </w:r>
      <w:r>
        <w:rPr>
          <w:rFonts w:ascii="Arial" w:eastAsia="Arial" w:hAnsi="Arial" w:cs="Arial"/>
          <w:noProof/>
          <w:color w:val="000000" w:themeColor="text1"/>
          <w:lang w:val="en-US"/>
        </w:rPr>
        <w:t>toliau</w:t>
      </w:r>
      <w:r w:rsidRPr="6F339525">
        <w:rPr>
          <w:rFonts w:ascii="Arial" w:eastAsia="Arial" w:hAnsi="Arial" w:cs="Arial"/>
          <w:noProof/>
          <w:color w:val="000000" w:themeColor="text1"/>
          <w:lang w:val="en-US"/>
        </w:rPr>
        <w:t xml:space="preserve"> augo</w:t>
      </w:r>
      <w:r>
        <w:rPr>
          <w:rFonts w:ascii="Arial" w:eastAsia="Arial" w:hAnsi="Arial" w:cs="Arial"/>
          <w:noProof/>
          <w:color w:val="000000" w:themeColor="text1"/>
          <w:lang w:val="en-US"/>
        </w:rPr>
        <w:t xml:space="preserve">. Tai </w:t>
      </w:r>
      <w:r w:rsidRPr="6F339525">
        <w:rPr>
          <w:rFonts w:ascii="Arial" w:eastAsia="Arial" w:hAnsi="Arial" w:cs="Arial"/>
          <w:noProof/>
          <w:color w:val="000000" w:themeColor="text1"/>
          <w:lang w:val="en-US"/>
        </w:rPr>
        <w:t xml:space="preserve">kartu paskatino didžiausią JAV </w:t>
      </w:r>
      <w:r>
        <w:rPr>
          <w:rFonts w:ascii="Arial" w:eastAsia="Arial" w:hAnsi="Arial" w:cs="Arial"/>
          <w:noProof/>
          <w:color w:val="000000" w:themeColor="text1"/>
          <w:lang w:val="en-US"/>
        </w:rPr>
        <w:t>vyriausyb</w:t>
      </w:r>
      <w:r>
        <w:rPr>
          <w:rFonts w:ascii="Arial" w:eastAsia="Arial" w:hAnsi="Arial" w:cs="Arial"/>
          <w:noProof/>
          <w:color w:val="000000" w:themeColor="text1"/>
        </w:rPr>
        <w:t>ės</w:t>
      </w:r>
      <w:r w:rsidRPr="6F339525">
        <w:rPr>
          <w:rFonts w:ascii="Arial" w:eastAsia="Arial" w:hAnsi="Arial" w:cs="Arial"/>
          <w:noProof/>
          <w:color w:val="000000" w:themeColor="text1"/>
          <w:lang w:val="en-US"/>
        </w:rPr>
        <w:t xml:space="preserve"> obligacijų premiją šiemet</w:t>
      </w:r>
      <w:r>
        <w:rPr>
          <w:rFonts w:ascii="Arial" w:eastAsia="Arial" w:hAnsi="Arial" w:cs="Arial"/>
          <w:noProof/>
          <w:color w:val="000000" w:themeColor="text1"/>
          <w:lang w:val="en-US"/>
        </w:rPr>
        <w:t>,</w:t>
      </w:r>
      <w:r w:rsidRPr="6F339525">
        <w:rPr>
          <w:rFonts w:ascii="Arial" w:eastAsia="Arial" w:hAnsi="Arial" w:cs="Arial"/>
          <w:noProof/>
          <w:color w:val="000000" w:themeColor="text1"/>
          <w:lang w:val="en-US"/>
        </w:rPr>
        <w:t xml:space="preserve"> lyginant su Europos vyriausybių skolos pajamingumu.</w:t>
      </w:r>
    </w:p>
    <w:p w14:paraId="4B6420AE" w14:textId="77777777" w:rsidR="00EF0BE9" w:rsidRDefault="00EF0BE9" w:rsidP="00EF0BE9">
      <w:pPr>
        <w:spacing w:line="270" w:lineRule="exact"/>
        <w:jc w:val="both"/>
        <w:rPr>
          <w:rFonts w:ascii="Arial" w:eastAsia="Arial" w:hAnsi="Arial" w:cs="Arial"/>
          <w:noProof/>
          <w:color w:val="000000" w:themeColor="text1"/>
          <w:lang w:val="en-US"/>
        </w:rPr>
      </w:pPr>
      <w:r>
        <w:rPr>
          <w:rFonts w:ascii="Arial" w:eastAsia="Arial" w:hAnsi="Arial" w:cs="Arial"/>
          <w:noProof/>
          <w:color w:val="000000" w:themeColor="text1"/>
          <w:lang w:val="en-US"/>
        </w:rPr>
        <w:t>„</w:t>
      </w:r>
      <w:r w:rsidRPr="6F339525">
        <w:rPr>
          <w:rFonts w:ascii="Arial" w:eastAsia="Arial" w:hAnsi="Arial" w:cs="Arial"/>
          <w:noProof/>
          <w:color w:val="000000" w:themeColor="text1"/>
          <w:lang w:val="en-US"/>
        </w:rPr>
        <w:t>Luminor investicijų valdymo</w:t>
      </w:r>
      <w:r>
        <w:rPr>
          <w:rFonts w:ascii="Arial" w:eastAsia="Arial" w:hAnsi="Arial" w:cs="Arial"/>
          <w:noProof/>
          <w:color w:val="000000" w:themeColor="text1"/>
          <w:lang w:val="en-US"/>
        </w:rPr>
        <w:t>“</w:t>
      </w:r>
      <w:r w:rsidRPr="6F339525">
        <w:rPr>
          <w:rFonts w:ascii="Arial" w:eastAsia="Arial" w:hAnsi="Arial" w:cs="Arial"/>
          <w:noProof/>
          <w:color w:val="000000" w:themeColor="text1"/>
          <w:lang w:val="en-US"/>
        </w:rPr>
        <w:t xml:space="preserve"> pensijų fondai</w:t>
      </w:r>
      <w:r>
        <w:rPr>
          <w:rFonts w:ascii="Arial" w:eastAsia="Arial" w:hAnsi="Arial" w:cs="Arial"/>
          <w:noProof/>
          <w:color w:val="000000" w:themeColor="text1"/>
          <w:lang w:val="en-US"/>
        </w:rPr>
        <w:t>,</w:t>
      </w:r>
      <w:r w:rsidRPr="6F339525">
        <w:rPr>
          <w:rFonts w:ascii="Arial" w:eastAsia="Arial" w:hAnsi="Arial" w:cs="Arial"/>
          <w:noProof/>
          <w:color w:val="000000" w:themeColor="text1"/>
          <w:lang w:val="en-US"/>
        </w:rPr>
        <w:t xml:space="preserve"> nepaisant nerimo rinkose</w:t>
      </w:r>
      <w:r>
        <w:rPr>
          <w:rFonts w:ascii="Arial" w:eastAsia="Arial" w:hAnsi="Arial" w:cs="Arial"/>
          <w:noProof/>
          <w:color w:val="000000" w:themeColor="text1"/>
          <w:lang w:val="en-US"/>
        </w:rPr>
        <w:t>,</w:t>
      </w:r>
      <w:r w:rsidRPr="6F339525">
        <w:rPr>
          <w:rFonts w:ascii="Arial" w:eastAsia="Arial" w:hAnsi="Arial" w:cs="Arial"/>
          <w:noProof/>
          <w:color w:val="000000" w:themeColor="text1"/>
          <w:lang w:val="en-US"/>
        </w:rPr>
        <w:t xml:space="preserve"> išlaikė strateginę investicijų alokaciją ir toliau investavo tiek į pagrindines pasaulio akcijų rinkas, tiek į ilgesnės trukmės Europos Vyriausybių bei aukšto pajamingumo įmonių obligacijas.</w:t>
      </w:r>
    </w:p>
    <w:p w14:paraId="5B468ED9" w14:textId="77777777" w:rsidR="00EF0BE9" w:rsidRDefault="00EF0BE9" w:rsidP="00EF0BE9">
      <w:pPr>
        <w:spacing w:line="270" w:lineRule="exact"/>
        <w:jc w:val="both"/>
      </w:pPr>
      <w:r w:rsidRPr="004E4A05">
        <w:rPr>
          <w:rFonts w:ascii="Arial" w:eastAsia="Arial" w:hAnsi="Arial" w:cs="Arial"/>
          <w:b/>
          <w:bCs/>
          <w:noProof/>
          <w:color w:val="000000" w:themeColor="text1"/>
          <w:lang w:val="sv-SE"/>
        </w:rPr>
        <w:t>Dirbtinis intelektas ir ketvirtiniai įmonių rezultatai</w:t>
      </w:r>
    </w:p>
    <w:p w14:paraId="3CE2FA4B"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Pasiekus pusiaukelę „S&amp;P 500“ indekso akcijų ketvirtinių rezultatų skelbimo sezone, įmonėms pavyksta peršokti investuotojų lūkesčių kartelę. Fiksuojamas pelnas viršija lūkesčius daugiau nei pastarųjų 10 metų vidurkis ir yra vos žemiau nei pastarųjų 5 metų vidurkis. Vis tik, žvelgiant į pagrindines įmones takoskyra reikšminga, ypač dirbtinio intelekto plėtroje.</w:t>
      </w:r>
    </w:p>
    <w:p w14:paraId="6AA8D274"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Viena iš pozityvių rinkos reakcijų sulaukusių įmonių buvo „Microsoft“. Debesų kompiuterijos segmento lyderė pranoko tiek pajamų, tiek pelno lūkesčius. Įmonės vadovai teigė, kad dabartinė DI paklausa viršija technines pasiūlos galimybes. „Microsoft“ pajamos iš „Azure“ debesų kompiuterijos paslaugų per metus augo 31 proc., o 7 proc. augimo buvo susiję su DI paslaugomis. Taip pat, įmonė teigė, kad „Copilot“ DI asistentas jau naudojamas 60 proc. „Fortune 500“ įmonių ir toliau plečiasi. Įmonė teigė, kad įmonės kapitalo išlaidos DI reikšmingai plėsis 2025 m., nors jau šį ketvirtį augo 20 proc.</w:t>
      </w:r>
    </w:p>
    <w:p w14:paraId="699EA9B8"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„Google“ valdančios „Alphabet“ akcijos po rezultatų paskelbimo augo beveik 10 proc. Įmonė agresyviai plečiasi DI – šiai sričiai šiemet dvigubai didina kapitalo išlaidas. Rinkos analitikai teigia, kad „Alphabet“ jau efektyviai išnaudoja DI savo paieškos sistemoje, kurioje pateikia DI siūlymus vartotojams. Įmonės pelnas per metus augo 57 proc., o šviesios ateities perspektyvą suteikia įvairios galimybės monetizuoti DI paieškoje, „Youtube“ platformoje, debesų kompiuterijoje.</w:t>
      </w:r>
    </w:p>
    <w:p w14:paraId="06E1E22C"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Tarp pralaimėtojų dėl augančių DI išlaidų išskiriama „Meta Platforms“, valdanti „Facebook“, „Instagram“ ir „Whatsapp“ socialinius tinklus. Investuotojų lūkesčiai buvo itin aukšti, turint omenyje, kad akcijos kaina iki rezultatų paskelbimo šiemet augo daugiau nei 40 proc. Nusivylimą sukėlė mažesnė ateinančių metų finansinių rezultatų projekcija ir galimai krentančios maržos. „Meta Platforms“ nuteikė investuotojus, kad laukia ne vienerių metų periodas, kada įmonė investuos į DI be apčiuopiamos finansinės grąžos. Turint omenyje, kad nuo 2020 m. virtualios realybės segmentas sudegino $45 mlrd., papildomos kapitalo investicijos į kitą paslaugą su ilgu atsiperkamumu nuteikė pesimistiškai.</w:t>
      </w:r>
    </w:p>
    <w:p w14:paraId="22AE5BCC" w14:textId="77777777" w:rsidR="00EF0BE9" w:rsidRDefault="00EF0BE9" w:rsidP="00EF0BE9">
      <w:pPr>
        <w:spacing w:line="270" w:lineRule="exact"/>
        <w:jc w:val="both"/>
      </w:pPr>
      <w:r w:rsidRPr="004E4A05">
        <w:rPr>
          <w:rFonts w:ascii="Arial" w:eastAsia="Arial" w:hAnsi="Arial" w:cs="Arial"/>
          <w:b/>
          <w:bCs/>
          <w:noProof/>
          <w:color w:val="000000" w:themeColor="text1"/>
        </w:rPr>
        <w:t>Lyderiaujančių rinkų rotacija</w:t>
      </w:r>
    </w:p>
    <w:p w14:paraId="1604623A"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Po stabilaus penkių mėnesių pasaulio akcijų rinkos ralio nedidelis kritimas balandį pernelyg nenustebino. Vis dėlto, pastarąjį mėnesį, žvelgiant į atskirus regionus, išryškėjo įdomesnės temos. Pavyzdžiui, ne vienerius metus atsilikusios Jungtinės Karalystės ir Kinijos akcijų rinkos</w:t>
      </w:r>
      <w:r>
        <w:rPr>
          <w:rFonts w:ascii="Arial" w:eastAsia="Arial" w:hAnsi="Arial" w:cs="Arial"/>
          <w:noProof/>
          <w:color w:val="000000" w:themeColor="text1"/>
        </w:rPr>
        <w:t xml:space="preserve"> balandį</w:t>
      </w:r>
      <w:r w:rsidRPr="004E4A05">
        <w:rPr>
          <w:rFonts w:ascii="Arial" w:eastAsia="Arial" w:hAnsi="Arial" w:cs="Arial"/>
          <w:noProof/>
          <w:color w:val="000000" w:themeColor="text1"/>
        </w:rPr>
        <w:t xml:space="preserve"> fiksavo vienas didžiausių grąžų.</w:t>
      </w:r>
    </w:p>
    <w:p w14:paraId="4138F8A1" w14:textId="77777777" w:rsidR="00EF0BE9" w:rsidRPr="004E4A05" w:rsidRDefault="00EF0BE9" w:rsidP="00EF0BE9">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lastRenderedPageBreak/>
        <w:t>Globaliame kontekste c</w:t>
      </w:r>
      <w:r w:rsidRPr="004E4A05">
        <w:rPr>
          <w:rFonts w:ascii="Arial" w:eastAsia="Arial" w:hAnsi="Arial" w:cs="Arial"/>
          <w:noProof/>
          <w:color w:val="000000" w:themeColor="text1"/>
        </w:rPr>
        <w:t>ikliniai „vertės“ įmonių sektoriai – kaip energetika, žaliavos ir finansai – aplenkė likusią rinką. Būtent šių sektorių įmonės užima reikšmingą dalį JK akcijų indeksuose. Silpnesnis svaras ir geresni įmonių finansiniai rezultatai prisidėjo prie teigiamų tendencijų. UBS banko analitikai prognozuoja, kad JK įmonių pelno akcijai augimas turėtų įgauti pagreitį nuo 4 proc. šiemet iki 7 proc. kitais metais. Taip pat, infliacija šalyje nuosekliai mažėja, kas suteikia daugiau užtikrintumo, jog Anglijos centrinis bankas vasarą pradės mažinti palūkanų normas.</w:t>
      </w:r>
    </w:p>
    <w:p w14:paraId="41A6FCC0"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Balandį Kinija džiugino ekonomikos augimo skaičiais. Gamyba pagal auga greičiausiai per pastarąjį pusmetį, remiantis S&amp;P pirkimo vadybininkų indekso duomenimis. Kinijos akcijos, palyginus su kitomis rinkomis, taip pat išlieka istoriškai itin pigios. „MSCI China“ indekso kainos ir įmonių generuojamo pelno santykis išlieka dvigubai mažesnis nei „MSCI USA“.</w:t>
      </w:r>
    </w:p>
    <w:p w14:paraId="3E3B176F"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Kinijos investuotojai daugiau pirko Honkonge listinguotų vietinių įmonių akcijas, siekdami apsidrausti nuo pingančio juanio rizikos. Tuo pat metu užsienio fondai didino turimą alokaciją Kinijos akcijose jau trečią mėnesį iš eilės. Augančius investicijų srautus galėjo paskatinti ir teigiamas Politbiuro tonas ir reformos dėl akcijų rinkos palaikymo.</w:t>
      </w:r>
    </w:p>
    <w:p w14:paraId="7BFED450" w14:textId="77777777" w:rsidR="00EF0BE9" w:rsidRDefault="00EF0BE9" w:rsidP="00EF0BE9">
      <w:pPr>
        <w:spacing w:line="270" w:lineRule="exact"/>
        <w:jc w:val="both"/>
        <w:rPr>
          <w:rFonts w:ascii="Arial" w:eastAsia="Arial" w:hAnsi="Arial" w:cs="Arial"/>
          <w:noProof/>
        </w:rPr>
      </w:pPr>
      <w:r w:rsidRPr="12D4CD43">
        <w:rPr>
          <w:rFonts w:ascii="Arial" w:eastAsia="Arial" w:hAnsi="Arial" w:cs="Arial"/>
          <w:b/>
          <w:bCs/>
          <w:noProof/>
        </w:rPr>
        <w:t>Iš globalių rinkų į lokalias</w:t>
      </w:r>
    </w:p>
    <w:p w14:paraId="7A23FCD7" w14:textId="77777777" w:rsidR="00EF0BE9" w:rsidRDefault="00EF0BE9" w:rsidP="00EF0BE9">
      <w:pPr>
        <w:spacing w:line="270" w:lineRule="exact"/>
        <w:jc w:val="both"/>
        <w:rPr>
          <w:rFonts w:ascii="Arial" w:eastAsia="Arial" w:hAnsi="Arial" w:cs="Arial"/>
          <w:noProof/>
          <w:color w:val="000000" w:themeColor="text1"/>
        </w:rPr>
      </w:pPr>
      <w:r w:rsidRPr="6F339525">
        <w:rPr>
          <w:rFonts w:ascii="Arial" w:eastAsia="Arial" w:hAnsi="Arial" w:cs="Arial"/>
          <w:noProof/>
          <w:color w:val="000000" w:themeColor="text1"/>
        </w:rPr>
        <w:t>Ketvirtinių rezultatų sezonas įsibėgėja ir Baltijos rinkoje. Vienas iš mūsų pensijų fondų emitentų „Šiaulių bankas</w:t>
      </w:r>
      <w:r>
        <w:rPr>
          <w:rFonts w:ascii="Arial" w:eastAsia="Arial" w:hAnsi="Arial" w:cs="Arial"/>
          <w:noProof/>
          <w:color w:val="000000" w:themeColor="text1"/>
        </w:rPr>
        <w:t>“</w:t>
      </w:r>
      <w:r w:rsidRPr="6F339525">
        <w:rPr>
          <w:rFonts w:ascii="Arial" w:eastAsia="Arial" w:hAnsi="Arial" w:cs="Arial"/>
          <w:noProof/>
          <w:color w:val="000000" w:themeColor="text1"/>
        </w:rPr>
        <w:t xml:space="preserve"> paskelbė savo finansinius rezultatus. Pirmajame ketvirtyje</w:t>
      </w:r>
      <w:r>
        <w:rPr>
          <w:rFonts w:ascii="Arial" w:eastAsia="Arial" w:hAnsi="Arial" w:cs="Arial"/>
          <w:noProof/>
          <w:color w:val="000000" w:themeColor="text1"/>
        </w:rPr>
        <w:t>,</w:t>
      </w:r>
      <w:r w:rsidRPr="6F339525">
        <w:rPr>
          <w:rFonts w:ascii="Arial" w:eastAsia="Arial" w:hAnsi="Arial" w:cs="Arial"/>
          <w:noProof/>
          <w:color w:val="000000" w:themeColor="text1"/>
        </w:rPr>
        <w:t xml:space="preserve"> bankas per metus savo pelną augino 17 proc. iki 22,5 mln. eurų, tačiau nuosavo kapitalo grąža minimaliai sumažėjo (nuo 17,8 proc. pernai iki 17,6 proc. šiemet)</w:t>
      </w:r>
    </w:p>
    <w:p w14:paraId="51A7C701" w14:textId="77777777" w:rsidR="00EF0BE9" w:rsidRPr="004E4A05" w:rsidRDefault="00EF0BE9" w:rsidP="00EF0BE9">
      <w:pPr>
        <w:spacing w:line="270" w:lineRule="exact"/>
        <w:jc w:val="both"/>
        <w:rPr>
          <w:rFonts w:ascii="Arial" w:eastAsia="Arial" w:hAnsi="Arial" w:cs="Arial"/>
          <w:noProof/>
          <w:color w:val="000000" w:themeColor="text1"/>
        </w:rPr>
      </w:pPr>
      <w:r w:rsidRPr="004E4A05">
        <w:rPr>
          <w:rFonts w:ascii="Arial" w:eastAsia="Arial" w:hAnsi="Arial" w:cs="Arial"/>
          <w:noProof/>
          <w:color w:val="000000" w:themeColor="text1"/>
        </w:rPr>
        <w:t>Dar svarbesni obligacijų investuotojams buvo banko kapitalo ir likvidumo rodikliai. Kapitalo pakankamumo rodiklis, kuris parodo kiek rezervo bankas turi potencialiems nuostoliams sugerti, pagerėjo per beveik 300 bazinių punktų per metus iki 21,1 proc. ir išliko daug aukščiau nei nurodo reguliaciniai reikalavimai.</w:t>
      </w:r>
    </w:p>
    <w:p w14:paraId="2C8A57CB" w14:textId="77777777" w:rsidR="00EF0BE9" w:rsidRDefault="00EF0BE9" w:rsidP="00EF0BE9">
      <w:pPr>
        <w:spacing w:line="270" w:lineRule="exact"/>
        <w:jc w:val="both"/>
        <w:rPr>
          <w:rFonts w:ascii="Arial" w:eastAsia="Arial" w:hAnsi="Arial" w:cs="Arial"/>
          <w:b/>
          <w:bCs/>
          <w:noProof/>
        </w:rPr>
      </w:pPr>
      <w:r w:rsidRPr="12D4CD43">
        <w:rPr>
          <w:rFonts w:ascii="Arial" w:eastAsia="Arial" w:hAnsi="Arial" w:cs="Arial"/>
          <w:b/>
          <w:bCs/>
          <w:noProof/>
        </w:rPr>
        <w:t>Rinkos vertinimas</w:t>
      </w:r>
    </w:p>
    <w:p w14:paraId="5256C5D6" w14:textId="77777777" w:rsidR="00EF0BE9" w:rsidRDefault="00EF0BE9" w:rsidP="00EF0BE9">
      <w:pPr>
        <w:spacing w:line="270" w:lineRule="exact"/>
        <w:jc w:val="both"/>
        <w:rPr>
          <w:rFonts w:ascii="Arial" w:eastAsia="Arial" w:hAnsi="Arial" w:cs="Arial"/>
          <w:noProof/>
          <w:color w:val="000000" w:themeColor="text1"/>
        </w:rPr>
      </w:pPr>
      <w:r w:rsidRPr="6F339525">
        <w:rPr>
          <w:rFonts w:ascii="Arial" w:eastAsia="Arial" w:hAnsi="Arial" w:cs="Arial"/>
          <w:noProof/>
          <w:color w:val="000000" w:themeColor="text1"/>
        </w:rPr>
        <w:t xml:space="preserve">Ši rinkų apžvalga – tai tik nedidelė mūsų bendro rinkos raidos vertinimo dalis. Balandžio mėnesio eigoje išlaikėme minimaliai neutralų rizikos lygį akcijų atžvilgiu. </w:t>
      </w:r>
      <w:r>
        <w:rPr>
          <w:rFonts w:ascii="Arial" w:eastAsia="Arial" w:hAnsi="Arial" w:cs="Arial"/>
          <w:noProof/>
          <w:color w:val="000000" w:themeColor="text1"/>
        </w:rPr>
        <w:t>„</w:t>
      </w:r>
      <w:r w:rsidRPr="6F339525">
        <w:rPr>
          <w:rFonts w:ascii="Arial" w:eastAsia="Arial" w:hAnsi="Arial" w:cs="Arial"/>
          <w:noProof/>
          <w:color w:val="000000" w:themeColor="text1"/>
        </w:rPr>
        <w:t>Luminor investicijų valdymo</w:t>
      </w:r>
      <w:r>
        <w:rPr>
          <w:rFonts w:ascii="Arial" w:eastAsia="Arial" w:hAnsi="Arial" w:cs="Arial"/>
          <w:noProof/>
          <w:color w:val="000000" w:themeColor="text1"/>
        </w:rPr>
        <w:t>“</w:t>
      </w:r>
      <w:r w:rsidRPr="6F339525">
        <w:rPr>
          <w:rFonts w:ascii="Arial" w:eastAsia="Arial" w:hAnsi="Arial" w:cs="Arial"/>
          <w:noProof/>
          <w:color w:val="000000" w:themeColor="text1"/>
        </w:rPr>
        <w:t xml:space="preserve"> komandos požiūris į centrinių bankų politiką ir techninius rinkos indikatorius tapo labiau neigiamas. Nors rinkos dalyvių lūkesčiai dėl palūkanų normų tapo kiek konservatyvesni, JAV infliacijos tendencijos ir stipri ekonomika gali nulemti išliekančią griežtą politiką visiems likusiems metams. Techniniai rinkų rodikliai kaip akcijų indeksų išsilaikymas virš judančių vidurkių ar atskirų akcijų įsitraukimas ženkliai krito mėnesio eigoje.</w:t>
      </w:r>
    </w:p>
    <w:p w14:paraId="65F07A55" w14:textId="16B96F40" w:rsidR="00EF0BE9" w:rsidRDefault="00EF0BE9" w:rsidP="00EF0BE9">
      <w:pPr>
        <w:spacing w:line="270" w:lineRule="exact"/>
        <w:jc w:val="both"/>
        <w:rPr>
          <w:rFonts w:ascii="Arial" w:eastAsia="Arial" w:hAnsi="Arial" w:cs="Arial"/>
          <w:noProof/>
          <w:color w:val="000000" w:themeColor="text1"/>
        </w:rPr>
      </w:pPr>
      <w:r w:rsidRPr="6F339525">
        <w:rPr>
          <w:rFonts w:ascii="Arial" w:eastAsia="Arial" w:hAnsi="Arial" w:cs="Arial"/>
          <w:noProof/>
          <w:color w:val="000000" w:themeColor="text1"/>
        </w:rPr>
        <w:t xml:space="preserve">Svarbu paminėti, kad dabartinis akcijų rinkų kritimas atrodo </w:t>
      </w:r>
      <w:r>
        <w:rPr>
          <w:rFonts w:ascii="Arial" w:eastAsia="Arial" w:hAnsi="Arial" w:cs="Arial"/>
          <w:noProof/>
          <w:color w:val="000000" w:themeColor="text1"/>
        </w:rPr>
        <w:t>„</w:t>
      </w:r>
      <w:r w:rsidRPr="6F339525">
        <w:rPr>
          <w:rFonts w:ascii="Arial" w:eastAsia="Arial" w:hAnsi="Arial" w:cs="Arial"/>
          <w:noProof/>
          <w:color w:val="000000" w:themeColor="text1"/>
        </w:rPr>
        <w:t>sveikas</w:t>
      </w:r>
      <w:r>
        <w:rPr>
          <w:rFonts w:ascii="Arial" w:eastAsia="Arial" w:hAnsi="Arial" w:cs="Arial"/>
          <w:noProof/>
          <w:color w:val="000000" w:themeColor="text1"/>
        </w:rPr>
        <w:t>“</w:t>
      </w:r>
      <w:r w:rsidRPr="6F339525">
        <w:rPr>
          <w:rFonts w:ascii="Arial" w:eastAsia="Arial" w:hAnsi="Arial" w:cs="Arial"/>
          <w:noProof/>
          <w:color w:val="000000" w:themeColor="text1"/>
        </w:rPr>
        <w:t xml:space="preserve"> ilgesnėje perspektyvoje. </w:t>
      </w:r>
      <w:r>
        <w:rPr>
          <w:rFonts w:ascii="Arial" w:eastAsia="Arial" w:hAnsi="Arial" w:cs="Arial"/>
          <w:noProof/>
          <w:color w:val="000000" w:themeColor="text1"/>
        </w:rPr>
        <w:t>Pernelyg ilgas akcijų rinkų augimas be 5 proc. kritimo istoriškai nulemia ženkliai didesnes korekcijas.</w:t>
      </w:r>
      <w:r w:rsidR="00937B9E">
        <w:rPr>
          <w:rFonts w:ascii="Arial" w:eastAsia="Arial" w:hAnsi="Arial" w:cs="Arial"/>
          <w:noProof/>
          <w:color w:val="000000" w:themeColor="text1"/>
        </w:rPr>
        <w:t xml:space="preserve"> </w:t>
      </w:r>
      <w:r w:rsidRPr="6F339525">
        <w:rPr>
          <w:rFonts w:ascii="Arial" w:eastAsia="Arial" w:hAnsi="Arial" w:cs="Arial"/>
          <w:noProof/>
          <w:color w:val="000000" w:themeColor="text1"/>
        </w:rPr>
        <w:t xml:space="preserve">Ketvirtiniai įmonių rezultatai taip pat kol kas nerodo tolimesnės reikšmingos rizikos akcijų rinkoms. Obligacijų rinkoje mozaika kiek labiau fragmenuota, trumpuoju laikotarpiu </w:t>
      </w:r>
      <w:r>
        <w:rPr>
          <w:rFonts w:ascii="Arial" w:eastAsia="Arial" w:hAnsi="Arial" w:cs="Arial"/>
          <w:noProof/>
          <w:color w:val="000000" w:themeColor="text1"/>
        </w:rPr>
        <w:t>joje</w:t>
      </w:r>
      <w:r w:rsidRPr="6F339525">
        <w:rPr>
          <w:rFonts w:ascii="Arial" w:eastAsia="Arial" w:hAnsi="Arial" w:cs="Arial"/>
          <w:noProof/>
          <w:color w:val="000000" w:themeColor="text1"/>
        </w:rPr>
        <w:t xml:space="preserve"> kiek geriau atrodo Europos skola.</w:t>
      </w:r>
    </w:p>
    <w:p w14:paraId="2470D2F6" w14:textId="11195B08" w:rsidR="00F02E86" w:rsidRPr="00F02E86"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68D4CDE4"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xml:space="preserve">: +370 685 25 281 </w:t>
      </w:r>
    </w:p>
    <w:p w14:paraId="54FCD6E0" w14:textId="20213A2B" w:rsidR="00A00450" w:rsidRPr="00A00450" w:rsidRDefault="003E24A5" w:rsidP="00B4325B">
      <w:pPr>
        <w:contextualSpacing/>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3BC94FE4"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EF0BE9">
      <w:rPr>
        <w:rFonts w:ascii="Calibri" w:eastAsia="Calibri" w:hAnsi="Calibri" w:cs="Times New Roman"/>
        <w:sz w:val="20"/>
      </w:rPr>
      <w:t>gegužės</w:t>
    </w:r>
    <w:r w:rsidR="00642F76">
      <w:rPr>
        <w:rFonts w:ascii="Calibri" w:eastAsia="Calibri" w:hAnsi="Calibri" w:cs="Times New Roman"/>
        <w:sz w:val="20"/>
      </w:rPr>
      <w:t xml:space="preserve"> </w:t>
    </w:r>
    <w:r w:rsidR="00EF0BE9">
      <w:rPr>
        <w:rFonts w:ascii="Calibri" w:eastAsia="Calibri" w:hAnsi="Calibri" w:cs="Times New Roman"/>
        <w:sz w:val="20"/>
      </w:rPr>
      <w:t>3</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4C3B"/>
    <w:rsid w:val="001D5639"/>
    <w:rsid w:val="00211AC1"/>
    <w:rsid w:val="0021BB91"/>
    <w:rsid w:val="002258FB"/>
    <w:rsid w:val="002541AA"/>
    <w:rsid w:val="00261104"/>
    <w:rsid w:val="00263AA1"/>
    <w:rsid w:val="00281A4F"/>
    <w:rsid w:val="002B5ABF"/>
    <w:rsid w:val="002E6812"/>
    <w:rsid w:val="00321D4A"/>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45F9D"/>
    <w:rsid w:val="0059710B"/>
    <w:rsid w:val="005A66E0"/>
    <w:rsid w:val="005D7978"/>
    <w:rsid w:val="005E0141"/>
    <w:rsid w:val="005E2342"/>
    <w:rsid w:val="005F2E00"/>
    <w:rsid w:val="00600D39"/>
    <w:rsid w:val="00614695"/>
    <w:rsid w:val="00642F76"/>
    <w:rsid w:val="00661EAF"/>
    <w:rsid w:val="0067452E"/>
    <w:rsid w:val="006762E6"/>
    <w:rsid w:val="006D1EDB"/>
    <w:rsid w:val="007070C4"/>
    <w:rsid w:val="00762543"/>
    <w:rsid w:val="0078436C"/>
    <w:rsid w:val="0079410A"/>
    <w:rsid w:val="007C3BC9"/>
    <w:rsid w:val="007E46A0"/>
    <w:rsid w:val="007F28D0"/>
    <w:rsid w:val="00871A9A"/>
    <w:rsid w:val="008C4F21"/>
    <w:rsid w:val="008D027D"/>
    <w:rsid w:val="008E07FA"/>
    <w:rsid w:val="008F03BA"/>
    <w:rsid w:val="00937B9E"/>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AD33CA"/>
    <w:rsid w:val="00B03BD2"/>
    <w:rsid w:val="00B105C4"/>
    <w:rsid w:val="00B119A2"/>
    <w:rsid w:val="00B41D9D"/>
    <w:rsid w:val="00B4325B"/>
    <w:rsid w:val="00B91F36"/>
    <w:rsid w:val="00C57996"/>
    <w:rsid w:val="00C6396E"/>
    <w:rsid w:val="00C775C2"/>
    <w:rsid w:val="00CB0323"/>
    <w:rsid w:val="00CE7906"/>
    <w:rsid w:val="00D073D0"/>
    <w:rsid w:val="00D31FC6"/>
    <w:rsid w:val="00D37D10"/>
    <w:rsid w:val="00D37E55"/>
    <w:rsid w:val="00DE2D9D"/>
    <w:rsid w:val="00E21EE1"/>
    <w:rsid w:val="00E4080E"/>
    <w:rsid w:val="00E47CBE"/>
    <w:rsid w:val="00E549EB"/>
    <w:rsid w:val="00EB685F"/>
    <w:rsid w:val="00EF0132"/>
    <w:rsid w:val="00EF0BE9"/>
    <w:rsid w:val="00F02E86"/>
    <w:rsid w:val="00F17170"/>
    <w:rsid w:val="00F3566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1145</Words>
  <Characters>6531</Characters>
  <Application>Microsoft Office Word</Application>
  <DocSecurity>0</DocSecurity>
  <Lines>54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27</cp:revision>
  <dcterms:created xsi:type="dcterms:W3CDTF">2023-10-02T07:10:00Z</dcterms:created>
  <dcterms:modified xsi:type="dcterms:W3CDTF">2024-05-03T05:23:00Z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