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1730E" w14:textId="32AEB29F" w:rsidR="005D504A" w:rsidRPr="00C31C6C" w:rsidRDefault="005D504A" w:rsidP="006B2E0B">
      <w:pPr>
        <w:tabs>
          <w:tab w:val="left" w:pos="142"/>
        </w:tabs>
        <w:spacing w:after="0" w:line="240" w:lineRule="auto"/>
        <w:ind w:left="-851" w:firstLine="851"/>
        <w:jc w:val="right"/>
        <w:rPr>
          <w:rFonts w:ascii="Adobe Caslon Pro" w:hAnsi="Adobe Caslon Pro" w:cs="Times New Roman"/>
          <w:sz w:val="18"/>
          <w:szCs w:val="18"/>
        </w:rPr>
      </w:pPr>
      <w:r w:rsidRPr="00C31C6C">
        <w:rPr>
          <w:rFonts w:ascii="Adobe Caslon Pro" w:hAnsi="Adobe Caslon Pro" w:cs="Times New Roman"/>
          <w:sz w:val="18"/>
          <w:szCs w:val="18"/>
        </w:rPr>
        <w:t>Informacinis pranešimas</w:t>
      </w:r>
    </w:p>
    <w:p w14:paraId="73075D84" w14:textId="42EB417A" w:rsidR="005D504A" w:rsidRPr="00C31C6C" w:rsidRDefault="005D504A" w:rsidP="005D504A">
      <w:pPr>
        <w:spacing w:after="0" w:line="240" w:lineRule="auto"/>
        <w:jc w:val="right"/>
        <w:rPr>
          <w:rFonts w:ascii="Adobe Caslon Pro" w:hAnsi="Adobe Caslon Pro" w:cs="Times New Roman"/>
          <w:sz w:val="18"/>
          <w:szCs w:val="18"/>
        </w:rPr>
      </w:pPr>
      <w:r w:rsidRPr="00C31C6C">
        <w:rPr>
          <w:rFonts w:ascii="Adobe Caslon Pro" w:hAnsi="Adobe Caslon Pro" w:cs="Times New Roman"/>
          <w:sz w:val="18"/>
          <w:szCs w:val="18"/>
        </w:rPr>
        <w:t>202</w:t>
      </w:r>
      <w:r w:rsidR="008A051D" w:rsidRPr="00C31C6C">
        <w:rPr>
          <w:rFonts w:ascii="Adobe Caslon Pro" w:hAnsi="Adobe Caslon Pro" w:cs="Times New Roman"/>
          <w:sz w:val="18"/>
          <w:szCs w:val="18"/>
        </w:rPr>
        <w:t>4</w:t>
      </w:r>
      <w:r w:rsidRPr="00C31C6C">
        <w:rPr>
          <w:rFonts w:ascii="Adobe Caslon Pro" w:hAnsi="Adobe Caslon Pro" w:cs="Times New Roman"/>
          <w:sz w:val="18"/>
          <w:szCs w:val="18"/>
        </w:rPr>
        <w:t>-0</w:t>
      </w:r>
      <w:r w:rsidR="008A051D" w:rsidRPr="00C31C6C">
        <w:rPr>
          <w:rFonts w:ascii="Adobe Caslon Pro" w:hAnsi="Adobe Caslon Pro" w:cs="Times New Roman"/>
          <w:sz w:val="18"/>
          <w:szCs w:val="18"/>
        </w:rPr>
        <w:t>5</w:t>
      </w:r>
      <w:r w:rsidRPr="00C31C6C">
        <w:rPr>
          <w:rFonts w:ascii="Adobe Caslon Pro" w:hAnsi="Adobe Caslon Pro" w:cs="Times New Roman"/>
          <w:sz w:val="18"/>
          <w:szCs w:val="18"/>
        </w:rPr>
        <w:t>-</w:t>
      </w:r>
      <w:r w:rsidR="008A051D" w:rsidRPr="00C31C6C">
        <w:rPr>
          <w:rFonts w:ascii="Adobe Caslon Pro" w:hAnsi="Adobe Caslon Pro" w:cs="Times New Roman"/>
          <w:sz w:val="18"/>
          <w:szCs w:val="18"/>
        </w:rPr>
        <w:t>0</w:t>
      </w:r>
      <w:r w:rsidR="00595C62">
        <w:rPr>
          <w:rFonts w:ascii="Adobe Caslon Pro" w:hAnsi="Adobe Caslon Pro" w:cs="Times New Roman"/>
          <w:sz w:val="18"/>
          <w:szCs w:val="18"/>
        </w:rPr>
        <w:t>7</w:t>
      </w:r>
    </w:p>
    <w:p w14:paraId="192BD30E" w14:textId="77777777" w:rsidR="005D504A" w:rsidRPr="00C31C6C" w:rsidRDefault="005D504A" w:rsidP="008D0508">
      <w:pPr>
        <w:spacing w:after="0" w:line="240" w:lineRule="auto"/>
        <w:jc w:val="both"/>
        <w:rPr>
          <w:rFonts w:ascii="Adobe Caslon Pro" w:hAnsi="Adobe Caslon Pro" w:cs="Times New Roman"/>
          <w:b/>
          <w:bCs/>
          <w:sz w:val="18"/>
          <w:szCs w:val="18"/>
        </w:rPr>
      </w:pPr>
    </w:p>
    <w:p w14:paraId="5AB133C9" w14:textId="7D2AF160" w:rsidR="008D0508" w:rsidRPr="00C31C6C" w:rsidRDefault="008A051D" w:rsidP="008D0508">
      <w:pPr>
        <w:spacing w:after="0" w:line="240" w:lineRule="auto"/>
        <w:jc w:val="center"/>
        <w:rPr>
          <w:rFonts w:ascii="Adobe Caslon Pro" w:hAnsi="Adobe Caslon Pro" w:cs="Times New Roman"/>
          <w:b/>
          <w:bCs/>
          <w:sz w:val="28"/>
          <w:szCs w:val="28"/>
        </w:rPr>
      </w:pPr>
      <w:r w:rsidRPr="00C31C6C">
        <w:rPr>
          <w:rFonts w:ascii="Adobe Caslon Pro" w:hAnsi="Adobe Caslon Pro" w:cs="Times New Roman"/>
          <w:b/>
          <w:bCs/>
          <w:sz w:val="28"/>
          <w:szCs w:val="28"/>
        </w:rPr>
        <w:t xml:space="preserve">Lietuvos advokatūra: esminė žinia gyventojams, ką reikia žinoti dėl </w:t>
      </w:r>
      <w:r w:rsidR="00DF313B" w:rsidRPr="009B0258">
        <w:rPr>
          <w:rFonts w:ascii="Adobe Caslon Pro" w:hAnsi="Adobe Caslon Pro" w:cs="Times New Roman"/>
          <w:b/>
          <w:bCs/>
          <w:sz w:val="28"/>
          <w:szCs w:val="28"/>
        </w:rPr>
        <w:t xml:space="preserve">šio </w:t>
      </w:r>
      <w:r w:rsidRPr="00C31C6C">
        <w:rPr>
          <w:rFonts w:ascii="Adobe Caslon Pro" w:hAnsi="Adobe Caslon Pro" w:cs="Times New Roman"/>
          <w:b/>
          <w:bCs/>
          <w:sz w:val="28"/>
          <w:szCs w:val="28"/>
        </w:rPr>
        <w:t xml:space="preserve">referendumo </w:t>
      </w:r>
    </w:p>
    <w:p w14:paraId="7C728AE5" w14:textId="77777777" w:rsidR="00D47DE9" w:rsidRPr="00C31C6C" w:rsidRDefault="00D47DE9" w:rsidP="008D0508">
      <w:pPr>
        <w:spacing w:after="0" w:line="240" w:lineRule="auto"/>
        <w:jc w:val="both"/>
        <w:rPr>
          <w:rFonts w:ascii="Adobe Caslon Pro" w:hAnsi="Adobe Caslon Pro" w:cs="Times New Roman"/>
          <w:b/>
          <w:bCs/>
        </w:rPr>
      </w:pPr>
    </w:p>
    <w:p w14:paraId="05E60CF7" w14:textId="5C84235B" w:rsidR="00FE091C" w:rsidRDefault="00D47DE9" w:rsidP="007C25F8">
      <w:pPr>
        <w:spacing w:after="0" w:line="240" w:lineRule="auto"/>
        <w:jc w:val="both"/>
        <w:rPr>
          <w:rFonts w:ascii="Adobe Caslon Pro" w:hAnsi="Adobe Caslon Pro" w:cs="Times New Roman"/>
          <w:b/>
          <w:bCs/>
          <w:i/>
          <w:iCs/>
        </w:rPr>
      </w:pPr>
      <w:r w:rsidRPr="00FE091C">
        <w:rPr>
          <w:rFonts w:ascii="Adobe Caslon Pro" w:hAnsi="Adobe Caslon Pro" w:cs="Times New Roman"/>
          <w:b/>
          <w:bCs/>
        </w:rPr>
        <w:t>Š</w:t>
      </w:r>
      <w:r w:rsidR="00C0409D" w:rsidRPr="00FE091C">
        <w:rPr>
          <w:rFonts w:ascii="Adobe Caslon Pro" w:hAnsi="Adobe Caslon Pro" w:cs="Times New Roman"/>
          <w:b/>
          <w:bCs/>
        </w:rPr>
        <w:t>ią savait</w:t>
      </w:r>
      <w:r w:rsidR="00325C49" w:rsidRPr="00FE091C">
        <w:rPr>
          <w:rFonts w:ascii="Adobe Caslon Pro" w:hAnsi="Adobe Caslon Pro" w:cs="Times New Roman"/>
          <w:b/>
          <w:bCs/>
        </w:rPr>
        <w:t>ę</w:t>
      </w:r>
      <w:r w:rsidR="00C0409D" w:rsidRPr="00FE091C">
        <w:rPr>
          <w:rFonts w:ascii="Adobe Caslon Pro" w:hAnsi="Adobe Caslon Pro" w:cs="Times New Roman"/>
          <w:b/>
          <w:bCs/>
        </w:rPr>
        <w:t xml:space="preserve"> Lietuvos piliečiai išreikš savo nuomonę dėl </w:t>
      </w:r>
      <w:r w:rsidR="00207AC2">
        <w:rPr>
          <w:rFonts w:ascii="Adobe Caslon Pro" w:hAnsi="Adobe Caslon Pro" w:cs="Times New Roman"/>
          <w:b/>
          <w:bCs/>
        </w:rPr>
        <w:t>r</w:t>
      </w:r>
      <w:r w:rsidR="000278AB" w:rsidRPr="00FE091C">
        <w:rPr>
          <w:rFonts w:ascii="Adobe Caslon Pro" w:hAnsi="Adobe Caslon Pro" w:cs="Times New Roman"/>
          <w:b/>
          <w:bCs/>
        </w:rPr>
        <w:t>eferendumo</w:t>
      </w:r>
      <w:r w:rsidR="000A0B05">
        <w:rPr>
          <w:rFonts w:ascii="Adobe Caslon Pro" w:hAnsi="Adobe Caslon Pro" w:cs="Times New Roman"/>
          <w:b/>
          <w:bCs/>
        </w:rPr>
        <w:t xml:space="preserve">, kuriuo </w:t>
      </w:r>
      <w:r w:rsidR="00207AC2">
        <w:rPr>
          <w:rFonts w:ascii="Adobe Caslon Pro" w:hAnsi="Adobe Caslon Pro" w:cs="Times New Roman"/>
          <w:b/>
          <w:bCs/>
        </w:rPr>
        <w:t>siekiama</w:t>
      </w:r>
      <w:r w:rsidR="000278AB" w:rsidRPr="00FE091C">
        <w:rPr>
          <w:rFonts w:ascii="Adobe Caslon Pro" w:hAnsi="Adobe Caslon Pro" w:cs="Times New Roman"/>
          <w:b/>
          <w:bCs/>
        </w:rPr>
        <w:t xml:space="preserve"> Lietuvos Respublikos Konstitucijos 12 straipsnio pakeitimo. Lietuvos advokatūra atkreipia</w:t>
      </w:r>
      <w:r w:rsidR="00325C49" w:rsidRPr="00FE091C">
        <w:rPr>
          <w:rFonts w:ascii="Adobe Caslon Pro" w:hAnsi="Adobe Caslon Pro" w:cs="Times New Roman"/>
          <w:b/>
          <w:bCs/>
        </w:rPr>
        <w:t xml:space="preserve"> gyventojų</w:t>
      </w:r>
      <w:r w:rsidR="000278AB" w:rsidRPr="00FE091C">
        <w:rPr>
          <w:rFonts w:ascii="Adobe Caslon Pro" w:hAnsi="Adobe Caslon Pro" w:cs="Times New Roman"/>
          <w:b/>
          <w:bCs/>
        </w:rPr>
        <w:t xml:space="preserve"> dėmesį</w:t>
      </w:r>
      <w:r w:rsidR="00DF313B" w:rsidRPr="00FE091C">
        <w:rPr>
          <w:rFonts w:ascii="Adobe Caslon Pro" w:hAnsi="Adobe Caslon Pro" w:cs="Times New Roman"/>
          <w:b/>
          <w:bCs/>
        </w:rPr>
        <w:t xml:space="preserve"> į tris svarbiausius dalykus dėl šio referendumo</w:t>
      </w:r>
      <w:r w:rsidR="00FE091C" w:rsidRPr="00FE091C">
        <w:rPr>
          <w:rFonts w:ascii="Adobe Caslon Pro" w:hAnsi="Adobe Caslon Pro" w:cs="Times New Roman"/>
          <w:b/>
          <w:bCs/>
        </w:rPr>
        <w:t>. Pirma, r</w:t>
      </w:r>
      <w:r w:rsidR="00DF313B" w:rsidRPr="00FE091C">
        <w:rPr>
          <w:rFonts w:ascii="Adobe Caslon Pro" w:hAnsi="Adobe Caslon Pro" w:cs="Times New Roman"/>
          <w:b/>
          <w:bCs/>
        </w:rPr>
        <w:t>eferendumo biuletenyje nebus tiesioginio klausimo UŽ ar PRIEŠ dvigubą pilietybę</w:t>
      </w:r>
      <w:r w:rsidR="00CB61E8" w:rsidRPr="00FE091C">
        <w:rPr>
          <w:rFonts w:ascii="Adobe Caslon Pro" w:hAnsi="Adobe Caslon Pro" w:cs="Times New Roman"/>
          <w:b/>
          <w:bCs/>
        </w:rPr>
        <w:t xml:space="preserve">, bet bus balsuojama </w:t>
      </w:r>
      <w:r w:rsidR="007C25F8" w:rsidRPr="00FE091C">
        <w:rPr>
          <w:rFonts w:ascii="Adobe Caslon Pro" w:hAnsi="Adobe Caslon Pro" w:cs="Times New Roman"/>
          <w:b/>
          <w:bCs/>
        </w:rPr>
        <w:t>UŽ ar PRIEŠ</w:t>
      </w:r>
      <w:r w:rsidR="00CB61E8" w:rsidRPr="00FE091C">
        <w:rPr>
          <w:rFonts w:ascii="Adobe Caslon Pro" w:hAnsi="Adobe Caslon Pro" w:cs="Times New Roman"/>
          <w:b/>
          <w:bCs/>
        </w:rPr>
        <w:t xml:space="preserve"> LR Konstitucijos </w:t>
      </w:r>
      <w:r w:rsidR="00207AC2">
        <w:rPr>
          <w:rFonts w:ascii="Adobe Caslon Pro" w:hAnsi="Adobe Caslon Pro" w:cs="Times New Roman"/>
          <w:b/>
          <w:bCs/>
        </w:rPr>
        <w:t xml:space="preserve">12 </w:t>
      </w:r>
      <w:r w:rsidR="00CB61E8" w:rsidRPr="00FE091C">
        <w:rPr>
          <w:rFonts w:ascii="Adobe Caslon Pro" w:hAnsi="Adobe Caslon Pro" w:cs="Times New Roman"/>
          <w:b/>
          <w:bCs/>
        </w:rPr>
        <w:t xml:space="preserve">straipsnio </w:t>
      </w:r>
      <w:r w:rsidR="007C25F8" w:rsidRPr="00FE091C">
        <w:rPr>
          <w:rFonts w:ascii="Adobe Caslon Pro" w:hAnsi="Adobe Caslon Pro" w:cs="Times New Roman"/>
          <w:b/>
          <w:bCs/>
        </w:rPr>
        <w:t>pakeitimą</w:t>
      </w:r>
      <w:r w:rsidR="00DF313B" w:rsidRPr="00FE091C">
        <w:rPr>
          <w:rFonts w:ascii="Adobe Caslon Pro" w:hAnsi="Adobe Caslon Pro" w:cs="Times New Roman"/>
          <w:b/>
          <w:bCs/>
        </w:rPr>
        <w:t>.</w:t>
      </w:r>
      <w:r w:rsidR="00FE091C">
        <w:rPr>
          <w:rFonts w:ascii="Adobe Caslon Pro" w:hAnsi="Adobe Caslon Pro" w:cs="Times New Roman"/>
          <w:b/>
          <w:bCs/>
        </w:rPr>
        <w:t xml:space="preserve"> Antra, į</w:t>
      </w:r>
      <w:r w:rsidR="00CF2522" w:rsidRPr="00C31C6C">
        <w:rPr>
          <w:rFonts w:ascii="Adobe Caslon Pro" w:hAnsi="Adobe Caslon Pro" w:cs="Times New Roman"/>
          <w:b/>
          <w:bCs/>
        </w:rPr>
        <w:t xml:space="preserve">vykus </w:t>
      </w:r>
      <w:r w:rsidR="00207AC2">
        <w:rPr>
          <w:rFonts w:ascii="Adobe Caslon Pro" w:hAnsi="Adobe Caslon Pro" w:cs="Times New Roman"/>
          <w:b/>
          <w:bCs/>
        </w:rPr>
        <w:t>r</w:t>
      </w:r>
      <w:r w:rsidR="00CF2522" w:rsidRPr="00C31C6C">
        <w:rPr>
          <w:rFonts w:ascii="Adobe Caslon Pro" w:hAnsi="Adobe Caslon Pro" w:cs="Times New Roman"/>
          <w:b/>
          <w:bCs/>
        </w:rPr>
        <w:t>eferendumui ir pritarus siūlomam projektui LR Seimas specialiu įstatymu nustatys kas gali, o kas negali turėti daugiau nei vieną pilietybę.</w:t>
      </w:r>
      <w:r w:rsidR="00FE091C">
        <w:rPr>
          <w:rFonts w:ascii="Adobe Caslon Pro" w:hAnsi="Adobe Caslon Pro" w:cs="Times New Roman"/>
          <w:b/>
          <w:bCs/>
        </w:rPr>
        <w:t xml:space="preserve"> Trečia, ta</w:t>
      </w:r>
      <w:r w:rsidR="00CF2522" w:rsidRPr="00C31C6C">
        <w:rPr>
          <w:rFonts w:ascii="Adobe Caslon Pro" w:hAnsi="Adobe Caslon Pro" w:cs="Times New Roman"/>
          <w:b/>
          <w:bCs/>
        </w:rPr>
        <w:t xml:space="preserve">m, kad </w:t>
      </w:r>
      <w:r w:rsidR="0004265B">
        <w:rPr>
          <w:rFonts w:ascii="Adobe Caslon Pro" w:hAnsi="Adobe Caslon Pro" w:cs="Times New Roman"/>
          <w:b/>
          <w:bCs/>
        </w:rPr>
        <w:t>r</w:t>
      </w:r>
      <w:r w:rsidR="00CF2522" w:rsidRPr="00C31C6C">
        <w:rPr>
          <w:rFonts w:ascii="Adobe Caslon Pro" w:hAnsi="Adobe Caslon Pro" w:cs="Times New Roman"/>
          <w:b/>
          <w:bCs/>
        </w:rPr>
        <w:t xml:space="preserve">eferendumas įvyktų turi ateiti balsuoti daugiau nei 50% rinkimų teisę turinčių piliečių ir ne mažiau kaip 50% rinkimų teisę turinčių piliečių (ne mažiau kaip </w:t>
      </w:r>
      <w:r w:rsidR="00CF2522" w:rsidRPr="00C31C6C">
        <w:rPr>
          <w:rFonts w:ascii="Adobe Caslon Pro" w:hAnsi="Adobe Caslon Pro" w:cs="Open Sans"/>
          <w:b/>
          <w:bCs/>
        </w:rPr>
        <w:t>1 216 469 rinkėjų</w:t>
      </w:r>
      <w:r w:rsidR="00CF2522" w:rsidRPr="00C31C6C">
        <w:rPr>
          <w:rFonts w:ascii="Adobe Caslon Pro" w:hAnsi="Adobe Caslon Pro" w:cs="Times New Roman"/>
          <w:b/>
          <w:bCs/>
        </w:rPr>
        <w:t xml:space="preserve">) turi biuletenyje pažymėti TAIP. </w:t>
      </w:r>
    </w:p>
    <w:p w14:paraId="6C3FBBFF" w14:textId="77777777" w:rsidR="00F72BA7" w:rsidRPr="00FE091C" w:rsidRDefault="00F72BA7" w:rsidP="008D0508">
      <w:pPr>
        <w:spacing w:after="0" w:line="240" w:lineRule="auto"/>
        <w:jc w:val="both"/>
        <w:rPr>
          <w:rFonts w:ascii="Adobe Caslon Pro" w:hAnsi="Adobe Caslon Pro" w:cs="Times New Roman"/>
          <w:b/>
          <w:bCs/>
        </w:rPr>
      </w:pPr>
    </w:p>
    <w:p w14:paraId="161EA03B" w14:textId="7558C596" w:rsidR="004C2C63" w:rsidRPr="00C31C6C" w:rsidRDefault="00B460E2" w:rsidP="00C31C6C">
      <w:pPr>
        <w:jc w:val="both"/>
        <w:rPr>
          <w:rFonts w:ascii="Adobe Caslon Pro" w:hAnsi="Adobe Caslon Pro" w:cs="Times New Roman"/>
        </w:rPr>
      </w:pPr>
      <w:r w:rsidRPr="00C31C6C">
        <w:rPr>
          <w:rFonts w:ascii="Adobe Caslon Pro" w:hAnsi="Adobe Caslon Pro" w:cstheme="minorHAnsi"/>
        </w:rPr>
        <w:t xml:space="preserve">Pasak Advokatų tarybos pirmininko Mindaugo Kukaičio, </w:t>
      </w:r>
      <w:r w:rsidR="00DF313B" w:rsidRPr="00C31C6C">
        <w:rPr>
          <w:rFonts w:ascii="Adobe Caslon Pro" w:hAnsi="Adobe Caslon Pro" w:cstheme="minorHAnsi"/>
          <w:b/>
          <w:bCs/>
        </w:rPr>
        <w:t>šiuo metu</w:t>
      </w:r>
      <w:r w:rsidRPr="00C31C6C">
        <w:rPr>
          <w:rFonts w:ascii="Adobe Caslon Pro" w:hAnsi="Adobe Caslon Pro" w:cstheme="minorHAnsi"/>
        </w:rPr>
        <w:t xml:space="preserve"> Lietuvos Respublikos Konstitucijos 12 </w:t>
      </w:r>
      <w:r w:rsidR="00DF313B" w:rsidRPr="00C31C6C">
        <w:rPr>
          <w:rFonts w:ascii="Adobe Caslon Pro" w:hAnsi="Adobe Caslon Pro" w:cstheme="minorHAnsi"/>
        </w:rPr>
        <w:t>straipsnis nustato, kad</w:t>
      </w:r>
      <w:r w:rsidR="00DF313B" w:rsidRPr="00C31C6C">
        <w:rPr>
          <w:rFonts w:ascii="Adobe Caslon Pro" w:hAnsi="Adobe Caslon Pro" w:cstheme="minorHAnsi"/>
          <w:b/>
          <w:bCs/>
        </w:rPr>
        <w:t xml:space="preserve"> </w:t>
      </w:r>
      <w:r w:rsidR="00DF313B" w:rsidRPr="00C31C6C">
        <w:rPr>
          <w:rFonts w:ascii="Adobe Caslon Pro" w:hAnsi="Adobe Caslon Pro" w:cstheme="minorHAnsi"/>
          <w:b/>
          <w:bCs/>
          <w:caps/>
          <w:color w:val="333333"/>
        </w:rPr>
        <w:t>niekas</w:t>
      </w:r>
      <w:r w:rsidR="00DF313B" w:rsidRPr="00C31C6C">
        <w:rPr>
          <w:rFonts w:ascii="Adobe Caslon Pro" w:hAnsi="Adobe Caslon Pro" w:cstheme="minorHAnsi"/>
          <w:color w:val="333333"/>
        </w:rPr>
        <w:t xml:space="preserve"> negali būti kartu Lietuvos Respublikos ir kitos valstybės pilietis</w:t>
      </w:r>
      <w:r w:rsidRPr="00C31C6C">
        <w:rPr>
          <w:rFonts w:ascii="Adobe Caslon Pro" w:hAnsi="Adobe Caslon Pro" w:cstheme="minorHAnsi"/>
        </w:rPr>
        <w:t xml:space="preserve">, </w:t>
      </w:r>
      <w:r w:rsidR="00DF313B" w:rsidRPr="00C31C6C">
        <w:rPr>
          <w:rFonts w:ascii="Adobe Caslon Pro" w:hAnsi="Adobe Caslon Pro" w:cstheme="minorHAnsi"/>
          <w:b/>
          <w:bCs/>
          <w:caps/>
        </w:rPr>
        <w:t>I</w:t>
      </w:r>
      <w:r w:rsidR="00DF313B" w:rsidRPr="00C31C6C">
        <w:rPr>
          <w:rFonts w:ascii="Adobe Caslon Pro" w:hAnsi="Adobe Caslon Pro" w:cstheme="minorHAnsi"/>
          <w:b/>
          <w:bCs/>
          <w:caps/>
          <w:color w:val="333333"/>
        </w:rPr>
        <w:t>šskyrus</w:t>
      </w:r>
      <w:r w:rsidR="00DF313B" w:rsidRPr="00C31C6C">
        <w:rPr>
          <w:rFonts w:ascii="Adobe Caslon Pro" w:hAnsi="Adobe Caslon Pro" w:cstheme="minorHAnsi"/>
          <w:color w:val="333333"/>
        </w:rPr>
        <w:t xml:space="preserve"> įstatymo numatytus </w:t>
      </w:r>
      <w:r w:rsidR="00DF313B" w:rsidRPr="00C31C6C">
        <w:rPr>
          <w:rFonts w:ascii="Adobe Caslon Pro" w:hAnsi="Adobe Caslon Pro" w:cstheme="minorHAnsi"/>
          <w:b/>
          <w:bCs/>
          <w:caps/>
          <w:color w:val="333333"/>
        </w:rPr>
        <w:t>atskirus</w:t>
      </w:r>
      <w:r w:rsidR="00DF313B" w:rsidRPr="00C31C6C">
        <w:rPr>
          <w:rFonts w:ascii="Adobe Caslon Pro" w:hAnsi="Adobe Caslon Pro" w:cstheme="minorHAnsi"/>
          <w:color w:val="333333"/>
        </w:rPr>
        <w:t xml:space="preserve"> atvejus</w:t>
      </w:r>
      <w:r w:rsidR="00DF313B" w:rsidRPr="00C31C6C">
        <w:rPr>
          <w:rFonts w:ascii="Adobe Caslon Pro" w:hAnsi="Adobe Caslon Pro" w:cstheme="minorHAnsi"/>
          <w:b/>
          <w:bCs/>
          <w:color w:val="333333"/>
        </w:rPr>
        <w:t xml:space="preserve">, </w:t>
      </w:r>
      <w:r w:rsidR="00DF313B" w:rsidRPr="00C31C6C">
        <w:rPr>
          <w:rFonts w:ascii="Adobe Caslon Pro" w:hAnsi="Adobe Caslon Pro" w:cstheme="minorHAnsi"/>
          <w:color w:val="333333"/>
        </w:rPr>
        <w:t>tai re</w:t>
      </w:r>
      <w:r w:rsidR="00CF2522" w:rsidRPr="00C31C6C">
        <w:rPr>
          <w:rFonts w:ascii="Adobe Caslon Pro" w:hAnsi="Adobe Caslon Pro" w:cstheme="minorHAnsi"/>
          <w:color w:val="333333"/>
        </w:rPr>
        <w:t>i</w:t>
      </w:r>
      <w:r w:rsidR="00DF313B" w:rsidRPr="00C31C6C">
        <w:rPr>
          <w:rFonts w:ascii="Adobe Caslon Pro" w:hAnsi="Adobe Caslon Pro" w:cstheme="minorHAnsi"/>
          <w:color w:val="333333"/>
        </w:rPr>
        <w:t xml:space="preserve">škia, kad </w:t>
      </w:r>
      <w:r w:rsidR="007C25F8" w:rsidRPr="00C31C6C">
        <w:rPr>
          <w:rFonts w:ascii="Adobe Caslon Pro" w:hAnsi="Adobe Caslon Pro" w:cstheme="minorHAnsi"/>
          <w:color w:val="333333"/>
        </w:rPr>
        <w:t xml:space="preserve">šiuo metu </w:t>
      </w:r>
      <w:r w:rsidR="00DF313B" w:rsidRPr="00C31C6C">
        <w:rPr>
          <w:rFonts w:ascii="Adobe Caslon Pro" w:hAnsi="Adobe Caslon Pro" w:cstheme="minorHAnsi"/>
          <w:color w:val="333333"/>
        </w:rPr>
        <w:t>daugiau ne vienos pilietybės turėjimas yra išimtis</w:t>
      </w:r>
      <w:r w:rsidR="007C25F8" w:rsidRPr="00C31C6C">
        <w:rPr>
          <w:rFonts w:ascii="Adobe Caslon Pro" w:hAnsi="Adobe Caslon Pro" w:cstheme="minorHAnsi"/>
          <w:color w:val="333333"/>
        </w:rPr>
        <w:t xml:space="preserve"> ir suteikiama atskirai</w:t>
      </w:r>
      <w:r w:rsidR="00855A48" w:rsidRPr="00C31C6C">
        <w:rPr>
          <w:rFonts w:ascii="Adobe Caslon Pro" w:hAnsi="Adobe Caslon Pro" w:cstheme="minorHAnsi"/>
          <w:color w:val="333333"/>
        </w:rPr>
        <w:t>.</w:t>
      </w:r>
      <w:r w:rsidR="00F72BA7" w:rsidRPr="00C31C6C">
        <w:rPr>
          <w:rFonts w:ascii="Adobe Caslon Pro" w:hAnsi="Adobe Caslon Pro" w:cstheme="minorHAnsi"/>
          <w:b/>
          <w:bCs/>
          <w:color w:val="333333"/>
        </w:rPr>
        <w:t xml:space="preserve"> </w:t>
      </w:r>
      <w:r w:rsidR="007C25F8" w:rsidRPr="00C31C6C">
        <w:rPr>
          <w:rFonts w:ascii="Adobe Caslon Pro" w:hAnsi="Adobe Caslon Pro" w:cstheme="minorHAnsi"/>
          <w:b/>
          <w:bCs/>
          <w:color w:val="333333"/>
        </w:rPr>
        <w:t>Įvykus referendumui ir nubalsavus už pataisą būtų atsisakyta daugiau nei vienos pilietybės suteikimo išimtinumo</w:t>
      </w:r>
      <w:r w:rsidR="00C31C6C" w:rsidRPr="00C31C6C">
        <w:rPr>
          <w:rFonts w:ascii="Adobe Caslon Pro" w:hAnsi="Adobe Caslon Pro" w:cstheme="minorHAnsi"/>
          <w:b/>
          <w:bCs/>
          <w:color w:val="333333"/>
        </w:rPr>
        <w:t xml:space="preserve">, o </w:t>
      </w:r>
      <w:r w:rsidR="00290DD5" w:rsidRPr="00C31C6C">
        <w:rPr>
          <w:rFonts w:ascii="Adobe Caslon Pro" w:hAnsi="Adobe Caslon Pro" w:cs="Times New Roman"/>
        </w:rPr>
        <w:t xml:space="preserve">piliečių dvigubos pilietybės </w:t>
      </w:r>
      <w:r w:rsidR="00C31C6C" w:rsidRPr="00C31C6C">
        <w:rPr>
          <w:rFonts w:ascii="Adobe Caslon Pro" w:hAnsi="Adobe Caslon Pro" w:cs="Times New Roman"/>
        </w:rPr>
        <w:t xml:space="preserve">suteikimo </w:t>
      </w:r>
      <w:r w:rsidR="00F72BA7" w:rsidRPr="00C31C6C">
        <w:rPr>
          <w:rFonts w:ascii="Adobe Caslon Pro" w:hAnsi="Adobe Caslon Pro" w:cs="Times New Roman"/>
        </w:rPr>
        <w:t>sąlyg</w:t>
      </w:r>
      <w:r w:rsidR="00C31C6C" w:rsidRPr="00C31C6C">
        <w:rPr>
          <w:rFonts w:ascii="Adobe Caslon Pro" w:hAnsi="Adobe Caslon Pro" w:cs="Times New Roman"/>
        </w:rPr>
        <w:t xml:space="preserve">os būtų nustatomos </w:t>
      </w:r>
      <w:r w:rsidR="00F72BA7" w:rsidRPr="00C31C6C">
        <w:rPr>
          <w:rFonts w:ascii="Adobe Caslon Pro" w:hAnsi="Adobe Caslon Pro" w:cs="Times New Roman"/>
        </w:rPr>
        <w:t xml:space="preserve">LR </w:t>
      </w:r>
      <w:r w:rsidR="00C31C6C" w:rsidRPr="00C31C6C">
        <w:rPr>
          <w:rFonts w:ascii="Adobe Caslon Pro" w:hAnsi="Adobe Caslon Pro" w:cs="Times New Roman"/>
        </w:rPr>
        <w:t xml:space="preserve">Seimo </w:t>
      </w:r>
      <w:r w:rsidR="00F72BA7" w:rsidRPr="00C31C6C">
        <w:rPr>
          <w:rFonts w:ascii="Adobe Caslon Pro" w:hAnsi="Adobe Caslon Pro" w:cs="Times New Roman"/>
        </w:rPr>
        <w:t xml:space="preserve">priimtu </w:t>
      </w:r>
      <w:r w:rsidR="000D142B" w:rsidRPr="00C31C6C">
        <w:rPr>
          <w:rFonts w:ascii="Adobe Caslon Pro" w:hAnsi="Adobe Caslon Pro" w:cs="Times New Roman"/>
        </w:rPr>
        <w:t>konstituciniu įstatymu</w:t>
      </w:r>
      <w:r w:rsidR="00C31C6C" w:rsidRPr="00C31C6C">
        <w:rPr>
          <w:rFonts w:ascii="Adobe Caslon Pro" w:hAnsi="Adobe Caslon Pro" w:cs="Times New Roman"/>
        </w:rPr>
        <w:t xml:space="preserve">, t.y. priimtu ne </w:t>
      </w:r>
      <w:r w:rsidR="000D142B" w:rsidRPr="00C31C6C">
        <w:rPr>
          <w:rFonts w:ascii="Adobe Caslon Pro" w:hAnsi="Adobe Caslon Pro" w:cs="Times New Roman"/>
        </w:rPr>
        <w:t>mažiausiai</w:t>
      </w:r>
      <w:r w:rsidR="00C31C6C" w:rsidRPr="00C31C6C">
        <w:rPr>
          <w:rFonts w:ascii="Adobe Caslon Pro" w:hAnsi="Adobe Caslon Pro" w:cs="Times New Roman"/>
        </w:rPr>
        <w:t xml:space="preserve"> kaip </w:t>
      </w:r>
      <w:r w:rsidR="007A3AE0" w:rsidRPr="00C31C6C">
        <w:rPr>
          <w:rFonts w:ascii="Adobe Caslon Pro" w:hAnsi="Adobe Caslon Pro" w:cs="Times New Roman"/>
        </w:rPr>
        <w:t xml:space="preserve">85 </w:t>
      </w:r>
      <w:r w:rsidR="00C31C6C" w:rsidRPr="00C31C6C">
        <w:rPr>
          <w:rFonts w:ascii="Adobe Caslon Pro" w:hAnsi="Adobe Caslon Pro" w:cs="Times New Roman"/>
        </w:rPr>
        <w:t xml:space="preserve">parlamentarų </w:t>
      </w:r>
      <w:r w:rsidR="007A3AE0" w:rsidRPr="00C31C6C">
        <w:rPr>
          <w:rFonts w:ascii="Adobe Caslon Pro" w:hAnsi="Adobe Caslon Pro" w:cs="Times New Roman"/>
        </w:rPr>
        <w:t>dauguma</w:t>
      </w:r>
      <w:r w:rsidR="00C31C6C" w:rsidRPr="00C31C6C">
        <w:rPr>
          <w:rFonts w:ascii="Adobe Caslon Pro" w:hAnsi="Adobe Caslon Pro" w:cs="Times New Roman"/>
        </w:rPr>
        <w:t xml:space="preserve"> i</w:t>
      </w:r>
      <w:r w:rsidR="007A3AE0" w:rsidRPr="00C31C6C">
        <w:rPr>
          <w:rFonts w:ascii="Adobe Caslon Pro" w:hAnsi="Adobe Caslon Pro" w:cs="Times New Roman"/>
        </w:rPr>
        <w:t>š 141</w:t>
      </w:r>
      <w:r w:rsidR="000208D4" w:rsidRPr="00C31C6C">
        <w:rPr>
          <w:rFonts w:ascii="Adobe Caslon Pro" w:hAnsi="Adobe Caslon Pro" w:cs="Times New Roman"/>
        </w:rPr>
        <w:t xml:space="preserve">. </w:t>
      </w:r>
    </w:p>
    <w:p w14:paraId="1ED849BE" w14:textId="02871EA0" w:rsidR="004C2C63" w:rsidRPr="00C31C6C" w:rsidRDefault="004C2C63" w:rsidP="00C31C6C">
      <w:pPr>
        <w:jc w:val="both"/>
        <w:rPr>
          <w:rFonts w:ascii="Adobe Caslon Pro" w:hAnsi="Adobe Caslon Pro" w:cs="Times New Roman"/>
        </w:rPr>
      </w:pPr>
      <w:r w:rsidRPr="00C31C6C">
        <w:rPr>
          <w:rFonts w:ascii="Adobe Caslon Pro" w:hAnsi="Adobe Caslon Pro" w:cs="Times New Roman"/>
        </w:rPr>
        <w:t xml:space="preserve">LR Seimo </w:t>
      </w:r>
      <w:r w:rsidR="004508DD">
        <w:rPr>
          <w:rFonts w:ascii="Adobe Caslon Pro" w:hAnsi="Adobe Caslon Pro" w:cs="Times New Roman"/>
        </w:rPr>
        <w:t>teisės aktų projektų</w:t>
      </w:r>
      <w:r w:rsidRPr="00C31C6C">
        <w:rPr>
          <w:rFonts w:ascii="Adobe Caslon Pro" w:hAnsi="Adobe Caslon Pro" w:cs="Times New Roman"/>
        </w:rPr>
        <w:t xml:space="preserve"> bazėje yra registruotas </w:t>
      </w:r>
      <w:r w:rsidR="004508DD">
        <w:rPr>
          <w:rFonts w:ascii="Adobe Caslon Pro" w:hAnsi="Adobe Caslon Pro" w:cs="Times New Roman"/>
        </w:rPr>
        <w:t xml:space="preserve">parengtas konstitucinio įstatymo </w:t>
      </w:r>
      <w:r w:rsidRPr="00C31C6C">
        <w:rPr>
          <w:rFonts w:ascii="Adobe Caslon Pro" w:hAnsi="Adobe Caslon Pro" w:cs="Times New Roman"/>
        </w:rPr>
        <w:t xml:space="preserve">projektas, kuriame nurodyta, kad „atstatyti Lietuvos pilietybę galėtų tik tų valstybių piliečiai, kurių valstybė </w:t>
      </w:r>
      <w:r w:rsidRPr="00C31C6C">
        <w:rPr>
          <w:rFonts w:ascii="Adobe Caslon Pro" w:eastAsia="Times New Roman" w:hAnsi="Adobe Caslon Pro" w:cs="Times New Roman"/>
          <w:color w:val="000000"/>
          <w:lang w:eastAsia="lt-LT"/>
        </w:rPr>
        <w:t xml:space="preserve">priklauso Europos Sąjungai ir (ar) valstybės dalyvauja Europos ekonominės erdvės susitarime, taip pat valstybės, priklausančios Šiaurės Atlanto Sutarties Organizacijoje (NATO) arba valstybės, priklausančios Ekonominio bendradarbiavimo ir plėtros organizacijoje. </w:t>
      </w:r>
      <w:r w:rsidRPr="00C31C6C">
        <w:rPr>
          <w:rFonts w:ascii="Adobe Caslon Pro" w:hAnsi="Adobe Caslon Pro"/>
          <w:color w:val="000000"/>
        </w:rPr>
        <w:t>Europinės ir transatlantinės integracijos kriterijų neatitinka tos valstybės, kurios kartu yra Baltarusijos ir Rusijos sąjungininkės valstybės, Eurazijos ekonominės sąjungos, Kolektyvinio saugumo sutarties organizacijos, Nepriklausomų valstybių sandraugos, Šanchajaus bendradarbiavimo organizacijos ar kitų buvusios SSRS pagrindu sukurtų įvairių sąjungų ar sandraugų narėmis“.</w:t>
      </w:r>
    </w:p>
    <w:p w14:paraId="44C21CCC" w14:textId="544D3B17" w:rsidR="004C2C63" w:rsidRPr="00C31C6C" w:rsidRDefault="004C2C63" w:rsidP="004C2C63">
      <w:pPr>
        <w:jc w:val="both"/>
        <w:rPr>
          <w:rFonts w:ascii="Adobe Caslon Pro" w:hAnsi="Adobe Caslon Pro" w:cs="Times New Roman"/>
        </w:rPr>
      </w:pPr>
      <w:r w:rsidRPr="00C31C6C">
        <w:rPr>
          <w:rFonts w:ascii="Adobe Caslon Pro" w:hAnsi="Adobe Caslon Pro" w:cs="Times New Roman"/>
        </w:rPr>
        <w:t>T</w:t>
      </w:r>
      <w:r w:rsidR="005625CE" w:rsidRPr="00C31C6C">
        <w:rPr>
          <w:rFonts w:ascii="Adobe Caslon Pro" w:hAnsi="Adobe Caslon Pro" w:cs="Times New Roman"/>
        </w:rPr>
        <w:t>aip pat atkreipia</w:t>
      </w:r>
      <w:r w:rsidRPr="00C31C6C">
        <w:rPr>
          <w:rFonts w:ascii="Adobe Caslon Pro" w:hAnsi="Adobe Caslon Pro" w:cs="Times New Roman"/>
        </w:rPr>
        <w:t>me</w:t>
      </w:r>
      <w:r w:rsidR="005625CE" w:rsidRPr="00C31C6C">
        <w:rPr>
          <w:rFonts w:ascii="Adobe Caslon Pro" w:hAnsi="Adobe Caslon Pro" w:cs="Times New Roman"/>
        </w:rPr>
        <w:t xml:space="preserve"> dėmesį, kad </w:t>
      </w:r>
      <w:r w:rsidR="00595C62">
        <w:rPr>
          <w:rFonts w:ascii="Adobe Caslon Pro" w:hAnsi="Adobe Caslon Pro" w:cs="Times New Roman"/>
        </w:rPr>
        <w:t>r</w:t>
      </w:r>
      <w:r w:rsidRPr="00C31C6C">
        <w:rPr>
          <w:rFonts w:ascii="Adobe Caslon Pro" w:hAnsi="Adobe Caslon Pro" w:cs="Times New Roman"/>
        </w:rPr>
        <w:t>eferendumas įvyktų</w:t>
      </w:r>
      <w:r w:rsidR="003A3535">
        <w:rPr>
          <w:rFonts w:ascii="Adobe Caslon Pro" w:hAnsi="Adobe Caslon Pro" w:cs="Times New Roman"/>
        </w:rPr>
        <w:t>,</w:t>
      </w:r>
      <w:r w:rsidRPr="00C31C6C">
        <w:rPr>
          <w:rFonts w:ascii="Adobe Caslon Pro" w:hAnsi="Adobe Caslon Pro" w:cs="Times New Roman"/>
        </w:rPr>
        <w:t xml:space="preserve"> turi ateiti balsuoti daugiau nei 50% rinkimų teisę turinčių piliečių (ne mažiau kaip </w:t>
      </w:r>
      <w:r w:rsidRPr="00C31C6C">
        <w:rPr>
          <w:rFonts w:ascii="Adobe Caslon Pro" w:hAnsi="Adobe Caslon Pro" w:cs="Open Sans"/>
        </w:rPr>
        <w:t>1 216 469 rinkėjų</w:t>
      </w:r>
      <w:r w:rsidRPr="00C31C6C">
        <w:rPr>
          <w:rFonts w:ascii="Adobe Caslon Pro" w:hAnsi="Adobe Caslon Pro" w:cs="Times New Roman"/>
        </w:rPr>
        <w:t xml:space="preserve">)  ir ne mažiau kaip 50% rinkimų teisę turinčių piliečių (ne mažiau kaip </w:t>
      </w:r>
      <w:r w:rsidRPr="00C31C6C">
        <w:rPr>
          <w:rFonts w:ascii="Adobe Caslon Pro" w:hAnsi="Adobe Caslon Pro" w:cs="Open Sans"/>
        </w:rPr>
        <w:t>1 216 469 rinkėjų</w:t>
      </w:r>
      <w:r w:rsidRPr="00C31C6C">
        <w:rPr>
          <w:rFonts w:ascii="Adobe Caslon Pro" w:hAnsi="Adobe Caslon Pro" w:cs="Times New Roman"/>
        </w:rPr>
        <w:t>) turi biuletenyje pažymėti TAIP.</w:t>
      </w:r>
    </w:p>
    <w:p w14:paraId="69778F08" w14:textId="6D9EFFF3" w:rsidR="00FE091C" w:rsidRPr="00FE091C" w:rsidRDefault="004C2C63" w:rsidP="00FE091C">
      <w:pPr>
        <w:spacing w:after="0" w:line="240" w:lineRule="auto"/>
        <w:jc w:val="both"/>
        <w:rPr>
          <w:rFonts w:ascii="Adobe Caslon Pro" w:hAnsi="Adobe Caslon Pro" w:cs="Times New Roman"/>
        </w:rPr>
      </w:pPr>
      <w:r w:rsidRPr="00C31C6C">
        <w:rPr>
          <w:rFonts w:ascii="Adobe Caslon Pro" w:hAnsi="Adobe Caslon Pro" w:cs="Times New Roman"/>
        </w:rPr>
        <w:t xml:space="preserve">Kadangi </w:t>
      </w:r>
      <w:r w:rsidR="004508DD">
        <w:rPr>
          <w:rFonts w:ascii="Adobe Caslon Pro" w:hAnsi="Adobe Caslon Pro" w:cs="Times New Roman"/>
        </w:rPr>
        <w:t xml:space="preserve">dalyvavimas </w:t>
      </w:r>
      <w:r w:rsidRPr="00C31C6C">
        <w:rPr>
          <w:rFonts w:ascii="Adobe Caslon Pro" w:hAnsi="Adobe Caslon Pro" w:cs="Times New Roman"/>
        </w:rPr>
        <w:t>referendum</w:t>
      </w:r>
      <w:r w:rsidR="004508DD">
        <w:rPr>
          <w:rFonts w:ascii="Adobe Caslon Pro" w:hAnsi="Adobe Caslon Pro" w:cs="Times New Roman"/>
        </w:rPr>
        <w:t>e</w:t>
      </w:r>
      <w:r w:rsidRPr="00C31C6C">
        <w:rPr>
          <w:rFonts w:ascii="Adobe Caslon Pro" w:hAnsi="Adobe Caslon Pro" w:cs="Times New Roman"/>
        </w:rPr>
        <w:t xml:space="preserve"> yra </w:t>
      </w:r>
      <w:r w:rsidR="004508DD">
        <w:rPr>
          <w:rFonts w:ascii="Adobe Caslon Pro" w:hAnsi="Adobe Caslon Pro" w:cs="Times New Roman"/>
        </w:rPr>
        <w:t xml:space="preserve">išimtinai </w:t>
      </w:r>
      <w:r w:rsidRPr="00C31C6C">
        <w:rPr>
          <w:rFonts w:ascii="Adobe Caslon Pro" w:hAnsi="Adobe Caslon Pro" w:cs="Times New Roman"/>
        </w:rPr>
        <w:t xml:space="preserve">kiekvieno žmogaus apsisprendimo teisė, Lietuvos advokatūra </w:t>
      </w:r>
      <w:r w:rsidR="004508DD">
        <w:rPr>
          <w:rFonts w:ascii="Adobe Caslon Pro" w:hAnsi="Adobe Caslon Pro" w:cs="Times New Roman"/>
        </w:rPr>
        <w:t>nepateikia nuomonės ar pozicijos dėl paties balsavimo</w:t>
      </w:r>
      <w:r w:rsidRPr="00C31C6C">
        <w:rPr>
          <w:rFonts w:ascii="Adobe Caslon Pro" w:hAnsi="Adobe Caslon Pro" w:cs="Times New Roman"/>
        </w:rPr>
        <w:t xml:space="preserve">, tačiau </w:t>
      </w:r>
      <w:r w:rsidR="00711033">
        <w:rPr>
          <w:rFonts w:ascii="Adobe Caslon Pro" w:hAnsi="Adobe Caslon Pro" w:cs="Times New Roman"/>
        </w:rPr>
        <w:t xml:space="preserve">šiuo </w:t>
      </w:r>
      <w:r w:rsidRPr="00C31C6C">
        <w:rPr>
          <w:rFonts w:ascii="Adobe Caslon Pro" w:hAnsi="Adobe Caslon Pro" w:cs="Times New Roman"/>
        </w:rPr>
        <w:t xml:space="preserve">pranešimu siekia atkreipti visuomenės dėmesį į </w:t>
      </w:r>
      <w:r w:rsidR="00CB61E8" w:rsidRPr="00C31C6C">
        <w:rPr>
          <w:rFonts w:ascii="Adobe Caslon Pro" w:hAnsi="Adobe Caslon Pro" w:cs="Times New Roman"/>
        </w:rPr>
        <w:t>būsimo referendumo formu</w:t>
      </w:r>
      <w:r w:rsidR="004508DD">
        <w:rPr>
          <w:rFonts w:ascii="Adobe Caslon Pro" w:hAnsi="Adobe Caslon Pro" w:cs="Times New Roman"/>
        </w:rPr>
        <w:t>lu</w:t>
      </w:r>
      <w:r w:rsidR="00CB61E8" w:rsidRPr="00C31C6C">
        <w:rPr>
          <w:rFonts w:ascii="Adobe Caslon Pro" w:hAnsi="Adobe Caslon Pro" w:cs="Times New Roman"/>
        </w:rPr>
        <w:t xml:space="preserve">ojamo klausimo </w:t>
      </w:r>
      <w:r w:rsidR="004508DD">
        <w:rPr>
          <w:rFonts w:ascii="Adobe Caslon Pro" w:hAnsi="Adobe Caslon Pro" w:cs="Times New Roman"/>
        </w:rPr>
        <w:t>teisinę prasmę</w:t>
      </w:r>
      <w:r w:rsidR="00CB61E8" w:rsidRPr="00C31C6C">
        <w:rPr>
          <w:rFonts w:ascii="Adobe Caslon Pro" w:hAnsi="Adobe Caslon Pro" w:cs="Times New Roman"/>
        </w:rPr>
        <w:t>.</w:t>
      </w:r>
      <w:r w:rsidR="00FE091C">
        <w:rPr>
          <w:rFonts w:ascii="Adobe Caslon Pro" w:hAnsi="Adobe Caslon Pro" w:cs="Times New Roman"/>
        </w:rPr>
        <w:t xml:space="preserve"> </w:t>
      </w:r>
      <w:r w:rsidR="00FE091C" w:rsidRPr="00FE091C">
        <w:rPr>
          <w:rFonts w:ascii="Adobe Caslon Pro" w:hAnsi="Adobe Caslon Pro" w:cs="Times New Roman"/>
        </w:rPr>
        <w:t xml:space="preserve">Nuoroda į </w:t>
      </w:r>
      <w:hyperlink r:id="rId7" w:history="1">
        <w:r w:rsidR="00FE091C" w:rsidRPr="00FE091C">
          <w:rPr>
            <w:rStyle w:val="Hyperlink"/>
            <w:rFonts w:ascii="Adobe Caslon Pro" w:hAnsi="Adobe Caslon Pro" w:cs="Times New Roman"/>
          </w:rPr>
          <w:t>Referendumo biuletenį.</w:t>
        </w:r>
      </w:hyperlink>
    </w:p>
    <w:p w14:paraId="06AB3CF4" w14:textId="77777777" w:rsidR="00FE091C" w:rsidRPr="00C31C6C" w:rsidRDefault="00FE091C" w:rsidP="008D0508">
      <w:pPr>
        <w:spacing w:after="0" w:line="240" w:lineRule="auto"/>
        <w:jc w:val="both"/>
        <w:rPr>
          <w:rFonts w:ascii="Adobe Caslon Pro" w:hAnsi="Adobe Caslon Pro" w:cs="Times New Roman"/>
          <w:b/>
          <w:bCs/>
          <w:sz w:val="18"/>
          <w:szCs w:val="18"/>
        </w:rPr>
      </w:pPr>
    </w:p>
    <w:p w14:paraId="0A3F8015" w14:textId="6802F3B4" w:rsidR="00350887" w:rsidRPr="00C31C6C" w:rsidRDefault="00BF65A9" w:rsidP="008D0508">
      <w:pPr>
        <w:spacing w:after="0" w:line="240" w:lineRule="auto"/>
        <w:jc w:val="both"/>
        <w:rPr>
          <w:rFonts w:ascii="Adobe Caslon Pro" w:hAnsi="Adobe Caslon Pro" w:cs="Times New Roman"/>
          <w:b/>
          <w:bCs/>
          <w:sz w:val="18"/>
          <w:szCs w:val="18"/>
        </w:rPr>
      </w:pPr>
      <w:r w:rsidRPr="00C31C6C">
        <w:rPr>
          <w:rFonts w:ascii="Adobe Caslon Pro" w:hAnsi="Adobe Caslon Pro" w:cs="Times New Roman"/>
          <w:b/>
          <w:bCs/>
          <w:sz w:val="18"/>
          <w:szCs w:val="18"/>
        </w:rPr>
        <w:t>Daugiau informacijos:</w:t>
      </w:r>
    </w:p>
    <w:p w14:paraId="1A32AD38" w14:textId="1E26DBBD" w:rsidR="00BF65A9" w:rsidRPr="00C31C6C" w:rsidRDefault="00BF65A9" w:rsidP="008D0508">
      <w:pPr>
        <w:spacing w:after="0" w:line="240" w:lineRule="auto"/>
        <w:jc w:val="both"/>
        <w:rPr>
          <w:rFonts w:ascii="Adobe Caslon Pro" w:hAnsi="Adobe Caslon Pro" w:cs="Times New Roman"/>
          <w:sz w:val="18"/>
          <w:szCs w:val="18"/>
        </w:rPr>
      </w:pPr>
      <w:r w:rsidRPr="00C31C6C">
        <w:rPr>
          <w:rFonts w:ascii="Adobe Caslon Pro" w:hAnsi="Adobe Caslon Pro" w:cs="Times New Roman"/>
          <w:sz w:val="18"/>
          <w:szCs w:val="18"/>
        </w:rPr>
        <w:t>Ieva Paliliūnienė</w:t>
      </w:r>
    </w:p>
    <w:p w14:paraId="53C89C07" w14:textId="72E867E6" w:rsidR="00BF65A9" w:rsidRPr="00C31C6C" w:rsidRDefault="00BF65A9" w:rsidP="008D0508">
      <w:pPr>
        <w:spacing w:after="0" w:line="240" w:lineRule="auto"/>
        <w:jc w:val="both"/>
        <w:rPr>
          <w:rFonts w:ascii="Adobe Caslon Pro" w:hAnsi="Adobe Caslon Pro" w:cs="Times New Roman"/>
          <w:sz w:val="18"/>
          <w:szCs w:val="18"/>
        </w:rPr>
      </w:pPr>
      <w:r w:rsidRPr="00C31C6C">
        <w:rPr>
          <w:rFonts w:ascii="Adobe Caslon Pro" w:hAnsi="Adobe Caslon Pro" w:cs="Times New Roman"/>
          <w:sz w:val="18"/>
          <w:szCs w:val="18"/>
        </w:rPr>
        <w:t>Lietuvos advokatūros atstovė spaudai</w:t>
      </w:r>
    </w:p>
    <w:p w14:paraId="58E6D857" w14:textId="3B470ED9" w:rsidR="00BF65A9" w:rsidRPr="00595C62" w:rsidRDefault="00BF65A9" w:rsidP="008D0508">
      <w:pPr>
        <w:spacing w:after="0" w:line="240" w:lineRule="auto"/>
        <w:jc w:val="both"/>
        <w:rPr>
          <w:rFonts w:ascii="Adobe Caslon Pro" w:hAnsi="Adobe Caslon Pro" w:cs="Times New Roman"/>
          <w:sz w:val="18"/>
          <w:szCs w:val="18"/>
          <w:lang w:val="it-IT"/>
        </w:rPr>
      </w:pPr>
      <w:r w:rsidRPr="00C31C6C">
        <w:rPr>
          <w:rFonts w:ascii="Adobe Caslon Pro" w:hAnsi="Adobe Caslon Pro" w:cs="Times New Roman"/>
          <w:sz w:val="18"/>
          <w:szCs w:val="18"/>
        </w:rPr>
        <w:t xml:space="preserve">el. p. </w:t>
      </w:r>
      <w:hyperlink r:id="rId8" w:history="1">
        <w:r w:rsidR="006B2E0B" w:rsidRPr="00C31C6C">
          <w:rPr>
            <w:rStyle w:val="Hyperlink"/>
            <w:rFonts w:ascii="Adobe Caslon Pro" w:hAnsi="Adobe Caslon Pro" w:cs="Times New Roman"/>
            <w:sz w:val="18"/>
            <w:szCs w:val="18"/>
          </w:rPr>
          <w:t>ieva.paliliuniene</w:t>
        </w:r>
        <w:r w:rsidR="006B2E0B" w:rsidRPr="00595C62">
          <w:rPr>
            <w:rStyle w:val="Hyperlink"/>
            <w:rFonts w:ascii="Adobe Caslon Pro" w:hAnsi="Adobe Caslon Pro" w:cs="Times New Roman"/>
            <w:sz w:val="18"/>
            <w:szCs w:val="18"/>
            <w:lang w:val="it-IT"/>
          </w:rPr>
          <w:t>@advokatura.lt</w:t>
        </w:r>
      </w:hyperlink>
      <w:r w:rsidR="006B2E0B" w:rsidRPr="00595C62">
        <w:rPr>
          <w:rFonts w:ascii="Adobe Caslon Pro" w:hAnsi="Adobe Caslon Pro" w:cs="Times New Roman"/>
          <w:sz w:val="18"/>
          <w:szCs w:val="18"/>
          <w:lang w:val="it-IT"/>
        </w:rPr>
        <w:t xml:space="preserve"> </w:t>
      </w:r>
    </w:p>
    <w:p w14:paraId="56394B1A" w14:textId="59CEB6AD" w:rsidR="00286B6C" w:rsidRPr="00C31C6C" w:rsidRDefault="00BF65A9" w:rsidP="006B2E0B">
      <w:pPr>
        <w:jc w:val="both"/>
        <w:rPr>
          <w:rFonts w:ascii="Adobe Caslon Pro" w:hAnsi="Adobe Caslon Pro" w:cs="Times New Roman"/>
          <w:sz w:val="20"/>
          <w:szCs w:val="20"/>
        </w:rPr>
      </w:pPr>
      <w:r w:rsidRPr="00C31C6C">
        <w:rPr>
          <w:rFonts w:ascii="Adobe Caslon Pro" w:hAnsi="Adobe Caslon Pro" w:cs="Times New Roman"/>
          <w:sz w:val="18"/>
          <w:szCs w:val="18"/>
        </w:rPr>
        <w:lastRenderedPageBreak/>
        <w:t>mob. +370</w:t>
      </w:r>
      <w:r w:rsidR="008D0508" w:rsidRPr="00C31C6C">
        <w:rPr>
          <w:rFonts w:ascii="Adobe Caslon Pro" w:hAnsi="Adobe Caslon Pro" w:cs="Times New Roman"/>
          <w:sz w:val="18"/>
          <w:szCs w:val="18"/>
        </w:rPr>
        <w:t> 663 13532</w:t>
      </w:r>
    </w:p>
    <w:sectPr w:rsidR="00286B6C" w:rsidRPr="00C31C6C" w:rsidSect="00BD5A44">
      <w:headerReference w:type="default" r:id="rId9"/>
      <w:pgSz w:w="11906" w:h="16838"/>
      <w:pgMar w:top="1134" w:right="567" w:bottom="142" w:left="99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5D62D" w14:textId="77777777" w:rsidR="00BD5A44" w:rsidRDefault="00BD5A44" w:rsidP="001C57F5">
      <w:pPr>
        <w:spacing w:after="0" w:line="240" w:lineRule="auto"/>
      </w:pPr>
      <w:r>
        <w:separator/>
      </w:r>
    </w:p>
  </w:endnote>
  <w:endnote w:type="continuationSeparator" w:id="0">
    <w:p w14:paraId="60B45D3B" w14:textId="77777777" w:rsidR="00BD5A44" w:rsidRDefault="00BD5A44" w:rsidP="001C5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dobe Caslon Pro">
    <w:altName w:val="Times New Roman"/>
    <w:panose1 w:val="0205050205050A020403"/>
    <w:charset w:val="00"/>
    <w:family w:val="roman"/>
    <w:notTrueType/>
    <w:pitch w:val="variable"/>
    <w:sig w:usb0="800000AF" w:usb1="5000205B" w:usb2="00000000" w:usb3="00000000" w:csb0="0000009B" w:csb1="00000000"/>
  </w:font>
  <w:font w:name="Open Sans">
    <w:charset w:val="00"/>
    <w:family w:val="swiss"/>
    <w:pitch w:val="variable"/>
    <w:sig w:usb0="E00002EF" w:usb1="4000205B" w:usb2="00000028"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9ED5A" w14:textId="77777777" w:rsidR="00BD5A44" w:rsidRDefault="00BD5A44" w:rsidP="001C57F5">
      <w:pPr>
        <w:spacing w:after="0" w:line="240" w:lineRule="auto"/>
      </w:pPr>
      <w:r>
        <w:separator/>
      </w:r>
    </w:p>
  </w:footnote>
  <w:footnote w:type="continuationSeparator" w:id="0">
    <w:p w14:paraId="6052E661" w14:textId="77777777" w:rsidR="00BD5A44" w:rsidRDefault="00BD5A44" w:rsidP="001C5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D16C4" w14:textId="5A4D97F4" w:rsidR="001C57F5" w:rsidRDefault="001C57F5">
    <w:pPr>
      <w:pStyle w:val="Header"/>
    </w:pPr>
    <w:r>
      <w:rPr>
        <w:noProof/>
      </w:rPr>
      <w:drawing>
        <wp:inline distT="0" distB="0" distL="0" distR="0" wp14:anchorId="6DCB42EE" wp14:editId="2819C421">
          <wp:extent cx="693420" cy="697620"/>
          <wp:effectExtent l="0" t="0" r="0" b="7620"/>
          <wp:docPr id="17" name="Picture 1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268" cy="72463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552168"/>
    <w:multiLevelType w:val="hybridMultilevel"/>
    <w:tmpl w:val="D054D5B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60143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799"/>
    <w:rsid w:val="00010820"/>
    <w:rsid w:val="000208D4"/>
    <w:rsid w:val="000278AB"/>
    <w:rsid w:val="00030133"/>
    <w:rsid w:val="0003181C"/>
    <w:rsid w:val="000360DC"/>
    <w:rsid w:val="0004265B"/>
    <w:rsid w:val="000476AD"/>
    <w:rsid w:val="000505C8"/>
    <w:rsid w:val="0006371B"/>
    <w:rsid w:val="00074C26"/>
    <w:rsid w:val="00091973"/>
    <w:rsid w:val="00092340"/>
    <w:rsid w:val="0009298E"/>
    <w:rsid w:val="00093473"/>
    <w:rsid w:val="000A0B05"/>
    <w:rsid w:val="000D142B"/>
    <w:rsid w:val="000D2945"/>
    <w:rsid w:val="000E6208"/>
    <w:rsid w:val="000F45E6"/>
    <w:rsid w:val="00102C81"/>
    <w:rsid w:val="00115E0C"/>
    <w:rsid w:val="001175B4"/>
    <w:rsid w:val="0014138D"/>
    <w:rsid w:val="00156E90"/>
    <w:rsid w:val="00174D61"/>
    <w:rsid w:val="00184544"/>
    <w:rsid w:val="001A0A10"/>
    <w:rsid w:val="001B511D"/>
    <w:rsid w:val="001C3CA1"/>
    <w:rsid w:val="001C57F5"/>
    <w:rsid w:val="001C7986"/>
    <w:rsid w:val="001D19B8"/>
    <w:rsid w:val="001D2831"/>
    <w:rsid w:val="001D3B70"/>
    <w:rsid w:val="001F64AE"/>
    <w:rsid w:val="00207AC2"/>
    <w:rsid w:val="00242478"/>
    <w:rsid w:val="00242B77"/>
    <w:rsid w:val="002725B0"/>
    <w:rsid w:val="00272760"/>
    <w:rsid w:val="00286B6C"/>
    <w:rsid w:val="00287EC9"/>
    <w:rsid w:val="00290DD5"/>
    <w:rsid w:val="00293215"/>
    <w:rsid w:val="00296C29"/>
    <w:rsid w:val="002E2875"/>
    <w:rsid w:val="002F0E04"/>
    <w:rsid w:val="002F582D"/>
    <w:rsid w:val="00306317"/>
    <w:rsid w:val="0031654F"/>
    <w:rsid w:val="00325C49"/>
    <w:rsid w:val="00335937"/>
    <w:rsid w:val="0033741A"/>
    <w:rsid w:val="00350887"/>
    <w:rsid w:val="00380E9B"/>
    <w:rsid w:val="00392E08"/>
    <w:rsid w:val="003A3535"/>
    <w:rsid w:val="003D5F64"/>
    <w:rsid w:val="003E71D7"/>
    <w:rsid w:val="003F2130"/>
    <w:rsid w:val="003F4EC5"/>
    <w:rsid w:val="00401116"/>
    <w:rsid w:val="00401F0A"/>
    <w:rsid w:val="00416799"/>
    <w:rsid w:val="00430510"/>
    <w:rsid w:val="004321FE"/>
    <w:rsid w:val="00442E8D"/>
    <w:rsid w:val="004508DD"/>
    <w:rsid w:val="00480EBC"/>
    <w:rsid w:val="0048183B"/>
    <w:rsid w:val="00484602"/>
    <w:rsid w:val="004956DE"/>
    <w:rsid w:val="004B1B62"/>
    <w:rsid w:val="004C2C24"/>
    <w:rsid w:val="004C2C63"/>
    <w:rsid w:val="004D4C2A"/>
    <w:rsid w:val="00525453"/>
    <w:rsid w:val="005300FB"/>
    <w:rsid w:val="00540EFE"/>
    <w:rsid w:val="00553B0A"/>
    <w:rsid w:val="005625CE"/>
    <w:rsid w:val="00577FF5"/>
    <w:rsid w:val="00595C62"/>
    <w:rsid w:val="005B1981"/>
    <w:rsid w:val="005B6E46"/>
    <w:rsid w:val="005D504A"/>
    <w:rsid w:val="005E0F8F"/>
    <w:rsid w:val="005F5298"/>
    <w:rsid w:val="006338F5"/>
    <w:rsid w:val="006463A7"/>
    <w:rsid w:val="00653B3C"/>
    <w:rsid w:val="006609A4"/>
    <w:rsid w:val="00681DBD"/>
    <w:rsid w:val="006B2E0B"/>
    <w:rsid w:val="006B7015"/>
    <w:rsid w:val="006B796F"/>
    <w:rsid w:val="006E4142"/>
    <w:rsid w:val="00704FB1"/>
    <w:rsid w:val="00711033"/>
    <w:rsid w:val="00731FBC"/>
    <w:rsid w:val="00734187"/>
    <w:rsid w:val="00740BEA"/>
    <w:rsid w:val="00742C77"/>
    <w:rsid w:val="00743AC9"/>
    <w:rsid w:val="007464A9"/>
    <w:rsid w:val="007A3AE0"/>
    <w:rsid w:val="007B3E8D"/>
    <w:rsid w:val="007C25F8"/>
    <w:rsid w:val="007F2DA8"/>
    <w:rsid w:val="00810D1A"/>
    <w:rsid w:val="00830D72"/>
    <w:rsid w:val="00834D39"/>
    <w:rsid w:val="00855A48"/>
    <w:rsid w:val="00881718"/>
    <w:rsid w:val="00896581"/>
    <w:rsid w:val="008A051D"/>
    <w:rsid w:val="008A30FB"/>
    <w:rsid w:val="008B29D6"/>
    <w:rsid w:val="008B583E"/>
    <w:rsid w:val="008C0815"/>
    <w:rsid w:val="008D0508"/>
    <w:rsid w:val="00912AC6"/>
    <w:rsid w:val="009203EE"/>
    <w:rsid w:val="009243ED"/>
    <w:rsid w:val="00926A5B"/>
    <w:rsid w:val="00927B8E"/>
    <w:rsid w:val="00941EB8"/>
    <w:rsid w:val="00944953"/>
    <w:rsid w:val="0096380F"/>
    <w:rsid w:val="0096510A"/>
    <w:rsid w:val="00971821"/>
    <w:rsid w:val="009910E3"/>
    <w:rsid w:val="009B0828"/>
    <w:rsid w:val="009E37D2"/>
    <w:rsid w:val="009E3A32"/>
    <w:rsid w:val="009F1FB1"/>
    <w:rsid w:val="00A22B65"/>
    <w:rsid w:val="00A25063"/>
    <w:rsid w:val="00A31D3A"/>
    <w:rsid w:val="00A508BF"/>
    <w:rsid w:val="00A62794"/>
    <w:rsid w:val="00A75E7A"/>
    <w:rsid w:val="00A845E2"/>
    <w:rsid w:val="00AA5D29"/>
    <w:rsid w:val="00AE49C5"/>
    <w:rsid w:val="00AE7307"/>
    <w:rsid w:val="00B01EA9"/>
    <w:rsid w:val="00B16E47"/>
    <w:rsid w:val="00B176C8"/>
    <w:rsid w:val="00B40ABE"/>
    <w:rsid w:val="00B460E2"/>
    <w:rsid w:val="00B71492"/>
    <w:rsid w:val="00B833F3"/>
    <w:rsid w:val="00B94752"/>
    <w:rsid w:val="00BB67FF"/>
    <w:rsid w:val="00BC2920"/>
    <w:rsid w:val="00BD5A44"/>
    <w:rsid w:val="00BF65A9"/>
    <w:rsid w:val="00C0409D"/>
    <w:rsid w:val="00C06E7F"/>
    <w:rsid w:val="00C31C6C"/>
    <w:rsid w:val="00C6719F"/>
    <w:rsid w:val="00C719B8"/>
    <w:rsid w:val="00C72875"/>
    <w:rsid w:val="00C9755A"/>
    <w:rsid w:val="00CB3600"/>
    <w:rsid w:val="00CB605F"/>
    <w:rsid w:val="00CB61E8"/>
    <w:rsid w:val="00CE4FD9"/>
    <w:rsid w:val="00CF2522"/>
    <w:rsid w:val="00CF60EB"/>
    <w:rsid w:val="00D07E7D"/>
    <w:rsid w:val="00D15D3E"/>
    <w:rsid w:val="00D4707C"/>
    <w:rsid w:val="00D47DE9"/>
    <w:rsid w:val="00D650B1"/>
    <w:rsid w:val="00D72BBA"/>
    <w:rsid w:val="00D73D15"/>
    <w:rsid w:val="00D946DD"/>
    <w:rsid w:val="00DA16B4"/>
    <w:rsid w:val="00DB3BBF"/>
    <w:rsid w:val="00DB70DD"/>
    <w:rsid w:val="00DC0809"/>
    <w:rsid w:val="00DC2C6D"/>
    <w:rsid w:val="00DD5903"/>
    <w:rsid w:val="00DF313B"/>
    <w:rsid w:val="00DF6258"/>
    <w:rsid w:val="00E11F51"/>
    <w:rsid w:val="00E20409"/>
    <w:rsid w:val="00E43942"/>
    <w:rsid w:val="00E479C3"/>
    <w:rsid w:val="00E561E7"/>
    <w:rsid w:val="00E6315A"/>
    <w:rsid w:val="00E71829"/>
    <w:rsid w:val="00E871CC"/>
    <w:rsid w:val="00EA3EEF"/>
    <w:rsid w:val="00EB204E"/>
    <w:rsid w:val="00EC1EF1"/>
    <w:rsid w:val="00ED760E"/>
    <w:rsid w:val="00EE7C23"/>
    <w:rsid w:val="00F0027B"/>
    <w:rsid w:val="00F13C61"/>
    <w:rsid w:val="00F160F6"/>
    <w:rsid w:val="00F356C4"/>
    <w:rsid w:val="00F53E25"/>
    <w:rsid w:val="00F72BA7"/>
    <w:rsid w:val="00F84E2F"/>
    <w:rsid w:val="00F853C7"/>
    <w:rsid w:val="00F9518B"/>
    <w:rsid w:val="00FA03DB"/>
    <w:rsid w:val="00FB0DDF"/>
    <w:rsid w:val="00FB266A"/>
    <w:rsid w:val="00FC13FC"/>
    <w:rsid w:val="00FD1873"/>
    <w:rsid w:val="00FE091C"/>
    <w:rsid w:val="00FE44BC"/>
    <w:rsid w:val="00FF0F60"/>
    <w:rsid w:val="00FF5BE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53046"/>
  <w15:chartTrackingRefBased/>
  <w15:docId w15:val="{FE24827B-7765-4720-ACCE-F966BF68F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4B1B62"/>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0887"/>
    <w:rPr>
      <w:color w:val="0563C1" w:themeColor="hyperlink"/>
      <w:u w:val="single"/>
    </w:rPr>
  </w:style>
  <w:style w:type="character" w:styleId="UnresolvedMention">
    <w:name w:val="Unresolved Mention"/>
    <w:basedOn w:val="DefaultParagraphFont"/>
    <w:uiPriority w:val="99"/>
    <w:semiHidden/>
    <w:unhideWhenUsed/>
    <w:rsid w:val="00350887"/>
    <w:rPr>
      <w:color w:val="605E5C"/>
      <w:shd w:val="clear" w:color="auto" w:fill="E1DFDD"/>
    </w:rPr>
  </w:style>
  <w:style w:type="paragraph" w:styleId="Revision">
    <w:name w:val="Revision"/>
    <w:hidden/>
    <w:uiPriority w:val="99"/>
    <w:semiHidden/>
    <w:rsid w:val="00115E0C"/>
    <w:pPr>
      <w:spacing w:after="0" w:line="240" w:lineRule="auto"/>
    </w:pPr>
  </w:style>
  <w:style w:type="paragraph" w:styleId="Header">
    <w:name w:val="header"/>
    <w:basedOn w:val="Normal"/>
    <w:link w:val="HeaderChar"/>
    <w:uiPriority w:val="99"/>
    <w:unhideWhenUsed/>
    <w:rsid w:val="001C57F5"/>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57F5"/>
  </w:style>
  <w:style w:type="paragraph" w:styleId="Footer">
    <w:name w:val="footer"/>
    <w:basedOn w:val="Normal"/>
    <w:link w:val="FooterChar"/>
    <w:uiPriority w:val="99"/>
    <w:unhideWhenUsed/>
    <w:rsid w:val="001C57F5"/>
    <w:pPr>
      <w:tabs>
        <w:tab w:val="center" w:pos="4819"/>
        <w:tab w:val="right" w:pos="9638"/>
      </w:tabs>
      <w:spacing w:after="0" w:line="240" w:lineRule="auto"/>
    </w:pPr>
  </w:style>
  <w:style w:type="character" w:customStyle="1" w:styleId="FooterChar">
    <w:name w:val="Footer Char"/>
    <w:basedOn w:val="DefaultParagraphFont"/>
    <w:link w:val="Footer"/>
    <w:uiPriority w:val="99"/>
    <w:rsid w:val="001C57F5"/>
  </w:style>
  <w:style w:type="character" w:customStyle="1" w:styleId="Heading3Char">
    <w:name w:val="Heading 3 Char"/>
    <w:basedOn w:val="DefaultParagraphFont"/>
    <w:link w:val="Heading3"/>
    <w:uiPriority w:val="9"/>
    <w:rsid w:val="004B1B62"/>
    <w:rPr>
      <w:rFonts w:ascii="Times New Roman" w:eastAsia="Times New Roman" w:hAnsi="Times New Roman" w:cs="Times New Roman"/>
      <w:b/>
      <w:bCs/>
      <w:sz w:val="27"/>
      <w:szCs w:val="27"/>
      <w:lang w:eastAsia="lt-LT"/>
    </w:rPr>
  </w:style>
  <w:style w:type="paragraph" w:styleId="NoSpacing">
    <w:name w:val="No Spacing"/>
    <w:uiPriority w:val="1"/>
    <w:qFormat/>
    <w:rsid w:val="00335937"/>
    <w:pPr>
      <w:spacing w:after="0" w:line="240" w:lineRule="auto"/>
    </w:pPr>
  </w:style>
  <w:style w:type="paragraph" w:styleId="NormalWeb">
    <w:name w:val="Normal (Web)"/>
    <w:basedOn w:val="Normal"/>
    <w:uiPriority w:val="99"/>
    <w:semiHidden/>
    <w:unhideWhenUsed/>
    <w:rsid w:val="001D283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1D2831"/>
    <w:rPr>
      <w:b/>
      <w:bCs/>
    </w:rPr>
  </w:style>
  <w:style w:type="paragraph" w:styleId="ListParagraph">
    <w:name w:val="List Paragraph"/>
    <w:basedOn w:val="Normal"/>
    <w:uiPriority w:val="34"/>
    <w:qFormat/>
    <w:rsid w:val="00F72B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9437491">
      <w:bodyDiv w:val="1"/>
      <w:marLeft w:val="0"/>
      <w:marRight w:val="0"/>
      <w:marTop w:val="0"/>
      <w:marBottom w:val="0"/>
      <w:divBdr>
        <w:top w:val="none" w:sz="0" w:space="0" w:color="auto"/>
        <w:left w:val="none" w:sz="0" w:space="0" w:color="auto"/>
        <w:bottom w:val="none" w:sz="0" w:space="0" w:color="auto"/>
        <w:right w:val="none" w:sz="0" w:space="0" w:color="auto"/>
      </w:divBdr>
    </w:div>
    <w:div w:id="1191843162">
      <w:bodyDiv w:val="1"/>
      <w:marLeft w:val="0"/>
      <w:marRight w:val="0"/>
      <w:marTop w:val="0"/>
      <w:marBottom w:val="0"/>
      <w:divBdr>
        <w:top w:val="none" w:sz="0" w:space="0" w:color="auto"/>
        <w:left w:val="none" w:sz="0" w:space="0" w:color="auto"/>
        <w:bottom w:val="none" w:sz="0" w:space="0" w:color="auto"/>
        <w:right w:val="none" w:sz="0" w:space="0" w:color="auto"/>
      </w:divBdr>
    </w:div>
    <w:div w:id="1722708120">
      <w:bodyDiv w:val="1"/>
      <w:marLeft w:val="0"/>
      <w:marRight w:val="0"/>
      <w:marTop w:val="0"/>
      <w:marBottom w:val="0"/>
      <w:divBdr>
        <w:top w:val="none" w:sz="0" w:space="0" w:color="auto"/>
        <w:left w:val="none" w:sz="0" w:space="0" w:color="auto"/>
        <w:bottom w:val="none" w:sz="0" w:space="0" w:color="auto"/>
        <w:right w:val="none" w:sz="0" w:space="0" w:color="auto"/>
      </w:divBdr>
      <w:divsChild>
        <w:div w:id="286547011">
          <w:marLeft w:val="0"/>
          <w:marRight w:val="0"/>
          <w:marTop w:val="0"/>
          <w:marBottom w:val="0"/>
          <w:divBdr>
            <w:top w:val="none" w:sz="0" w:space="0" w:color="auto"/>
            <w:left w:val="none" w:sz="0" w:space="0" w:color="auto"/>
            <w:bottom w:val="none" w:sz="0" w:space="0" w:color="auto"/>
            <w:right w:val="none" w:sz="0" w:space="0" w:color="auto"/>
          </w:divBdr>
        </w:div>
        <w:div w:id="275867710">
          <w:marLeft w:val="0"/>
          <w:marRight w:val="0"/>
          <w:marTop w:val="0"/>
          <w:marBottom w:val="0"/>
          <w:divBdr>
            <w:top w:val="none" w:sz="0" w:space="0" w:color="auto"/>
            <w:left w:val="none" w:sz="0" w:space="0" w:color="auto"/>
            <w:bottom w:val="none" w:sz="0" w:space="0" w:color="auto"/>
            <w:right w:val="none" w:sz="0" w:space="0" w:color="auto"/>
          </w:divBdr>
        </w:div>
        <w:div w:id="10982543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a.paliliuniene@advokatura.lt" TargetMode="External"/><Relationship Id="rId3" Type="http://schemas.openxmlformats.org/officeDocument/2006/relationships/settings" Target="settings.xml"/><Relationship Id="rId7" Type="http://schemas.openxmlformats.org/officeDocument/2006/relationships/hyperlink" Target="https://www.vrk.lt/documents/10180/790705/Referendumo+biuletenis/b677d97a-bd0f-4f19-911a-7f9953e2c9c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2087</Words>
  <Characters>1191</Characters>
  <Application>Microsoft Office Word</Application>
  <DocSecurity>4</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Stanišauskaitė</dc:creator>
  <cp:keywords/>
  <dc:description/>
  <cp:lastModifiedBy>Ieva Paliliūnienė</cp:lastModifiedBy>
  <cp:revision>2</cp:revision>
  <dcterms:created xsi:type="dcterms:W3CDTF">2024-05-07T05:31:00Z</dcterms:created>
  <dcterms:modified xsi:type="dcterms:W3CDTF">2024-05-07T05:31:00Z</dcterms:modified>
</cp:coreProperties>
</file>