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BDAA2" w14:textId="44C8BAF6" w:rsidR="0010282C" w:rsidRPr="008F4C5D" w:rsidRDefault="00F932FE" w:rsidP="00B50310">
      <w:pPr>
        <w:jc w:val="both"/>
        <w:rPr>
          <w:rFonts w:ascii="Roboto" w:hAnsi="Roboto"/>
          <w:b/>
          <w:bCs/>
          <w:sz w:val="22"/>
          <w:szCs w:val="22"/>
          <w:lang w:val="lt-LT"/>
        </w:rPr>
      </w:pPr>
      <w:r>
        <w:rPr>
          <w:rFonts w:ascii="Roboto" w:hAnsi="Roboto"/>
          <w:b/>
          <w:bCs/>
          <w:sz w:val="22"/>
          <w:szCs w:val="22"/>
          <w:lang w:val="lt-LT"/>
        </w:rPr>
        <w:t xml:space="preserve">Pranešimas </w:t>
      </w:r>
      <w:r w:rsidR="0010282C" w:rsidRPr="008F4C5D">
        <w:rPr>
          <w:rFonts w:ascii="Roboto" w:hAnsi="Roboto"/>
          <w:b/>
          <w:bCs/>
          <w:sz w:val="22"/>
          <w:szCs w:val="22"/>
          <w:lang w:val="lt-LT"/>
        </w:rPr>
        <w:t>žiniasklaidai</w:t>
      </w:r>
    </w:p>
    <w:p w14:paraId="3D9F7861" w14:textId="174980FB" w:rsidR="0010282C" w:rsidRPr="00DF616C" w:rsidRDefault="0010282C" w:rsidP="00B50310">
      <w:pPr>
        <w:spacing w:after="240"/>
        <w:jc w:val="both"/>
        <w:rPr>
          <w:rFonts w:ascii="Roboto" w:hAnsi="Roboto"/>
          <w:sz w:val="22"/>
          <w:szCs w:val="22"/>
          <w:lang w:val="lt-LT"/>
        </w:rPr>
      </w:pPr>
      <w:r w:rsidRPr="008F4C5D">
        <w:rPr>
          <w:rFonts w:ascii="Roboto" w:hAnsi="Roboto"/>
          <w:sz w:val="22"/>
          <w:szCs w:val="22"/>
          <w:lang w:val="lt-LT"/>
        </w:rPr>
        <w:t xml:space="preserve">2024 m. </w:t>
      </w:r>
      <w:r w:rsidR="00EF368A" w:rsidRPr="008F4C5D">
        <w:rPr>
          <w:rFonts w:ascii="Roboto" w:hAnsi="Roboto"/>
          <w:sz w:val="22"/>
          <w:szCs w:val="22"/>
          <w:lang w:val="lt-LT"/>
        </w:rPr>
        <w:t>gegužės</w:t>
      </w:r>
      <w:r w:rsidR="00675D3F" w:rsidRPr="008F4C5D">
        <w:rPr>
          <w:rFonts w:ascii="Roboto" w:hAnsi="Roboto"/>
          <w:sz w:val="22"/>
          <w:szCs w:val="22"/>
          <w:lang w:val="lt-LT"/>
        </w:rPr>
        <w:t xml:space="preserve"> </w:t>
      </w:r>
      <w:r w:rsidR="00F932FE">
        <w:rPr>
          <w:rFonts w:ascii="Roboto" w:hAnsi="Roboto"/>
          <w:sz w:val="22"/>
          <w:szCs w:val="22"/>
          <w:lang w:val="lt-LT"/>
        </w:rPr>
        <w:t>27</w:t>
      </w:r>
      <w:r w:rsidRPr="00DF616C">
        <w:rPr>
          <w:rFonts w:ascii="Roboto" w:hAnsi="Roboto"/>
          <w:sz w:val="22"/>
          <w:szCs w:val="22"/>
          <w:lang w:val="lt-LT"/>
        </w:rPr>
        <w:t xml:space="preserve"> d.</w:t>
      </w:r>
    </w:p>
    <w:p w14:paraId="4B7C1D2F" w14:textId="39B78994" w:rsidR="00F932FE" w:rsidRPr="00ED088D" w:rsidRDefault="00F932FE" w:rsidP="00B50310">
      <w:pPr>
        <w:spacing w:after="240"/>
        <w:jc w:val="both"/>
        <w:rPr>
          <w:rFonts w:ascii="Roboto" w:hAnsi="Roboto"/>
          <w:b/>
          <w:bCs/>
          <w:sz w:val="22"/>
          <w:szCs w:val="22"/>
          <w:lang w:val="lt-LT"/>
        </w:rPr>
      </w:pPr>
      <w:r w:rsidRPr="00ED088D">
        <w:rPr>
          <w:rFonts w:ascii="Roboto" w:hAnsi="Roboto"/>
          <w:b/>
          <w:bCs/>
          <w:sz w:val="22"/>
          <w:szCs w:val="22"/>
          <w:lang w:val="lt-LT"/>
        </w:rPr>
        <w:t xml:space="preserve">„Citadele“ bankas 2024 m. pirmąjį ketvirtį Baltijos šalyse suteikė 256 mln. eurų naujų paskolų </w:t>
      </w:r>
    </w:p>
    <w:p w14:paraId="4DDE5BB1" w14:textId="7D6C85DD"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„Citadele“ bankas ir toliau prisidėjo prie Baltijos šalių verslo bendruomenės stiprinimo, teikdamas finansavimą plėtrai. Privatiems klientams, smulkiojo, vidutinio ir stambiojo verslo įmonėms Baltijos šalyse pirmąjį 2024 m. ketvirtį suteiktas 256 mln. eurų finansavimas, o bendras banko paskolų portfelis siekė 2,911 mlrd. eurų. Tai yra 49 mln. eurais daugiau nei 2023 m. gruodžio 31 d. </w:t>
      </w:r>
    </w:p>
    <w:p w14:paraId="05D1424F" w14:textId="1CF8B1A1"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 xml:space="preserve">„Pirmojo ketvirčio rezultatai atspindi solidų banko įdirbį ir realybe virstantį mūsų ambicingą augimo siekį. Mūsų klientų finansinė padėtis yra stabili, o bankas ir toliau veikia, išlaikydamas aukštą portfelio kokybę, stiprius kapitalo ir likvidumo rodiklius bei remdamas vietos ekonomiką. Ekonominis ir geopolitinis neapibrėžtumas sulėtino mūsų strateginių galimybių vertinimo tempą. Nepaisant to, ir toliau svarstome įvairias plėtros galimybes, įskaitant IPO“, – sako „Citadele“ banko generalinis direktorius Johanas </w:t>
      </w:r>
      <w:proofErr w:type="spellStart"/>
      <w:r w:rsidRPr="0090381F">
        <w:rPr>
          <w:rFonts w:ascii="Roboto" w:hAnsi="Roboto"/>
          <w:sz w:val="22"/>
          <w:szCs w:val="22"/>
          <w:lang w:val="lt-LT"/>
        </w:rPr>
        <w:t>Åkerblomas</w:t>
      </w:r>
      <w:proofErr w:type="spellEnd"/>
      <w:r w:rsidRPr="0090381F">
        <w:rPr>
          <w:rFonts w:ascii="Roboto" w:hAnsi="Roboto"/>
          <w:sz w:val="22"/>
          <w:szCs w:val="22"/>
          <w:lang w:val="lt-LT"/>
        </w:rPr>
        <w:t>.</w:t>
      </w:r>
    </w:p>
    <w:p w14:paraId="65CB1525" w14:textId="0BC32BAF"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Inovacijos ir plėtra </w:t>
      </w:r>
    </w:p>
    <w:p w14:paraId="355EFFCC" w14:textId="596F82E8"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 xml:space="preserve">„Citadele“ yra pirmasis bankas Baltijos šalyse, pristatęs „GenAI“ pagrindu sukurtą pokalbių robotą „Adele“. Šiuo metu „Adele“ veikia Latvijoje, o per 2024 m. ji pradės veikti ir Lietuvoje bei Estijoje. </w:t>
      </w:r>
    </w:p>
    <w:p w14:paraId="37226CE8" w14:textId="25FDF02D"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 xml:space="preserve">Mobilioji programėlė taip pat pasipildė nauja funkcija, užduočių įrankiu, kuris padeda tėvams mokyti savo vaikus apie finansus. Tėvai sukuria užduotis, kurias atlikęs vaikas gauna finansinį atlygį.     </w:t>
      </w:r>
    </w:p>
    <w:p w14:paraId="536C9641" w14:textId="19F3A56C"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Tvarumo principais grįstų finansinių paslaugų pasiūlą išplėtė naujos mokėjimo kortelės, pagamintos iš 95 proc. perdirbto plastiko. Naujosios kortelės taip pat turi funkcijų, padedančių žmonėms su regėjimo negalia, pavyzdžiui, dėl kortelės krašte esančios įpjovos lengviau nustatyti pusę, kuria kortelę reikia įdėti į bankomatą arba kortelių skaitytuvą. Be to, kortelės pavadinimas parašytas Brailio raštu, kad būtų lengviau korteles atskirti.</w:t>
      </w:r>
    </w:p>
    <w:p w14:paraId="620A7152" w14:textId="331DE71E"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2024 m. kovo 31 d. duomenimis, „Citadele“ banko elektroninės prekybos sprendimu „Klix“ naudojosi 1 480 prekybininkų, registruotų vartotojų skaičius viršijo 306 tūkst., o aktyvių vartotojų skaičius siekė 46 tūkst. Per šį laikotarpį buvo atlikta 3,8 mln. operacijų, kurių bendra vertė – 148 mln. eurų. „Klix Mokėjimas dalimis“ paslauga suteikta finansavimo už 8 mln. eurų, palyginti su 11 mln. eurų per visus 2023 m. „Klix“ pirmąjį šių metų ketvirtį pradėjo bendradarbiauti su lyderiaujančiomis mažmeninėmis parduotuvėmis Baltijos šalyse, tarp kurių – pasaulinio lygio baldų parduotuvė bei „</w:t>
      </w:r>
      <w:proofErr w:type="spellStart"/>
      <w:r w:rsidRPr="0090381F">
        <w:rPr>
          <w:rFonts w:ascii="Roboto" w:hAnsi="Roboto"/>
          <w:sz w:val="22"/>
          <w:szCs w:val="22"/>
          <w:lang w:val="lt-LT"/>
        </w:rPr>
        <w:t>Kesko</w:t>
      </w:r>
      <w:proofErr w:type="spellEnd"/>
      <w:r w:rsidRPr="0090381F">
        <w:rPr>
          <w:rFonts w:ascii="Roboto" w:hAnsi="Roboto"/>
          <w:sz w:val="22"/>
          <w:szCs w:val="22"/>
          <w:lang w:val="lt-LT"/>
        </w:rPr>
        <w:t xml:space="preserve"> Senukai Digital“.</w:t>
      </w:r>
    </w:p>
    <w:p w14:paraId="20BF31DE" w14:textId="1D383D4C"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„Moody’s“ patvirtino „Citadele“ banko reitingą ir pagerino perspektyvą </w:t>
      </w:r>
    </w:p>
    <w:p w14:paraId="3D65C5B0" w14:textId="5D9B0FDE" w:rsidR="0090381F" w:rsidRDefault="0090381F" w:rsidP="00B50310">
      <w:pPr>
        <w:spacing w:after="240"/>
        <w:jc w:val="both"/>
        <w:rPr>
          <w:rFonts w:ascii="Roboto" w:hAnsi="Roboto"/>
          <w:sz w:val="22"/>
          <w:szCs w:val="22"/>
          <w:lang w:val="lt-LT"/>
        </w:rPr>
      </w:pPr>
      <w:r w:rsidRPr="0090381F">
        <w:rPr>
          <w:rFonts w:ascii="Roboto" w:hAnsi="Roboto"/>
          <w:sz w:val="22"/>
          <w:szCs w:val="22"/>
          <w:lang w:val="lt-LT"/>
        </w:rPr>
        <w:t xml:space="preserve">2024 m. sausio 25 d. tarptautinė kredito reitingų agentūra „Moody’s“ patvirtino „Citadele“ banko kredito reitingą Baa2 ir pakeitė jo perspektyvą į teigiamą. Ilgalaikių indėlių ir pagrindinės neužtikrintos skolos reitingai buvo pakeisti į teigiamus iš stabilių – tai atspindi „Moody’s“ požiūrį, kad banko kapitalas ir toliau stiprės per ateinančius 12–18 mėnesių dėl didesnio tvaraus pelningumo ir stabilios kredito kokybės. </w:t>
      </w:r>
    </w:p>
    <w:p w14:paraId="000BD8B8" w14:textId="77777777" w:rsidR="0090381F" w:rsidRPr="0090381F" w:rsidRDefault="0090381F" w:rsidP="00B50310">
      <w:pPr>
        <w:spacing w:after="240"/>
        <w:jc w:val="both"/>
        <w:rPr>
          <w:rFonts w:ascii="Roboto" w:hAnsi="Roboto"/>
          <w:sz w:val="22"/>
          <w:szCs w:val="22"/>
          <w:lang w:val="lt-LT"/>
        </w:rPr>
      </w:pPr>
    </w:p>
    <w:p w14:paraId="64758F5B" w14:textId="11944675"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lastRenderedPageBreak/>
        <w:t xml:space="preserve">Patvirtindama „Citadele“ ilgalaikį indėlių Baa2 reitingą ir pagrindinės neužtikrintos skolos Baa3 reitingą, „Moody's“ atsižvelgė į 2023 m. augusias „Citadele“ banko pajamas bei prognozuoja, kad per kitus ketvirčius bankas išlaikys didelį pelną ir gerą kredito kokybę bei padidins kapitalizaciją. </w:t>
      </w:r>
    </w:p>
    <w:p w14:paraId="3FD7080D" w14:textId="005FB2AD"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„Citadele“ bankas išplatino tris kartus paklausą viršijusią obligacijų emisiją   </w:t>
      </w:r>
    </w:p>
    <w:p w14:paraId="0BF547B1" w14:textId="729C4D43"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Bankas sėkmingai išplatino 20 mln. eurų vertės neužtikrintų subordinuotų obligacijų emisiją, kurios paklausa pasiūlą viršijo tris kartus. Tai – puikus įvertinimas, atspindintis investuotojų pasitikėjimą „Citadele“ banko finansiniu pajėgimu ir strategine kryptimi.</w:t>
      </w:r>
    </w:p>
    <w:p w14:paraId="4A121F51" w14:textId="714D0B55"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Emisijos tikslas – toliau stiprinti „Citadele“ banko reguliuojamojo kapitalo struktūrą, įskaitant naudojimą kaip „Citadele“ subordinuotąjį kapitalą pagal Kapitalo Reikalavimų Reglamentą (CRR) ir visus kitus 2 lygio kapitalui taikomus reikalavimus. Iš viso išleista 2000</w:t>
      </w:r>
      <w:r>
        <w:rPr>
          <w:rFonts w:ascii="Roboto" w:hAnsi="Roboto"/>
          <w:sz w:val="22"/>
          <w:szCs w:val="22"/>
          <w:lang w:val="lt-LT"/>
        </w:rPr>
        <w:t xml:space="preserve"> </w:t>
      </w:r>
      <w:r w:rsidRPr="0090381F">
        <w:rPr>
          <w:rFonts w:ascii="Roboto" w:hAnsi="Roboto"/>
          <w:sz w:val="22"/>
          <w:szCs w:val="22"/>
          <w:lang w:val="lt-LT"/>
        </w:rPr>
        <w:t>subordinuotų obligacijų, kurių nominali vertė – 10 000 eurų. Už 10 m. trukmės obligacijas bus mokamos fiksuotos 8 proc. metinės palūkanos. Obligacijos įtrauktos į Baltijos obligacijų sąrašą „</w:t>
      </w:r>
      <w:proofErr w:type="spellStart"/>
      <w:r w:rsidRPr="0090381F">
        <w:rPr>
          <w:rFonts w:ascii="Roboto" w:hAnsi="Roboto"/>
          <w:sz w:val="22"/>
          <w:szCs w:val="22"/>
          <w:lang w:val="lt-LT"/>
        </w:rPr>
        <w:t>Nasdaq</w:t>
      </w:r>
      <w:proofErr w:type="spellEnd"/>
      <w:r w:rsidRPr="0090381F">
        <w:rPr>
          <w:rFonts w:ascii="Roboto" w:hAnsi="Roboto"/>
          <w:sz w:val="22"/>
          <w:szCs w:val="22"/>
          <w:lang w:val="lt-LT"/>
        </w:rPr>
        <w:t>“ Rygos biržoje.</w:t>
      </w:r>
    </w:p>
    <w:p w14:paraId="54AACD4B" w14:textId="33B8AFCB"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Pakeitimai valdyboje  </w:t>
      </w:r>
    </w:p>
    <w:p w14:paraId="0F6EADFC" w14:textId="4F3CD896"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 xml:space="preserve">Johanas Åkerblomas, valdybos pirmininkas ir generalinis direktorius, paskelbė apie savo sprendimą atsistatydinti. „Citadele“ naująja valdybos pirmininke ir generaline direktore paskyrė Rūtą Ežerskienę, šiuo metu einančią valdybos narės ir Mažmeninės bankininkystės Baltijos šalyse vadovės pareigas. Kartu su Rūtos Ežerskienės paskyrimu Jean Yves Hocher paskirtas vyresniuoju valdybos patarėju. Solidi Jean Yves Hocher tarptautinės bankininkystės Vakarų Europos ir globaliose rinkose patirtis prisidės prie tolimesnio „Citadele“ banko augimo. </w:t>
      </w:r>
    </w:p>
    <w:p w14:paraId="792991B3" w14:textId="6C4DC429" w:rsidR="00ED088D"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 xml:space="preserve">Dividendų mokėjimas  </w:t>
      </w:r>
    </w:p>
    <w:p w14:paraId="61D73175" w14:textId="7E6B58A5" w:rsidR="00ED088D"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„Citadele“ bankas paskirstė dividendų už 50,6 mln. eurų, tai yra, 0,32 euro už vieną akciją. Šis dividendų išmokėjimas atitinka banko 50 proc. dividendų politiką bei patvirtina tvarų banko augimą, tvirtą kapitalo padėtį ir stabilų balansą.</w:t>
      </w:r>
    </w:p>
    <w:p w14:paraId="783790C2" w14:textId="77777777" w:rsidR="0090381F" w:rsidRPr="0090381F" w:rsidRDefault="0090381F" w:rsidP="00B50310">
      <w:pPr>
        <w:spacing w:after="240"/>
        <w:jc w:val="both"/>
        <w:rPr>
          <w:rFonts w:ascii="Roboto" w:hAnsi="Roboto"/>
          <w:b/>
          <w:bCs/>
          <w:sz w:val="22"/>
          <w:szCs w:val="22"/>
          <w:lang w:val="lt-LT"/>
        </w:rPr>
      </w:pPr>
      <w:r w:rsidRPr="0090381F">
        <w:rPr>
          <w:rFonts w:ascii="Roboto" w:hAnsi="Roboto"/>
          <w:b/>
          <w:bCs/>
          <w:sz w:val="22"/>
          <w:szCs w:val="22"/>
          <w:lang w:val="lt-LT"/>
        </w:rPr>
        <w:t>Finansiniai 2024 m. pirmojo ketvirčio rodikliai:</w:t>
      </w:r>
    </w:p>
    <w:p w14:paraId="06B9587E" w14:textId="77777777"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Veiklos pajamos – 57,8 mln. eurų.</w:t>
      </w:r>
    </w:p>
    <w:p w14:paraId="0F84908D" w14:textId="77777777"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Grynasis pelnas – 25,6 mln. eurų.</w:t>
      </w:r>
    </w:p>
    <w:p w14:paraId="6BAA1C3B" w14:textId="77777777"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„Citadele“ banko bendras paskolų portfelis – 2,911 mlrd. eurų.</w:t>
      </w:r>
    </w:p>
    <w:p w14:paraId="7809E74F" w14:textId="77777777" w:rsidR="0090381F" w:rsidRPr="0090381F" w:rsidRDefault="0090381F" w:rsidP="00B50310">
      <w:pPr>
        <w:spacing w:after="240"/>
        <w:jc w:val="both"/>
        <w:rPr>
          <w:rFonts w:ascii="Roboto" w:hAnsi="Roboto"/>
          <w:sz w:val="22"/>
          <w:szCs w:val="22"/>
          <w:lang w:val="lt-LT"/>
        </w:rPr>
      </w:pPr>
      <w:r w:rsidRPr="0090381F">
        <w:rPr>
          <w:rFonts w:ascii="Roboto" w:hAnsi="Roboto"/>
          <w:sz w:val="22"/>
          <w:szCs w:val="22"/>
          <w:lang w:val="lt-LT"/>
        </w:rPr>
        <w:t>Klientų indėliai – 3,737 mlrd. eurų.</w:t>
      </w:r>
    </w:p>
    <w:p w14:paraId="4E33D39C" w14:textId="2CE5DFCB" w:rsidR="000A5EE2" w:rsidRPr="00DF616C" w:rsidRDefault="000A5EE2" w:rsidP="00B50310">
      <w:pPr>
        <w:spacing w:after="240"/>
        <w:jc w:val="both"/>
        <w:rPr>
          <w:rFonts w:ascii="Roboto" w:eastAsia="Times New Roman" w:hAnsi="Roboto" w:cs="Times New Roman"/>
          <w:sz w:val="22"/>
          <w:szCs w:val="22"/>
          <w:shd w:val="clear" w:color="auto" w:fill="FFFFFF"/>
          <w:lang w:val="lt-LT" w:eastAsia="en-GB"/>
        </w:rPr>
      </w:pPr>
    </w:p>
    <w:sectPr w:rsidR="000A5EE2" w:rsidRPr="00DF616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FCBDC" w14:textId="77777777" w:rsidR="00F40AC7" w:rsidRDefault="00F40AC7" w:rsidP="0010282C">
      <w:r>
        <w:separator/>
      </w:r>
    </w:p>
  </w:endnote>
  <w:endnote w:type="continuationSeparator" w:id="0">
    <w:p w14:paraId="312BFB29" w14:textId="77777777" w:rsidR="00F40AC7" w:rsidRDefault="00F40AC7" w:rsidP="0010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31864" w14:textId="77777777" w:rsidR="00F40AC7" w:rsidRDefault="00F40AC7" w:rsidP="0010282C">
      <w:r>
        <w:separator/>
      </w:r>
    </w:p>
  </w:footnote>
  <w:footnote w:type="continuationSeparator" w:id="0">
    <w:p w14:paraId="5D1DF863" w14:textId="77777777" w:rsidR="00F40AC7" w:rsidRDefault="00F40AC7" w:rsidP="00102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7493" w14:textId="0F2B8A08" w:rsidR="0010282C" w:rsidRDefault="0010282C">
    <w:pPr>
      <w:pStyle w:val="Header"/>
    </w:pPr>
    <w:r>
      <w:rPr>
        <w:noProof/>
      </w:rPr>
      <w:drawing>
        <wp:anchor distT="0" distB="0" distL="114300" distR="114300" simplePos="0" relativeHeight="251659264" behindDoc="1" locked="0" layoutInCell="1" allowOverlap="1" wp14:anchorId="145B011E" wp14:editId="7AA99DBB">
          <wp:simplePos x="0" y="0"/>
          <wp:positionH relativeFrom="column">
            <wp:posOffset>5092995</wp:posOffset>
          </wp:positionH>
          <wp:positionV relativeFrom="paragraph">
            <wp:posOffset>-247975</wp:posOffset>
          </wp:positionV>
          <wp:extent cx="1311910" cy="659765"/>
          <wp:effectExtent l="0" t="0" r="0" b="635"/>
          <wp:wrapTight wrapText="bothSides">
            <wp:wrapPolygon edited="0">
              <wp:start x="0" y="0"/>
              <wp:lineTo x="0" y="21205"/>
              <wp:lineTo x="21328" y="2120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65976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20F40"/>
    <w:multiLevelType w:val="multilevel"/>
    <w:tmpl w:val="8C22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A4D4FA7"/>
    <w:multiLevelType w:val="hybridMultilevel"/>
    <w:tmpl w:val="B1B86DAA"/>
    <w:lvl w:ilvl="0" w:tplc="AD763000">
      <w:start w:val="1"/>
      <w:numFmt w:val="decimal"/>
      <w:lvlText w:val="%1."/>
      <w:lvlJc w:val="left"/>
      <w:pPr>
        <w:ind w:left="420" w:hanging="360"/>
      </w:pPr>
      <w:rPr>
        <w:rFonts w:hint="default"/>
      </w:rPr>
    </w:lvl>
    <w:lvl w:ilvl="1" w:tplc="08090019">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16cid:durableId="2061779566">
    <w:abstractNumId w:val="0"/>
  </w:num>
  <w:num w:numId="2" w16cid:durableId="1289244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20F"/>
    <w:rsid w:val="0000702B"/>
    <w:rsid w:val="00016A39"/>
    <w:rsid w:val="0002549F"/>
    <w:rsid w:val="0004395A"/>
    <w:rsid w:val="0005649E"/>
    <w:rsid w:val="00060D6D"/>
    <w:rsid w:val="000773DC"/>
    <w:rsid w:val="00081846"/>
    <w:rsid w:val="00090BEB"/>
    <w:rsid w:val="000A2BB1"/>
    <w:rsid w:val="000A5EE2"/>
    <w:rsid w:val="000D2474"/>
    <w:rsid w:val="000E2D6B"/>
    <w:rsid w:val="000E71D8"/>
    <w:rsid w:val="000F2EB2"/>
    <w:rsid w:val="0010282C"/>
    <w:rsid w:val="00104707"/>
    <w:rsid w:val="00121099"/>
    <w:rsid w:val="00135306"/>
    <w:rsid w:val="00145575"/>
    <w:rsid w:val="001633F9"/>
    <w:rsid w:val="00175025"/>
    <w:rsid w:val="00196489"/>
    <w:rsid w:val="001E4223"/>
    <w:rsid w:val="001F050E"/>
    <w:rsid w:val="001F4F38"/>
    <w:rsid w:val="00214B23"/>
    <w:rsid w:val="00215463"/>
    <w:rsid w:val="00216E88"/>
    <w:rsid w:val="0022583C"/>
    <w:rsid w:val="002547C8"/>
    <w:rsid w:val="00256F46"/>
    <w:rsid w:val="00261277"/>
    <w:rsid w:val="002923D9"/>
    <w:rsid w:val="002A4A73"/>
    <w:rsid w:val="002C14FA"/>
    <w:rsid w:val="002C1F72"/>
    <w:rsid w:val="002C6DFB"/>
    <w:rsid w:val="002D5F4D"/>
    <w:rsid w:val="002E778B"/>
    <w:rsid w:val="002F1100"/>
    <w:rsid w:val="002F4019"/>
    <w:rsid w:val="002F5371"/>
    <w:rsid w:val="00325A10"/>
    <w:rsid w:val="00344926"/>
    <w:rsid w:val="003562CD"/>
    <w:rsid w:val="003661D4"/>
    <w:rsid w:val="003B4A2D"/>
    <w:rsid w:val="003B4CEF"/>
    <w:rsid w:val="003C743C"/>
    <w:rsid w:val="003E0556"/>
    <w:rsid w:val="003E442A"/>
    <w:rsid w:val="003F044E"/>
    <w:rsid w:val="003F0AC2"/>
    <w:rsid w:val="003F1566"/>
    <w:rsid w:val="00400978"/>
    <w:rsid w:val="004051A3"/>
    <w:rsid w:val="004556C6"/>
    <w:rsid w:val="004800C4"/>
    <w:rsid w:val="004A0B9A"/>
    <w:rsid w:val="004A4FC3"/>
    <w:rsid w:val="004F0BF5"/>
    <w:rsid w:val="004F2F32"/>
    <w:rsid w:val="004F58CB"/>
    <w:rsid w:val="004F7456"/>
    <w:rsid w:val="00514CAA"/>
    <w:rsid w:val="00531BDF"/>
    <w:rsid w:val="005322CF"/>
    <w:rsid w:val="00541E12"/>
    <w:rsid w:val="005576DB"/>
    <w:rsid w:val="00557DC8"/>
    <w:rsid w:val="0057256B"/>
    <w:rsid w:val="00576B9C"/>
    <w:rsid w:val="00583AA4"/>
    <w:rsid w:val="00595855"/>
    <w:rsid w:val="005C02E8"/>
    <w:rsid w:val="00626FFD"/>
    <w:rsid w:val="00675D3F"/>
    <w:rsid w:val="00684E5D"/>
    <w:rsid w:val="0069723F"/>
    <w:rsid w:val="006C4A29"/>
    <w:rsid w:val="006E3680"/>
    <w:rsid w:val="006E7283"/>
    <w:rsid w:val="006F7F91"/>
    <w:rsid w:val="00711DCC"/>
    <w:rsid w:val="00724EA8"/>
    <w:rsid w:val="007303D2"/>
    <w:rsid w:val="00744441"/>
    <w:rsid w:val="00775398"/>
    <w:rsid w:val="00777144"/>
    <w:rsid w:val="00787AD9"/>
    <w:rsid w:val="00787EB0"/>
    <w:rsid w:val="007A38A9"/>
    <w:rsid w:val="007D3317"/>
    <w:rsid w:val="00833C4D"/>
    <w:rsid w:val="00846048"/>
    <w:rsid w:val="00855E43"/>
    <w:rsid w:val="00867B1F"/>
    <w:rsid w:val="00882D7C"/>
    <w:rsid w:val="008838B9"/>
    <w:rsid w:val="00883997"/>
    <w:rsid w:val="00885DE1"/>
    <w:rsid w:val="008A0ABA"/>
    <w:rsid w:val="008A6720"/>
    <w:rsid w:val="008B2FB1"/>
    <w:rsid w:val="008B4A5C"/>
    <w:rsid w:val="008B7A04"/>
    <w:rsid w:val="008C2D9B"/>
    <w:rsid w:val="008C324E"/>
    <w:rsid w:val="008F4C5D"/>
    <w:rsid w:val="00900063"/>
    <w:rsid w:val="0090381F"/>
    <w:rsid w:val="009040F7"/>
    <w:rsid w:val="00910163"/>
    <w:rsid w:val="0091608C"/>
    <w:rsid w:val="00917B48"/>
    <w:rsid w:val="009373B6"/>
    <w:rsid w:val="00940F9A"/>
    <w:rsid w:val="00944480"/>
    <w:rsid w:val="00950E0E"/>
    <w:rsid w:val="009530B2"/>
    <w:rsid w:val="00954AAB"/>
    <w:rsid w:val="009604D5"/>
    <w:rsid w:val="00964793"/>
    <w:rsid w:val="00964A1F"/>
    <w:rsid w:val="009952B8"/>
    <w:rsid w:val="009B2A80"/>
    <w:rsid w:val="009C4879"/>
    <w:rsid w:val="009C57F8"/>
    <w:rsid w:val="00A55837"/>
    <w:rsid w:val="00A56D94"/>
    <w:rsid w:val="00A63ED0"/>
    <w:rsid w:val="00A8453C"/>
    <w:rsid w:val="00AA08E4"/>
    <w:rsid w:val="00AA25FC"/>
    <w:rsid w:val="00AC5EC1"/>
    <w:rsid w:val="00AC6485"/>
    <w:rsid w:val="00AE0D10"/>
    <w:rsid w:val="00B03DF7"/>
    <w:rsid w:val="00B11F60"/>
    <w:rsid w:val="00B1502E"/>
    <w:rsid w:val="00B46E6A"/>
    <w:rsid w:val="00B50310"/>
    <w:rsid w:val="00B6201E"/>
    <w:rsid w:val="00B917DB"/>
    <w:rsid w:val="00B93523"/>
    <w:rsid w:val="00BB0FA4"/>
    <w:rsid w:val="00BB1399"/>
    <w:rsid w:val="00BB649D"/>
    <w:rsid w:val="00BC2393"/>
    <w:rsid w:val="00BC40BC"/>
    <w:rsid w:val="00BC6116"/>
    <w:rsid w:val="00BD1520"/>
    <w:rsid w:val="00BD3977"/>
    <w:rsid w:val="00C0210D"/>
    <w:rsid w:val="00C04C31"/>
    <w:rsid w:val="00C15386"/>
    <w:rsid w:val="00C21DDD"/>
    <w:rsid w:val="00C34667"/>
    <w:rsid w:val="00C34C2F"/>
    <w:rsid w:val="00C51733"/>
    <w:rsid w:val="00C517EE"/>
    <w:rsid w:val="00C65413"/>
    <w:rsid w:val="00C7460C"/>
    <w:rsid w:val="00C74AEC"/>
    <w:rsid w:val="00C8286B"/>
    <w:rsid w:val="00C927B2"/>
    <w:rsid w:val="00C958E3"/>
    <w:rsid w:val="00CA2935"/>
    <w:rsid w:val="00CD71CF"/>
    <w:rsid w:val="00D055B5"/>
    <w:rsid w:val="00D06200"/>
    <w:rsid w:val="00D10613"/>
    <w:rsid w:val="00D12615"/>
    <w:rsid w:val="00D4395F"/>
    <w:rsid w:val="00D70060"/>
    <w:rsid w:val="00D7159B"/>
    <w:rsid w:val="00D77C90"/>
    <w:rsid w:val="00DA762C"/>
    <w:rsid w:val="00DC5E8B"/>
    <w:rsid w:val="00DE7839"/>
    <w:rsid w:val="00DF616C"/>
    <w:rsid w:val="00DF7AA0"/>
    <w:rsid w:val="00E07592"/>
    <w:rsid w:val="00E23979"/>
    <w:rsid w:val="00E30529"/>
    <w:rsid w:val="00E317EB"/>
    <w:rsid w:val="00E34176"/>
    <w:rsid w:val="00E57FC6"/>
    <w:rsid w:val="00E60F24"/>
    <w:rsid w:val="00E764E1"/>
    <w:rsid w:val="00E82D9A"/>
    <w:rsid w:val="00EA1783"/>
    <w:rsid w:val="00EB6D53"/>
    <w:rsid w:val="00EC6A86"/>
    <w:rsid w:val="00ED088D"/>
    <w:rsid w:val="00ED0CA8"/>
    <w:rsid w:val="00ED0F65"/>
    <w:rsid w:val="00ED2436"/>
    <w:rsid w:val="00EF188F"/>
    <w:rsid w:val="00EF368A"/>
    <w:rsid w:val="00EF520F"/>
    <w:rsid w:val="00EF791B"/>
    <w:rsid w:val="00F33485"/>
    <w:rsid w:val="00F40AC7"/>
    <w:rsid w:val="00F4464B"/>
    <w:rsid w:val="00F932FE"/>
    <w:rsid w:val="00FB3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AB549"/>
  <w15:chartTrackingRefBased/>
  <w15:docId w15:val="{10CD2970-F182-BE42-8C2C-C47C8293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2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F52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2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2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2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2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2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2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2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2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F52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2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2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2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2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2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2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20F"/>
    <w:rPr>
      <w:rFonts w:eastAsiaTheme="majorEastAsia" w:cstheme="majorBidi"/>
      <w:color w:val="272727" w:themeColor="text1" w:themeTint="D8"/>
    </w:rPr>
  </w:style>
  <w:style w:type="paragraph" w:styleId="Title">
    <w:name w:val="Title"/>
    <w:basedOn w:val="Normal"/>
    <w:next w:val="Normal"/>
    <w:link w:val="TitleChar"/>
    <w:uiPriority w:val="10"/>
    <w:qFormat/>
    <w:rsid w:val="00EF52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2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20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2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2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520F"/>
    <w:rPr>
      <w:i/>
      <w:iCs/>
      <w:color w:val="404040" w:themeColor="text1" w:themeTint="BF"/>
    </w:rPr>
  </w:style>
  <w:style w:type="paragraph" w:styleId="ListParagraph">
    <w:name w:val="List Paragraph"/>
    <w:basedOn w:val="Normal"/>
    <w:uiPriority w:val="34"/>
    <w:qFormat/>
    <w:rsid w:val="00EF520F"/>
    <w:pPr>
      <w:ind w:left="720"/>
      <w:contextualSpacing/>
    </w:pPr>
  </w:style>
  <w:style w:type="character" w:styleId="IntenseEmphasis">
    <w:name w:val="Intense Emphasis"/>
    <w:basedOn w:val="DefaultParagraphFont"/>
    <w:uiPriority w:val="21"/>
    <w:qFormat/>
    <w:rsid w:val="00EF520F"/>
    <w:rPr>
      <w:i/>
      <w:iCs/>
      <w:color w:val="0F4761" w:themeColor="accent1" w:themeShade="BF"/>
    </w:rPr>
  </w:style>
  <w:style w:type="paragraph" w:styleId="IntenseQuote">
    <w:name w:val="Intense Quote"/>
    <w:basedOn w:val="Normal"/>
    <w:next w:val="Normal"/>
    <w:link w:val="IntenseQuoteChar"/>
    <w:uiPriority w:val="30"/>
    <w:qFormat/>
    <w:rsid w:val="00EF52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20F"/>
    <w:rPr>
      <w:i/>
      <w:iCs/>
      <w:color w:val="0F4761" w:themeColor="accent1" w:themeShade="BF"/>
    </w:rPr>
  </w:style>
  <w:style w:type="character" w:styleId="IntenseReference">
    <w:name w:val="Intense Reference"/>
    <w:basedOn w:val="DefaultParagraphFont"/>
    <w:uiPriority w:val="32"/>
    <w:qFormat/>
    <w:rsid w:val="00EF520F"/>
    <w:rPr>
      <w:b/>
      <w:bCs/>
      <w:smallCaps/>
      <w:color w:val="0F4761" w:themeColor="accent1" w:themeShade="BF"/>
      <w:spacing w:val="5"/>
    </w:rPr>
  </w:style>
  <w:style w:type="character" w:customStyle="1" w:styleId="apple-converted-space">
    <w:name w:val="apple-converted-space"/>
    <w:basedOn w:val="DefaultParagraphFont"/>
    <w:rsid w:val="00EF520F"/>
  </w:style>
  <w:style w:type="paragraph" w:customStyle="1" w:styleId="p3">
    <w:name w:val="p3"/>
    <w:basedOn w:val="Normal"/>
    <w:rsid w:val="00CA2935"/>
    <w:rPr>
      <w:rFonts w:ascii="Helvetica Neue" w:eastAsia="Times New Roman" w:hAnsi="Helvetica Neue" w:cs="Aptos"/>
      <w:sz w:val="20"/>
      <w:szCs w:val="20"/>
      <w:lang w:eastAsia="en-GB"/>
    </w:rPr>
  </w:style>
  <w:style w:type="paragraph" w:customStyle="1" w:styleId="p2">
    <w:name w:val="p2"/>
    <w:basedOn w:val="Normal"/>
    <w:rsid w:val="00CA2935"/>
    <w:pPr>
      <w:spacing w:before="100" w:beforeAutospacing="1" w:after="100" w:afterAutospacing="1"/>
    </w:pPr>
    <w:rPr>
      <w:rFonts w:ascii="Times New Roman" w:eastAsia="Times New Roman" w:hAnsi="Times New Roman" w:cs="Times New Roman"/>
      <w:lang w:eastAsia="en-GB"/>
    </w:rPr>
  </w:style>
  <w:style w:type="character" w:customStyle="1" w:styleId="s1">
    <w:name w:val="s1"/>
    <w:basedOn w:val="DefaultParagraphFont"/>
    <w:rsid w:val="00CA2935"/>
  </w:style>
  <w:style w:type="character" w:styleId="Hyperlink">
    <w:name w:val="Hyperlink"/>
    <w:basedOn w:val="DefaultParagraphFont"/>
    <w:uiPriority w:val="99"/>
    <w:unhideWhenUsed/>
    <w:rsid w:val="00CA2935"/>
    <w:rPr>
      <w:color w:val="0000FF"/>
      <w:u w:val="single"/>
    </w:rPr>
  </w:style>
  <w:style w:type="paragraph" w:customStyle="1" w:styleId="p4">
    <w:name w:val="p4"/>
    <w:basedOn w:val="Normal"/>
    <w:rsid w:val="00CA2935"/>
    <w:pPr>
      <w:spacing w:before="100" w:beforeAutospacing="1" w:after="100" w:afterAutospacing="1"/>
    </w:pPr>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C74AEC"/>
    <w:rPr>
      <w:color w:val="605E5C"/>
      <w:shd w:val="clear" w:color="auto" w:fill="E1DFDD"/>
    </w:rPr>
  </w:style>
  <w:style w:type="character" w:styleId="FollowedHyperlink">
    <w:name w:val="FollowedHyperlink"/>
    <w:basedOn w:val="DefaultParagraphFont"/>
    <w:uiPriority w:val="99"/>
    <w:semiHidden/>
    <w:unhideWhenUsed/>
    <w:rsid w:val="00C74AEC"/>
    <w:rPr>
      <w:color w:val="96607D" w:themeColor="followedHyperlink"/>
      <w:u w:val="single"/>
    </w:rPr>
  </w:style>
  <w:style w:type="paragraph" w:styleId="Header">
    <w:name w:val="header"/>
    <w:basedOn w:val="Normal"/>
    <w:link w:val="HeaderChar"/>
    <w:uiPriority w:val="99"/>
    <w:unhideWhenUsed/>
    <w:rsid w:val="0010282C"/>
    <w:pPr>
      <w:tabs>
        <w:tab w:val="center" w:pos="4513"/>
        <w:tab w:val="right" w:pos="9026"/>
      </w:tabs>
    </w:pPr>
  </w:style>
  <w:style w:type="character" w:customStyle="1" w:styleId="HeaderChar">
    <w:name w:val="Header Char"/>
    <w:basedOn w:val="DefaultParagraphFont"/>
    <w:link w:val="Header"/>
    <w:uiPriority w:val="99"/>
    <w:rsid w:val="0010282C"/>
  </w:style>
  <w:style w:type="paragraph" w:styleId="Footer">
    <w:name w:val="footer"/>
    <w:basedOn w:val="Normal"/>
    <w:link w:val="FooterChar"/>
    <w:uiPriority w:val="99"/>
    <w:unhideWhenUsed/>
    <w:rsid w:val="0010282C"/>
    <w:pPr>
      <w:tabs>
        <w:tab w:val="center" w:pos="4513"/>
        <w:tab w:val="right" w:pos="9026"/>
      </w:tabs>
    </w:pPr>
  </w:style>
  <w:style w:type="character" w:customStyle="1" w:styleId="FooterChar">
    <w:name w:val="Footer Char"/>
    <w:basedOn w:val="DefaultParagraphFont"/>
    <w:link w:val="Footer"/>
    <w:uiPriority w:val="99"/>
    <w:rsid w:val="0010282C"/>
  </w:style>
  <w:style w:type="paragraph" w:styleId="NormalWeb">
    <w:name w:val="Normal (Web)"/>
    <w:basedOn w:val="Normal"/>
    <w:uiPriority w:val="99"/>
    <w:semiHidden/>
    <w:unhideWhenUsed/>
    <w:rsid w:val="00060D6D"/>
    <w:pPr>
      <w:spacing w:before="100" w:beforeAutospacing="1" w:after="100" w:afterAutospacing="1"/>
    </w:pPr>
    <w:rPr>
      <w:rFonts w:ascii="Times New Roman" w:eastAsia="Times New Roman" w:hAnsi="Times New Roman" w:cs="Times New Roman"/>
      <w:lang w:eastAsia="en-GB"/>
    </w:rPr>
  </w:style>
  <w:style w:type="paragraph" w:customStyle="1" w:styleId="comment">
    <w:name w:val="comment"/>
    <w:basedOn w:val="Normal"/>
    <w:rsid w:val="00D06200"/>
    <w:pPr>
      <w:spacing w:before="100" w:beforeAutospacing="1" w:after="100" w:afterAutospacing="1"/>
    </w:pPr>
    <w:rPr>
      <w:rFonts w:ascii="Times New Roman" w:eastAsia="Times New Roman" w:hAnsi="Times New Roman" w:cs="Times New Roman"/>
    </w:rPr>
  </w:style>
  <w:style w:type="paragraph" w:styleId="Revision">
    <w:name w:val="Revision"/>
    <w:hidden/>
    <w:uiPriority w:val="99"/>
    <w:semiHidden/>
    <w:rsid w:val="009C5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72384">
      <w:bodyDiv w:val="1"/>
      <w:marLeft w:val="0"/>
      <w:marRight w:val="0"/>
      <w:marTop w:val="0"/>
      <w:marBottom w:val="0"/>
      <w:divBdr>
        <w:top w:val="none" w:sz="0" w:space="0" w:color="auto"/>
        <w:left w:val="none" w:sz="0" w:space="0" w:color="auto"/>
        <w:bottom w:val="none" w:sz="0" w:space="0" w:color="auto"/>
        <w:right w:val="none" w:sz="0" w:space="0" w:color="auto"/>
      </w:divBdr>
    </w:div>
    <w:div w:id="730731991">
      <w:bodyDiv w:val="1"/>
      <w:marLeft w:val="0"/>
      <w:marRight w:val="0"/>
      <w:marTop w:val="0"/>
      <w:marBottom w:val="0"/>
      <w:divBdr>
        <w:top w:val="none" w:sz="0" w:space="0" w:color="auto"/>
        <w:left w:val="none" w:sz="0" w:space="0" w:color="auto"/>
        <w:bottom w:val="none" w:sz="0" w:space="0" w:color="auto"/>
        <w:right w:val="none" w:sz="0" w:space="0" w:color="auto"/>
      </w:divBdr>
    </w:div>
    <w:div w:id="1121267107">
      <w:bodyDiv w:val="1"/>
      <w:marLeft w:val="0"/>
      <w:marRight w:val="0"/>
      <w:marTop w:val="0"/>
      <w:marBottom w:val="0"/>
      <w:divBdr>
        <w:top w:val="none" w:sz="0" w:space="0" w:color="auto"/>
        <w:left w:val="none" w:sz="0" w:space="0" w:color="auto"/>
        <w:bottom w:val="none" w:sz="0" w:space="0" w:color="auto"/>
        <w:right w:val="none" w:sz="0" w:space="0" w:color="auto"/>
      </w:divBdr>
    </w:div>
    <w:div w:id="1360202205">
      <w:bodyDiv w:val="1"/>
      <w:marLeft w:val="0"/>
      <w:marRight w:val="0"/>
      <w:marTop w:val="0"/>
      <w:marBottom w:val="0"/>
      <w:divBdr>
        <w:top w:val="none" w:sz="0" w:space="0" w:color="auto"/>
        <w:left w:val="none" w:sz="0" w:space="0" w:color="auto"/>
        <w:bottom w:val="none" w:sz="0" w:space="0" w:color="auto"/>
        <w:right w:val="none" w:sz="0" w:space="0" w:color="auto"/>
      </w:divBdr>
    </w:div>
    <w:div w:id="1390498052">
      <w:bodyDiv w:val="1"/>
      <w:marLeft w:val="0"/>
      <w:marRight w:val="0"/>
      <w:marTop w:val="0"/>
      <w:marBottom w:val="0"/>
      <w:divBdr>
        <w:top w:val="none" w:sz="0" w:space="0" w:color="auto"/>
        <w:left w:val="none" w:sz="0" w:space="0" w:color="auto"/>
        <w:bottom w:val="none" w:sz="0" w:space="0" w:color="auto"/>
        <w:right w:val="none" w:sz="0" w:space="0" w:color="auto"/>
      </w:divBdr>
    </w:div>
    <w:div w:id="1462110214">
      <w:bodyDiv w:val="1"/>
      <w:marLeft w:val="0"/>
      <w:marRight w:val="0"/>
      <w:marTop w:val="0"/>
      <w:marBottom w:val="0"/>
      <w:divBdr>
        <w:top w:val="none" w:sz="0" w:space="0" w:color="auto"/>
        <w:left w:val="none" w:sz="0" w:space="0" w:color="auto"/>
        <w:bottom w:val="none" w:sz="0" w:space="0" w:color="auto"/>
        <w:right w:val="none" w:sz="0" w:space="0" w:color="auto"/>
      </w:divBdr>
    </w:div>
    <w:div w:id="1655405448">
      <w:bodyDiv w:val="1"/>
      <w:marLeft w:val="0"/>
      <w:marRight w:val="0"/>
      <w:marTop w:val="0"/>
      <w:marBottom w:val="0"/>
      <w:divBdr>
        <w:top w:val="none" w:sz="0" w:space="0" w:color="auto"/>
        <w:left w:val="none" w:sz="0" w:space="0" w:color="auto"/>
        <w:bottom w:val="none" w:sz="0" w:space="0" w:color="auto"/>
        <w:right w:val="none" w:sz="0" w:space="0" w:color="auto"/>
      </w:divBdr>
    </w:div>
    <w:div w:id="1913925181">
      <w:bodyDiv w:val="1"/>
      <w:marLeft w:val="0"/>
      <w:marRight w:val="0"/>
      <w:marTop w:val="0"/>
      <w:marBottom w:val="0"/>
      <w:divBdr>
        <w:top w:val="none" w:sz="0" w:space="0" w:color="auto"/>
        <w:left w:val="none" w:sz="0" w:space="0" w:color="auto"/>
        <w:bottom w:val="none" w:sz="0" w:space="0" w:color="auto"/>
        <w:right w:val="none" w:sz="0" w:space="0" w:color="auto"/>
      </w:divBdr>
    </w:div>
    <w:div w:id="1949390783">
      <w:bodyDiv w:val="1"/>
      <w:marLeft w:val="0"/>
      <w:marRight w:val="0"/>
      <w:marTop w:val="0"/>
      <w:marBottom w:val="0"/>
      <w:divBdr>
        <w:top w:val="none" w:sz="0" w:space="0" w:color="auto"/>
        <w:left w:val="none" w:sz="0" w:space="0" w:color="auto"/>
        <w:bottom w:val="none" w:sz="0" w:space="0" w:color="auto"/>
        <w:right w:val="none" w:sz="0" w:space="0" w:color="auto"/>
      </w:divBdr>
    </w:div>
    <w:div w:id="1994941743">
      <w:bodyDiv w:val="1"/>
      <w:marLeft w:val="0"/>
      <w:marRight w:val="0"/>
      <w:marTop w:val="0"/>
      <w:marBottom w:val="0"/>
      <w:divBdr>
        <w:top w:val="none" w:sz="0" w:space="0" w:color="auto"/>
        <w:left w:val="none" w:sz="0" w:space="0" w:color="auto"/>
        <w:bottom w:val="none" w:sz="0" w:space="0" w:color="auto"/>
        <w:right w:val="none" w:sz="0" w:space="0" w:color="auto"/>
      </w:divBdr>
    </w:div>
    <w:div w:id="207519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E77F8-A157-4DE1-83F3-AA1E839A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662</Words>
  <Characters>4555</Characters>
  <Application>Microsoft Office Word</Application>
  <DocSecurity>0</DocSecurity>
  <Lines>455</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2024-04-24T13:09:00Z</dcterms:created>
  <dcterms:modified xsi:type="dcterms:W3CDTF">2024-05-27T11:01:00Z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2024-04-17T11:54:03Z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9705fa54-427b-4827-b1fc-a63fcad30a61</vt:lpwstr>
  </property>
  <property fmtid="{D5CDD505-2E9C-101B-9397-08002B2CF9AE}" pid="8" name="MSIP_Label_0ad73909-fe4c-4ea4-a237-8cae65968fdb_ContentBits">
    <vt:lpwstr>0</vt:lpwstr>
  </property>
</Properties>
</file>