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7E51A" w14:textId="77777777" w:rsidR="00371EC3" w:rsidRPr="00371EC3" w:rsidRDefault="00371EC3" w:rsidP="00371EC3">
      <w:pPr>
        <w:shd w:val="clear" w:color="auto" w:fill="FFFFFF"/>
        <w:spacing w:before="100" w:beforeAutospacing="1" w:after="0" w:afterAutospacing="1" w:line="240" w:lineRule="auto"/>
        <w:jc w:val="both"/>
        <w:outlineLvl w:val="0"/>
        <w:rPr>
          <w:rFonts w:ascii="Helvetica" w:eastAsia="Times New Roman" w:hAnsi="Helvetica" w:cs="Helvetica"/>
          <w:color w:val="3C3C3C"/>
          <w:kern w:val="36"/>
          <w:sz w:val="48"/>
          <w:szCs w:val="48"/>
          <w:lang w:eastAsia="lt-LT"/>
          <w14:ligatures w14:val="none"/>
        </w:rPr>
      </w:pPr>
      <w:r w:rsidRPr="00371EC3">
        <w:rPr>
          <w:rFonts w:ascii="Helvetica" w:eastAsia="Times New Roman" w:hAnsi="Helvetica" w:cs="Helvetica"/>
          <w:color w:val="3C3C3C"/>
          <w:kern w:val="36"/>
          <w:sz w:val="48"/>
          <w:szCs w:val="48"/>
          <w:lang w:eastAsia="lt-LT"/>
          <w14:ligatures w14:val="none"/>
        </w:rPr>
        <w:t>Stiprios sintetinės medžiagos, nauji narkotikų mišiniai ir besikeičiantys vartojimo įpročiai Europoje kelia vis didesnę grėsmę</w:t>
      </w:r>
    </w:p>
    <w:p w14:paraId="41BCE1C0" w14:textId="77777777" w:rsidR="00371EC3" w:rsidRPr="00371EC3" w:rsidRDefault="00371EC3" w:rsidP="00371EC3">
      <w:pPr>
        <w:shd w:val="clear" w:color="auto" w:fill="FFFFFF"/>
        <w:spacing w:before="100" w:beforeAutospacing="1" w:after="100" w:afterAutospacing="1" w:line="240" w:lineRule="auto"/>
        <w:jc w:val="both"/>
        <w:outlineLvl w:val="1"/>
        <w:rPr>
          <w:rFonts w:ascii="Helvetica" w:eastAsia="Times New Roman" w:hAnsi="Helvetica" w:cs="Helvetica"/>
          <w:color w:val="3C3C3C"/>
          <w:kern w:val="0"/>
          <w:sz w:val="36"/>
          <w:szCs w:val="36"/>
          <w:lang w:eastAsia="lt-LT"/>
          <w14:ligatures w14:val="none"/>
        </w:rPr>
      </w:pPr>
      <w:r w:rsidRPr="00371EC3">
        <w:rPr>
          <w:rFonts w:ascii="Helvetica" w:eastAsia="Times New Roman" w:hAnsi="Helvetica" w:cs="Helvetica"/>
          <w:color w:val="3C3C3C"/>
          <w:kern w:val="0"/>
          <w:sz w:val="36"/>
          <w:szCs w:val="36"/>
          <w:lang w:eastAsia="lt-LT"/>
          <w14:ligatures w14:val="none"/>
        </w:rPr>
        <w:t>2024 m. Europos narkotikų vartojimo paplitimo ataskaita. Pagrindiniai faktai</w:t>
      </w:r>
    </w:p>
    <w:p w14:paraId="00355F64"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Stiprios sintetinės medžiagos, nauji narkotikų mišiniai ir besikeičiantys vartojimo įpročiai Europoje kelia vis didesnę grėsmę. Tai – tik keletas klausimų, kuriuos šiandien kelia </w:t>
      </w:r>
      <w:r w:rsidRPr="00371EC3">
        <w:rPr>
          <w:rFonts w:ascii="Times New Roman" w:eastAsia="Times New Roman" w:hAnsi="Times New Roman" w:cs="Times New Roman"/>
          <w:b/>
          <w:bCs/>
          <w:kern w:val="0"/>
          <w:sz w:val="24"/>
          <w:szCs w:val="24"/>
          <w:lang w:eastAsia="lt-LT"/>
          <w14:ligatures w14:val="none"/>
        </w:rPr>
        <w:t>Europos narkotikų ir narkomanijos stebėsenos centras (EMCDDA) </w:t>
      </w:r>
      <w:r w:rsidRPr="00371EC3">
        <w:rPr>
          <w:rFonts w:ascii="Times New Roman" w:eastAsia="Times New Roman" w:hAnsi="Times New Roman" w:cs="Times New Roman"/>
          <w:kern w:val="0"/>
          <w:sz w:val="24"/>
          <w:szCs w:val="24"/>
          <w:lang w:eastAsia="lt-LT"/>
          <w14:ligatures w14:val="none"/>
        </w:rPr>
        <w:t>skelbiamoje </w:t>
      </w:r>
      <w:hyperlink r:id="rId4" w:history="1">
        <w:r w:rsidRPr="00371EC3">
          <w:rPr>
            <w:rFonts w:ascii="Times New Roman" w:eastAsia="Times New Roman" w:hAnsi="Times New Roman" w:cs="Times New Roman"/>
            <w:b/>
            <w:bCs/>
            <w:color w:val="0000FF"/>
            <w:kern w:val="0"/>
            <w:sz w:val="24"/>
            <w:szCs w:val="24"/>
            <w:u w:val="single"/>
            <w:lang w:eastAsia="lt-LT"/>
            <w14:ligatures w14:val="none"/>
          </w:rPr>
          <w:t>2024 m. Europos narkotikų vartojimo paplitimo ataskaitoje. Tendencijos ir pokyčiai</w:t>
        </w:r>
      </w:hyperlink>
      <w:r w:rsidRPr="00371EC3">
        <w:rPr>
          <w:rFonts w:ascii="Times New Roman" w:eastAsia="Times New Roman" w:hAnsi="Times New Roman" w:cs="Times New Roman"/>
          <w:b/>
          <w:bCs/>
          <w:kern w:val="0"/>
          <w:sz w:val="24"/>
          <w:szCs w:val="24"/>
          <w:lang w:eastAsia="lt-LT"/>
          <w14:ligatures w14:val="none"/>
        </w:rPr>
        <w:t> </w:t>
      </w:r>
      <w:r w:rsidRPr="00371EC3">
        <w:rPr>
          <w:rFonts w:ascii="Times New Roman" w:eastAsia="Times New Roman" w:hAnsi="Times New Roman" w:cs="Times New Roman"/>
          <w:kern w:val="0"/>
          <w:sz w:val="24"/>
          <w:szCs w:val="24"/>
          <w:lang w:eastAsia="lt-LT"/>
          <w14:ligatures w14:val="none"/>
        </w:rPr>
        <w:t>(</w:t>
      </w:r>
      <w:r w:rsidRPr="00371EC3">
        <w:rPr>
          <w:rFonts w:ascii="Times New Roman" w:eastAsia="Times New Roman" w:hAnsi="Times New Roman" w:cs="Times New Roman"/>
          <w:kern w:val="0"/>
          <w:sz w:val="18"/>
          <w:szCs w:val="18"/>
          <w:vertAlign w:val="superscript"/>
          <w:lang w:eastAsia="lt-LT"/>
          <w14:ligatures w14:val="none"/>
        </w:rPr>
        <w:t>1</w:t>
      </w:r>
      <w:r w:rsidRPr="00371EC3">
        <w:rPr>
          <w:rFonts w:ascii="Times New Roman" w:eastAsia="Times New Roman" w:hAnsi="Times New Roman" w:cs="Times New Roman"/>
          <w:kern w:val="0"/>
          <w:sz w:val="24"/>
          <w:szCs w:val="24"/>
          <w:lang w:eastAsia="lt-LT"/>
          <w14:ligatures w14:val="none"/>
        </w:rPr>
        <w:t>).</w:t>
      </w:r>
    </w:p>
    <w:p w14:paraId="1A99356E"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Narkotikų prieinamumas išlieka aukštas Europoje, kur rinkoje siūlomas įvairus produktų asortimentas. Šiuo metu narkotinių medžiagų vartotojams prieinamos įvairesnės psichoaktyviosios medžiagos, kurios dažnai būna itin stiprios ir grynos arba siūlomos naujos jų formos, mišiniai ir deriniai. Kadangi kartais pardavinėjami produktai būna neteisingai įvardyti, vartotojai gali nežinoti, ką vartoja, todėl kyla didesnė grėsmė žmogaus sveikatai bei mirtinam apsinuodijimui.</w:t>
      </w:r>
    </w:p>
    <w:p w14:paraId="02A375FD"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 xml:space="preserve">Ataskaitoje pabrėžiama, kad susirūpinimą kelia stiprūs sintetiniai </w:t>
      </w:r>
      <w:proofErr w:type="spellStart"/>
      <w:r w:rsidRPr="00371EC3">
        <w:rPr>
          <w:rFonts w:ascii="Times New Roman" w:eastAsia="Times New Roman" w:hAnsi="Times New Roman" w:cs="Times New Roman"/>
          <w:kern w:val="0"/>
          <w:sz w:val="24"/>
          <w:szCs w:val="24"/>
          <w:lang w:eastAsia="lt-LT"/>
          <w14:ligatures w14:val="none"/>
        </w:rPr>
        <w:t>opioidai</w:t>
      </w:r>
      <w:proofErr w:type="spellEnd"/>
      <w:r w:rsidRPr="00371EC3">
        <w:rPr>
          <w:rFonts w:ascii="Times New Roman" w:eastAsia="Times New Roman" w:hAnsi="Times New Roman" w:cs="Times New Roman"/>
          <w:kern w:val="0"/>
          <w:sz w:val="24"/>
          <w:szCs w:val="24"/>
          <w:lang w:eastAsia="lt-LT"/>
          <w14:ligatures w14:val="none"/>
        </w:rPr>
        <w:t xml:space="preserve">, kartais netinkamai parduodami arba maišomi su vaistais ir kitais narkotikais – MDMA sudėtyje randama sintetinių </w:t>
      </w:r>
      <w:proofErr w:type="spellStart"/>
      <w:r w:rsidRPr="00371EC3">
        <w:rPr>
          <w:rFonts w:ascii="Times New Roman" w:eastAsia="Times New Roman" w:hAnsi="Times New Roman" w:cs="Times New Roman"/>
          <w:kern w:val="0"/>
          <w:sz w:val="24"/>
          <w:szCs w:val="24"/>
          <w:lang w:eastAsia="lt-LT"/>
          <w14:ligatures w14:val="none"/>
        </w:rPr>
        <w:t>katinonų</w:t>
      </w:r>
      <w:proofErr w:type="spellEnd"/>
      <w:r w:rsidRPr="00371EC3">
        <w:rPr>
          <w:rFonts w:ascii="Times New Roman" w:eastAsia="Times New Roman" w:hAnsi="Times New Roman" w:cs="Times New Roman"/>
          <w:kern w:val="0"/>
          <w:sz w:val="24"/>
          <w:szCs w:val="24"/>
          <w:lang w:eastAsia="lt-LT"/>
          <w14:ligatures w14:val="none"/>
        </w:rPr>
        <w:t xml:space="preserve"> priemaišų, o kanapių produktuose – sintetinių </w:t>
      </w:r>
      <w:proofErr w:type="spellStart"/>
      <w:r w:rsidRPr="00371EC3">
        <w:rPr>
          <w:rFonts w:ascii="Times New Roman" w:eastAsia="Times New Roman" w:hAnsi="Times New Roman" w:cs="Times New Roman"/>
          <w:kern w:val="0"/>
          <w:sz w:val="24"/>
          <w:szCs w:val="24"/>
          <w:lang w:eastAsia="lt-LT"/>
          <w14:ligatures w14:val="none"/>
        </w:rPr>
        <w:t>kanabinoidų</w:t>
      </w:r>
      <w:proofErr w:type="spellEnd"/>
      <w:r w:rsidRPr="00371EC3">
        <w:rPr>
          <w:rFonts w:ascii="Times New Roman" w:eastAsia="Times New Roman" w:hAnsi="Times New Roman" w:cs="Times New Roman"/>
          <w:kern w:val="0"/>
          <w:sz w:val="24"/>
          <w:szCs w:val="24"/>
          <w:lang w:eastAsia="lt-LT"/>
          <w14:ligatures w14:val="none"/>
        </w:rPr>
        <w:t>. 2023 m. pabaigoje </w:t>
      </w:r>
      <w:r w:rsidRPr="00371EC3">
        <w:rPr>
          <w:rFonts w:ascii="Times New Roman" w:eastAsia="Times New Roman" w:hAnsi="Times New Roman" w:cs="Times New Roman"/>
          <w:b/>
          <w:bCs/>
          <w:kern w:val="0"/>
          <w:sz w:val="24"/>
          <w:szCs w:val="24"/>
          <w:lang w:eastAsia="lt-LT"/>
          <w14:ligatures w14:val="none"/>
        </w:rPr>
        <w:t>EMCDDA</w:t>
      </w:r>
      <w:r w:rsidRPr="00371EC3">
        <w:rPr>
          <w:rFonts w:ascii="Times New Roman" w:eastAsia="Times New Roman" w:hAnsi="Times New Roman" w:cs="Times New Roman"/>
          <w:kern w:val="0"/>
          <w:sz w:val="24"/>
          <w:szCs w:val="24"/>
          <w:lang w:eastAsia="lt-LT"/>
          <w14:ligatures w14:val="none"/>
        </w:rPr>
        <w:t> vykdė daugiau nei 950 naujų psichoaktyviųjų medžiagų stebėseną. Tais metais Europoje 26 iš jų aptiktos pirmą kartą.</w:t>
      </w:r>
    </w:p>
    <w:p w14:paraId="53F20F28"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Pagrindinė šių metų ataskaitos žinutė – šiandien Europoje paplitęs </w:t>
      </w:r>
      <w:r w:rsidRPr="00371EC3">
        <w:rPr>
          <w:rFonts w:ascii="Times New Roman" w:eastAsia="Times New Roman" w:hAnsi="Times New Roman" w:cs="Times New Roman"/>
          <w:b/>
          <w:bCs/>
          <w:kern w:val="0"/>
          <w:sz w:val="24"/>
          <w:szCs w:val="24"/>
          <w:lang w:eastAsia="lt-LT"/>
          <w14:ligatures w14:val="none"/>
        </w:rPr>
        <w:t>kombinuotas psichoaktyviųjų medžiagų vartojimas</w:t>
      </w:r>
      <w:r w:rsidRPr="00371EC3">
        <w:rPr>
          <w:rFonts w:ascii="Times New Roman" w:eastAsia="Times New Roman" w:hAnsi="Times New Roman" w:cs="Times New Roman"/>
          <w:kern w:val="0"/>
          <w:sz w:val="24"/>
          <w:szCs w:val="24"/>
          <w:lang w:eastAsia="lt-LT"/>
          <w14:ligatures w14:val="none"/>
        </w:rPr>
        <w:t xml:space="preserve"> – dviejų ar daugiau psichoaktyviųjų medžiagų vartojimas vienu metu arba paeiliui. Nesvarbu, ar tai būtų benzodiazepinų vartojimas kartu su </w:t>
      </w:r>
      <w:proofErr w:type="spellStart"/>
      <w:r w:rsidRPr="00371EC3">
        <w:rPr>
          <w:rFonts w:ascii="Times New Roman" w:eastAsia="Times New Roman" w:hAnsi="Times New Roman" w:cs="Times New Roman"/>
          <w:kern w:val="0"/>
          <w:sz w:val="24"/>
          <w:szCs w:val="24"/>
          <w:lang w:eastAsia="lt-LT"/>
          <w14:ligatures w14:val="none"/>
        </w:rPr>
        <w:t>opioidais</w:t>
      </w:r>
      <w:proofErr w:type="spellEnd"/>
      <w:r w:rsidRPr="00371EC3">
        <w:rPr>
          <w:rFonts w:ascii="Times New Roman" w:eastAsia="Times New Roman" w:hAnsi="Times New Roman" w:cs="Times New Roman"/>
          <w:kern w:val="0"/>
          <w:sz w:val="24"/>
          <w:szCs w:val="24"/>
          <w:lang w:eastAsia="lt-LT"/>
          <w14:ligatures w14:val="none"/>
        </w:rPr>
        <w:t>, ar kokaino vartojimas kartu su alkoholiu, toks narkotikų vartojimas gali padidinti grėsmę sveikatai ir apsunkinti intervencinių priemonių (pvz., naudojamų perdozavus narkotikų) taikymą. Šie iššūkiai tampa dar sudėtingesni, kai narkotikų mišiniai vartojami nežinant sudėties.</w:t>
      </w:r>
    </w:p>
    <w:p w14:paraId="083C4FEE"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Ataskaitoje teigiama: „Vienas iš iššūkių, su kuriais teks susidurti vykdant narkotikų stebėseną 2024 m., – geriau suprasti, kokie narkotikai ir jų mišiniai iš tikrųjų vartojami.“ Naujosios </w:t>
      </w:r>
      <w:r w:rsidRPr="00371EC3">
        <w:rPr>
          <w:rFonts w:ascii="Times New Roman" w:eastAsia="Times New Roman" w:hAnsi="Times New Roman" w:cs="Times New Roman"/>
          <w:b/>
          <w:bCs/>
          <w:kern w:val="0"/>
          <w:sz w:val="24"/>
          <w:szCs w:val="24"/>
          <w:lang w:eastAsia="lt-LT"/>
          <w14:ligatures w14:val="none"/>
        </w:rPr>
        <w:t>Europos Sąjungos narkotikų agentūros </w:t>
      </w:r>
      <w:r w:rsidRPr="00371EC3">
        <w:rPr>
          <w:rFonts w:ascii="Times New Roman" w:eastAsia="Times New Roman" w:hAnsi="Times New Roman" w:cs="Times New Roman"/>
          <w:kern w:val="0"/>
          <w:sz w:val="24"/>
          <w:szCs w:val="24"/>
          <w:lang w:eastAsia="lt-LT"/>
          <w14:ligatures w14:val="none"/>
        </w:rPr>
        <w:t>(</w:t>
      </w:r>
      <w:hyperlink r:id="rId5" w:history="1">
        <w:r w:rsidRPr="00371EC3">
          <w:rPr>
            <w:rFonts w:ascii="Times New Roman" w:eastAsia="Times New Roman" w:hAnsi="Times New Roman" w:cs="Times New Roman"/>
            <w:color w:val="0000FF"/>
            <w:kern w:val="0"/>
            <w:sz w:val="24"/>
            <w:szCs w:val="24"/>
            <w:u w:val="single"/>
            <w:lang w:eastAsia="lt-LT"/>
            <w14:ligatures w14:val="none"/>
          </w:rPr>
          <w:t>EUDA</w:t>
        </w:r>
      </w:hyperlink>
      <w:r w:rsidRPr="00371EC3">
        <w:rPr>
          <w:rFonts w:ascii="Times New Roman" w:eastAsia="Times New Roman" w:hAnsi="Times New Roman" w:cs="Times New Roman"/>
          <w:kern w:val="0"/>
          <w:sz w:val="24"/>
          <w:szCs w:val="24"/>
          <w:lang w:eastAsia="lt-LT"/>
          <w14:ligatures w14:val="none"/>
        </w:rPr>
        <w:t>), kuri pradės veikti liepos 2 d., prioritetai – stiprinti kombinuoto psichoaktyviųjų medžiagų vartojimo ypatumų stebėseną ir didinti supratimą, kokios prevencijos, gydymo ir žalos mažinimo intervencinės priemonės yra veiksmingos (</w:t>
      </w:r>
      <w:r w:rsidRPr="00371EC3">
        <w:rPr>
          <w:rFonts w:ascii="Times New Roman" w:eastAsia="Times New Roman" w:hAnsi="Times New Roman" w:cs="Times New Roman"/>
          <w:kern w:val="0"/>
          <w:sz w:val="18"/>
          <w:szCs w:val="18"/>
          <w:vertAlign w:val="superscript"/>
          <w:lang w:eastAsia="lt-LT"/>
          <w14:ligatures w14:val="none"/>
        </w:rPr>
        <w:t>2</w:t>
      </w:r>
      <w:r w:rsidRPr="00371EC3">
        <w:rPr>
          <w:rFonts w:ascii="Times New Roman" w:eastAsia="Times New Roman" w:hAnsi="Times New Roman" w:cs="Times New Roman"/>
          <w:kern w:val="0"/>
          <w:sz w:val="24"/>
          <w:szCs w:val="24"/>
          <w:lang w:eastAsia="lt-LT"/>
          <w14:ligatures w14:val="none"/>
        </w:rPr>
        <w:t xml:space="preserve">). Pasitelkdama ES kriminalistikos ir </w:t>
      </w:r>
      <w:proofErr w:type="spellStart"/>
      <w:r w:rsidRPr="00371EC3">
        <w:rPr>
          <w:rFonts w:ascii="Times New Roman" w:eastAsia="Times New Roman" w:hAnsi="Times New Roman" w:cs="Times New Roman"/>
          <w:kern w:val="0"/>
          <w:sz w:val="24"/>
          <w:szCs w:val="24"/>
          <w:lang w:eastAsia="lt-LT"/>
          <w14:ligatures w14:val="none"/>
        </w:rPr>
        <w:t>toksikologinių</w:t>
      </w:r>
      <w:proofErr w:type="spellEnd"/>
      <w:r w:rsidRPr="00371EC3">
        <w:rPr>
          <w:rFonts w:ascii="Times New Roman" w:eastAsia="Times New Roman" w:hAnsi="Times New Roman" w:cs="Times New Roman"/>
          <w:kern w:val="0"/>
          <w:sz w:val="24"/>
          <w:szCs w:val="24"/>
          <w:lang w:eastAsia="lt-LT"/>
          <w14:ligatures w14:val="none"/>
        </w:rPr>
        <w:t xml:space="preserve"> laboratorijų tinklą, Agentūra taip pat stiprins savo analitinius pajėgumus.</w:t>
      </w:r>
    </w:p>
    <w:p w14:paraId="0CD3045A"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b/>
          <w:bCs/>
          <w:kern w:val="0"/>
          <w:sz w:val="24"/>
          <w:szCs w:val="24"/>
          <w:lang w:eastAsia="lt-LT"/>
          <w14:ligatures w14:val="none"/>
        </w:rPr>
        <w:t xml:space="preserve">Už vidaus reikalus atsakinga Europos Komisijos narė </w:t>
      </w:r>
      <w:proofErr w:type="spellStart"/>
      <w:r w:rsidRPr="00371EC3">
        <w:rPr>
          <w:rFonts w:ascii="Times New Roman" w:eastAsia="Times New Roman" w:hAnsi="Times New Roman" w:cs="Times New Roman"/>
          <w:b/>
          <w:bCs/>
          <w:kern w:val="0"/>
          <w:sz w:val="24"/>
          <w:szCs w:val="24"/>
          <w:lang w:eastAsia="lt-LT"/>
          <w14:ligatures w14:val="none"/>
        </w:rPr>
        <w:t>Ylva</w:t>
      </w:r>
      <w:proofErr w:type="spellEnd"/>
      <w:r w:rsidRPr="00371EC3">
        <w:rPr>
          <w:rFonts w:ascii="Times New Roman" w:eastAsia="Times New Roman" w:hAnsi="Times New Roman" w:cs="Times New Roman"/>
          <w:b/>
          <w:bCs/>
          <w:kern w:val="0"/>
          <w:sz w:val="24"/>
          <w:szCs w:val="24"/>
          <w:lang w:eastAsia="lt-LT"/>
          <w14:ligatures w14:val="none"/>
        </w:rPr>
        <w:t xml:space="preserve"> </w:t>
      </w:r>
      <w:proofErr w:type="spellStart"/>
      <w:r w:rsidRPr="00371EC3">
        <w:rPr>
          <w:rFonts w:ascii="Times New Roman" w:eastAsia="Times New Roman" w:hAnsi="Times New Roman" w:cs="Times New Roman"/>
          <w:b/>
          <w:bCs/>
          <w:kern w:val="0"/>
          <w:sz w:val="24"/>
          <w:szCs w:val="24"/>
          <w:lang w:eastAsia="lt-LT"/>
          <w14:ligatures w14:val="none"/>
        </w:rPr>
        <w:t>Johansson</w:t>
      </w:r>
      <w:proofErr w:type="spellEnd"/>
      <w:r w:rsidRPr="00371EC3">
        <w:rPr>
          <w:rFonts w:ascii="Times New Roman" w:eastAsia="Times New Roman" w:hAnsi="Times New Roman" w:cs="Times New Roman"/>
          <w:b/>
          <w:bCs/>
          <w:kern w:val="0"/>
          <w:sz w:val="24"/>
          <w:szCs w:val="24"/>
          <w:lang w:eastAsia="lt-LT"/>
          <w14:ligatures w14:val="none"/>
        </w:rPr>
        <w:t> </w:t>
      </w:r>
      <w:r w:rsidRPr="00371EC3">
        <w:rPr>
          <w:rFonts w:ascii="Times New Roman" w:eastAsia="Times New Roman" w:hAnsi="Times New Roman" w:cs="Times New Roman"/>
          <w:kern w:val="0"/>
          <w:sz w:val="24"/>
          <w:szCs w:val="24"/>
          <w:lang w:eastAsia="lt-LT"/>
          <w14:ligatures w14:val="none"/>
        </w:rPr>
        <w:t>sako: „Europos narkotikų rinka kinta greitai ir yra nepastovi. Ji skatina smurtą ir korupciją. Neteisėtų narkotikų srautas į Europą dažniausiai plūsta per uostus. Todėl siekdami stiprinti savo logistikos centrus ir juos padaryti atsparesnius organizuoto nusikalstamumo keliamoms grėsmėms, sukūrėme Europos uostų aljansą. Norint kovoti su tinklu, reikia sukurti tinklą. Tuo tarpu naujų narkotikų ir pavojų vis daugėja. Todėl kovos su narkotikais agentūrai suteikta daugiau įgaliojimų ir išteklių. Ši agentūra atlieka labai svarbų darbą – atkreipia dėmesį į narkotikų plitimą ir jų keliamus pavojus. </w:t>
      </w:r>
      <w:r w:rsidRPr="00371EC3">
        <w:rPr>
          <w:rFonts w:ascii="Times New Roman" w:eastAsia="Times New Roman" w:hAnsi="Times New Roman" w:cs="Times New Roman"/>
          <w:i/>
          <w:iCs/>
          <w:kern w:val="0"/>
          <w:sz w:val="24"/>
          <w:szCs w:val="24"/>
          <w:lang w:eastAsia="lt-LT"/>
          <w14:ligatures w14:val="none"/>
        </w:rPr>
        <w:t xml:space="preserve">Europos narkotikų vartojimo </w:t>
      </w:r>
      <w:r w:rsidRPr="00371EC3">
        <w:rPr>
          <w:rFonts w:ascii="Times New Roman" w:eastAsia="Times New Roman" w:hAnsi="Times New Roman" w:cs="Times New Roman"/>
          <w:i/>
          <w:iCs/>
          <w:kern w:val="0"/>
          <w:sz w:val="24"/>
          <w:szCs w:val="24"/>
          <w:lang w:eastAsia="lt-LT"/>
          <w14:ligatures w14:val="none"/>
        </w:rPr>
        <w:lastRenderedPageBreak/>
        <w:t>paplitimo ataskaita</w:t>
      </w:r>
      <w:r w:rsidRPr="00371EC3">
        <w:rPr>
          <w:rFonts w:ascii="Times New Roman" w:eastAsia="Times New Roman" w:hAnsi="Times New Roman" w:cs="Times New Roman"/>
          <w:kern w:val="0"/>
          <w:sz w:val="24"/>
          <w:szCs w:val="24"/>
          <w:lang w:eastAsia="lt-LT"/>
          <w14:ligatures w14:val="none"/>
        </w:rPr>
        <w:t> – labai svarbus informacijos šaltinis politikos formuotojams. Privalome išlikti budrūs; turime būti pasirengę.“</w:t>
      </w:r>
    </w:p>
    <w:p w14:paraId="165AAE97" w14:textId="77777777" w:rsidR="00371EC3" w:rsidRPr="00371EC3" w:rsidRDefault="00371EC3" w:rsidP="00371EC3">
      <w:pPr>
        <w:spacing w:before="100" w:beforeAutospacing="1" w:after="100" w:afterAutospacing="1" w:line="240" w:lineRule="auto"/>
        <w:jc w:val="both"/>
        <w:outlineLvl w:val="2"/>
        <w:rPr>
          <w:rFonts w:ascii="Helvetica" w:eastAsia="Times New Roman" w:hAnsi="Helvetica" w:cs="Helvetica"/>
          <w:kern w:val="0"/>
          <w:sz w:val="27"/>
          <w:szCs w:val="27"/>
          <w:lang w:eastAsia="lt-LT"/>
          <w14:ligatures w14:val="none"/>
        </w:rPr>
      </w:pPr>
      <w:proofErr w:type="spellStart"/>
      <w:r w:rsidRPr="00371EC3">
        <w:rPr>
          <w:rFonts w:ascii="Helvetica" w:eastAsia="Times New Roman" w:hAnsi="Helvetica" w:cs="Helvetica"/>
          <w:kern w:val="0"/>
          <w:sz w:val="27"/>
          <w:szCs w:val="27"/>
          <w:lang w:eastAsia="lt-LT"/>
          <w14:ligatures w14:val="none"/>
        </w:rPr>
        <w:t>Opioidų</w:t>
      </w:r>
      <w:proofErr w:type="spellEnd"/>
      <w:r w:rsidRPr="00371EC3">
        <w:rPr>
          <w:rFonts w:ascii="Helvetica" w:eastAsia="Times New Roman" w:hAnsi="Helvetica" w:cs="Helvetica"/>
          <w:kern w:val="0"/>
          <w:sz w:val="27"/>
          <w:szCs w:val="27"/>
          <w:lang w:eastAsia="lt-LT"/>
          <w14:ligatures w14:val="none"/>
        </w:rPr>
        <w:t xml:space="preserve"> keliamos problemos Europoje auga: naujai kylanti grėsmė – </w:t>
      </w:r>
      <w:proofErr w:type="spellStart"/>
      <w:r w:rsidRPr="00371EC3">
        <w:rPr>
          <w:rFonts w:ascii="Helvetica" w:eastAsia="Times New Roman" w:hAnsi="Helvetica" w:cs="Helvetica"/>
          <w:kern w:val="0"/>
          <w:sz w:val="27"/>
          <w:szCs w:val="27"/>
          <w:lang w:eastAsia="lt-LT"/>
          <w14:ligatures w14:val="none"/>
        </w:rPr>
        <w:t>nitazenai</w:t>
      </w:r>
      <w:proofErr w:type="spellEnd"/>
    </w:p>
    <w:p w14:paraId="2FE88BAE"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 xml:space="preserve">Heroinas tebėra labiausiai paplitęs neteisėtas </w:t>
      </w:r>
      <w:proofErr w:type="spellStart"/>
      <w:r w:rsidRPr="00371EC3">
        <w:rPr>
          <w:rFonts w:ascii="Times New Roman" w:eastAsia="Times New Roman" w:hAnsi="Times New Roman" w:cs="Times New Roman"/>
          <w:kern w:val="0"/>
          <w:sz w:val="24"/>
          <w:szCs w:val="24"/>
          <w:lang w:eastAsia="lt-LT"/>
          <w14:ligatures w14:val="none"/>
        </w:rPr>
        <w:t>opioidas</w:t>
      </w:r>
      <w:proofErr w:type="spellEnd"/>
      <w:r w:rsidRPr="00371EC3">
        <w:rPr>
          <w:rFonts w:ascii="Times New Roman" w:eastAsia="Times New Roman" w:hAnsi="Times New Roman" w:cs="Times New Roman"/>
          <w:kern w:val="0"/>
          <w:sz w:val="24"/>
          <w:szCs w:val="24"/>
          <w:lang w:eastAsia="lt-LT"/>
          <w14:ligatures w14:val="none"/>
        </w:rPr>
        <w:t xml:space="preserve"> Europoje, lemiantis didelę su neteisėtų narkotikų vartojimu susijusių sveikatos problemų dalį. Vis dėlto Europos </w:t>
      </w:r>
      <w:proofErr w:type="spellStart"/>
      <w:r w:rsidRPr="00371EC3">
        <w:rPr>
          <w:rFonts w:ascii="Times New Roman" w:eastAsia="Times New Roman" w:hAnsi="Times New Roman" w:cs="Times New Roman"/>
          <w:kern w:val="0"/>
          <w:sz w:val="24"/>
          <w:szCs w:val="24"/>
          <w:lang w:eastAsia="lt-LT"/>
          <w14:ligatures w14:val="none"/>
        </w:rPr>
        <w:t>opioidų</w:t>
      </w:r>
      <w:proofErr w:type="spellEnd"/>
      <w:r w:rsidRPr="00371EC3">
        <w:rPr>
          <w:rFonts w:ascii="Times New Roman" w:eastAsia="Times New Roman" w:hAnsi="Times New Roman" w:cs="Times New Roman"/>
          <w:kern w:val="0"/>
          <w:sz w:val="24"/>
          <w:szCs w:val="24"/>
          <w:lang w:eastAsia="lt-LT"/>
          <w14:ligatures w14:val="none"/>
        </w:rPr>
        <w:t xml:space="preserve"> rinka tampa vis sudėtingesnė, joje vartojamos įvairios medžiagos, įskaitant sintetinius </w:t>
      </w:r>
      <w:proofErr w:type="spellStart"/>
      <w:r w:rsidRPr="00371EC3">
        <w:rPr>
          <w:rFonts w:ascii="Times New Roman" w:eastAsia="Times New Roman" w:hAnsi="Times New Roman" w:cs="Times New Roman"/>
          <w:kern w:val="0"/>
          <w:sz w:val="24"/>
          <w:szCs w:val="24"/>
          <w:lang w:eastAsia="lt-LT"/>
          <w14:ligatures w14:val="none"/>
        </w:rPr>
        <w:t>opioidus</w:t>
      </w:r>
      <w:proofErr w:type="spellEnd"/>
      <w:r w:rsidRPr="00371EC3">
        <w:rPr>
          <w:rFonts w:ascii="Times New Roman" w:eastAsia="Times New Roman" w:hAnsi="Times New Roman" w:cs="Times New Roman"/>
          <w:kern w:val="0"/>
          <w:sz w:val="24"/>
          <w:szCs w:val="24"/>
          <w:lang w:eastAsia="lt-LT"/>
          <w14:ligatures w14:val="none"/>
        </w:rPr>
        <w:t>. Palyginti su </w:t>
      </w:r>
      <w:r w:rsidRPr="00371EC3">
        <w:rPr>
          <w:rFonts w:ascii="Times New Roman" w:eastAsia="Times New Roman" w:hAnsi="Times New Roman" w:cs="Times New Roman"/>
          <w:b/>
          <w:bCs/>
          <w:kern w:val="0"/>
          <w:sz w:val="24"/>
          <w:szCs w:val="24"/>
          <w:lang w:eastAsia="lt-LT"/>
          <w14:ligatures w14:val="none"/>
        </w:rPr>
        <w:t>Šiaurės Amerika</w:t>
      </w:r>
      <w:r w:rsidRPr="00371EC3">
        <w:rPr>
          <w:rFonts w:ascii="Times New Roman" w:eastAsia="Times New Roman" w:hAnsi="Times New Roman" w:cs="Times New Roman"/>
          <w:kern w:val="0"/>
          <w:sz w:val="24"/>
          <w:szCs w:val="24"/>
          <w:lang w:eastAsia="lt-LT"/>
          <w14:ligatures w14:val="none"/>
        </w:rPr>
        <w:t xml:space="preserve">, Europos narkotikų rinkoje sintetiniai </w:t>
      </w:r>
      <w:proofErr w:type="spellStart"/>
      <w:r w:rsidRPr="00371EC3">
        <w:rPr>
          <w:rFonts w:ascii="Times New Roman" w:eastAsia="Times New Roman" w:hAnsi="Times New Roman" w:cs="Times New Roman"/>
          <w:kern w:val="0"/>
          <w:sz w:val="24"/>
          <w:szCs w:val="24"/>
          <w:lang w:eastAsia="lt-LT"/>
          <w14:ligatures w14:val="none"/>
        </w:rPr>
        <w:t>opioidai</w:t>
      </w:r>
      <w:proofErr w:type="spellEnd"/>
      <w:r w:rsidRPr="00371EC3">
        <w:rPr>
          <w:rFonts w:ascii="Times New Roman" w:eastAsia="Times New Roman" w:hAnsi="Times New Roman" w:cs="Times New Roman"/>
          <w:kern w:val="0"/>
          <w:sz w:val="24"/>
          <w:szCs w:val="24"/>
          <w:lang w:eastAsia="lt-LT"/>
          <w14:ligatures w14:val="none"/>
        </w:rPr>
        <w:t xml:space="preserve"> iš esmės sudaro sąlyginai nedidelę dalį, tačiau reikšmingai dominuoja </w:t>
      </w:r>
      <w:r w:rsidRPr="00371EC3">
        <w:rPr>
          <w:rFonts w:ascii="Times New Roman" w:eastAsia="Times New Roman" w:hAnsi="Times New Roman" w:cs="Times New Roman"/>
          <w:b/>
          <w:bCs/>
          <w:kern w:val="0"/>
          <w:sz w:val="24"/>
          <w:szCs w:val="24"/>
          <w:lang w:eastAsia="lt-LT"/>
          <w14:ligatures w14:val="none"/>
        </w:rPr>
        <w:t>Baltijos šalių</w:t>
      </w:r>
      <w:r w:rsidRPr="00371EC3">
        <w:rPr>
          <w:rFonts w:ascii="Times New Roman" w:eastAsia="Times New Roman" w:hAnsi="Times New Roman" w:cs="Times New Roman"/>
          <w:kern w:val="0"/>
          <w:sz w:val="24"/>
          <w:szCs w:val="24"/>
          <w:lang w:eastAsia="lt-LT"/>
          <w14:ligatures w14:val="none"/>
        </w:rPr>
        <w:t> </w:t>
      </w:r>
      <w:proofErr w:type="spellStart"/>
      <w:r w:rsidRPr="00371EC3">
        <w:rPr>
          <w:rFonts w:ascii="Times New Roman" w:eastAsia="Times New Roman" w:hAnsi="Times New Roman" w:cs="Times New Roman"/>
          <w:kern w:val="0"/>
          <w:sz w:val="24"/>
          <w:szCs w:val="24"/>
          <w:lang w:eastAsia="lt-LT"/>
          <w14:ligatures w14:val="none"/>
        </w:rPr>
        <w:t>opioidų</w:t>
      </w:r>
      <w:proofErr w:type="spellEnd"/>
      <w:r w:rsidRPr="00371EC3">
        <w:rPr>
          <w:rFonts w:ascii="Times New Roman" w:eastAsia="Times New Roman" w:hAnsi="Times New Roman" w:cs="Times New Roman"/>
          <w:kern w:val="0"/>
          <w:sz w:val="24"/>
          <w:szCs w:val="24"/>
          <w:lang w:eastAsia="lt-LT"/>
          <w14:ligatures w14:val="none"/>
        </w:rPr>
        <w:t xml:space="preserve"> rinkoje. Taip pat didėja susirūpinimas dėl jų vartojimo kai kuriose kitose ES valstybėse narėse.</w:t>
      </w:r>
    </w:p>
    <w:p w14:paraId="07436E3A"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 xml:space="preserve">Nuo 2009 m. Europos narkotikų rinkoje iš viso atsirado 81 naujas sintetinis </w:t>
      </w:r>
      <w:proofErr w:type="spellStart"/>
      <w:r w:rsidRPr="00371EC3">
        <w:rPr>
          <w:rFonts w:ascii="Times New Roman" w:eastAsia="Times New Roman" w:hAnsi="Times New Roman" w:cs="Times New Roman"/>
          <w:kern w:val="0"/>
          <w:sz w:val="24"/>
          <w:szCs w:val="24"/>
          <w:lang w:eastAsia="lt-LT"/>
          <w14:ligatures w14:val="none"/>
        </w:rPr>
        <w:t>opioidas</w:t>
      </w:r>
      <w:proofErr w:type="spellEnd"/>
      <w:r w:rsidRPr="00371EC3">
        <w:rPr>
          <w:rFonts w:ascii="Times New Roman" w:eastAsia="Times New Roman" w:hAnsi="Times New Roman" w:cs="Times New Roman"/>
          <w:kern w:val="0"/>
          <w:sz w:val="24"/>
          <w:szCs w:val="24"/>
          <w:lang w:eastAsia="lt-LT"/>
          <w14:ligatures w14:val="none"/>
        </w:rPr>
        <w:t xml:space="preserve">. Šios medžiagos dažnai būna labai stiprios ir kelia didelę apsinuodijimo ir mirties riziką. 2023 m. šeši iš septynių naujų sintetinių </w:t>
      </w:r>
      <w:proofErr w:type="spellStart"/>
      <w:r w:rsidRPr="00371EC3">
        <w:rPr>
          <w:rFonts w:ascii="Times New Roman" w:eastAsia="Times New Roman" w:hAnsi="Times New Roman" w:cs="Times New Roman"/>
          <w:kern w:val="0"/>
          <w:sz w:val="24"/>
          <w:szCs w:val="24"/>
          <w:lang w:eastAsia="lt-LT"/>
          <w14:ligatures w14:val="none"/>
        </w:rPr>
        <w:t>opioidų</w:t>
      </w:r>
      <w:proofErr w:type="spellEnd"/>
      <w:r w:rsidRPr="00371EC3">
        <w:rPr>
          <w:rFonts w:ascii="Times New Roman" w:eastAsia="Times New Roman" w:hAnsi="Times New Roman" w:cs="Times New Roman"/>
          <w:kern w:val="0"/>
          <w:sz w:val="24"/>
          <w:szCs w:val="24"/>
          <w:lang w:eastAsia="lt-LT"/>
          <w14:ligatures w14:val="none"/>
        </w:rPr>
        <w:t>, apie kuriuos pirmą kartą pranešta </w:t>
      </w:r>
      <w:hyperlink r:id="rId6" w:history="1">
        <w:r w:rsidRPr="00371EC3">
          <w:rPr>
            <w:rFonts w:ascii="Times New Roman" w:eastAsia="Times New Roman" w:hAnsi="Times New Roman" w:cs="Times New Roman"/>
            <w:color w:val="0000FF"/>
            <w:kern w:val="0"/>
            <w:sz w:val="24"/>
            <w:szCs w:val="24"/>
            <w:u w:val="single"/>
            <w:lang w:eastAsia="lt-LT"/>
            <w14:ligatures w14:val="none"/>
          </w:rPr>
          <w:t>ES ankstyvojo perspėjimo sistemoje</w:t>
        </w:r>
      </w:hyperlink>
      <w:r w:rsidRPr="00371EC3">
        <w:rPr>
          <w:rFonts w:ascii="Times New Roman" w:eastAsia="Times New Roman" w:hAnsi="Times New Roman" w:cs="Times New Roman"/>
          <w:kern w:val="0"/>
          <w:sz w:val="24"/>
          <w:szCs w:val="24"/>
          <w:lang w:eastAsia="lt-LT"/>
          <w14:ligatures w14:val="none"/>
        </w:rPr>
        <w:t> (EWS), buvo </w:t>
      </w:r>
      <w:proofErr w:type="spellStart"/>
      <w:r w:rsidRPr="00371EC3">
        <w:rPr>
          <w:rFonts w:ascii="Times New Roman" w:eastAsia="Times New Roman" w:hAnsi="Times New Roman" w:cs="Times New Roman"/>
          <w:b/>
          <w:bCs/>
          <w:kern w:val="0"/>
          <w:sz w:val="24"/>
          <w:szCs w:val="24"/>
          <w:lang w:eastAsia="lt-LT"/>
          <w14:ligatures w14:val="none"/>
        </w:rPr>
        <w:t>nitazenai</w:t>
      </w:r>
      <w:proofErr w:type="spellEnd"/>
      <w:r w:rsidRPr="00371EC3">
        <w:rPr>
          <w:rFonts w:ascii="Times New Roman" w:eastAsia="Times New Roman" w:hAnsi="Times New Roman" w:cs="Times New Roman"/>
          <w:kern w:val="0"/>
          <w:sz w:val="24"/>
          <w:szCs w:val="24"/>
          <w:lang w:eastAsia="lt-LT"/>
          <w14:ligatures w14:val="none"/>
        </w:rPr>
        <w:t xml:space="preserve">. Tai buvo didžiausias </w:t>
      </w:r>
      <w:proofErr w:type="spellStart"/>
      <w:r w:rsidRPr="00371EC3">
        <w:rPr>
          <w:rFonts w:ascii="Times New Roman" w:eastAsia="Times New Roman" w:hAnsi="Times New Roman" w:cs="Times New Roman"/>
          <w:kern w:val="0"/>
          <w:sz w:val="24"/>
          <w:szCs w:val="24"/>
          <w:lang w:eastAsia="lt-LT"/>
          <w14:ligatures w14:val="none"/>
        </w:rPr>
        <w:t>nitazenų</w:t>
      </w:r>
      <w:proofErr w:type="spellEnd"/>
      <w:r w:rsidRPr="00371EC3">
        <w:rPr>
          <w:rFonts w:ascii="Times New Roman" w:eastAsia="Times New Roman" w:hAnsi="Times New Roman" w:cs="Times New Roman"/>
          <w:kern w:val="0"/>
          <w:sz w:val="24"/>
          <w:szCs w:val="24"/>
          <w:lang w:eastAsia="lt-LT"/>
          <w14:ligatures w14:val="none"/>
        </w:rPr>
        <w:t>, apie kuriuos pranešta per vienerius metus, skaičius – nuo 2019 m. Europoje jų iš viso aptikta 16.</w:t>
      </w:r>
    </w:p>
    <w:p w14:paraId="40E85CA5"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proofErr w:type="spellStart"/>
      <w:r w:rsidRPr="00371EC3">
        <w:rPr>
          <w:rFonts w:ascii="Times New Roman" w:eastAsia="Times New Roman" w:hAnsi="Times New Roman" w:cs="Times New Roman"/>
          <w:kern w:val="0"/>
          <w:sz w:val="24"/>
          <w:szCs w:val="24"/>
          <w:lang w:eastAsia="lt-LT"/>
          <w14:ligatures w14:val="none"/>
        </w:rPr>
        <w:t>Nitazenai</w:t>
      </w:r>
      <w:proofErr w:type="spellEnd"/>
      <w:r w:rsidRPr="00371EC3">
        <w:rPr>
          <w:rFonts w:ascii="Times New Roman" w:eastAsia="Times New Roman" w:hAnsi="Times New Roman" w:cs="Times New Roman"/>
          <w:kern w:val="0"/>
          <w:sz w:val="24"/>
          <w:szCs w:val="24"/>
          <w:lang w:eastAsia="lt-LT"/>
          <w14:ligatures w14:val="none"/>
        </w:rPr>
        <w:t xml:space="preserve">, kartais parduodami kaip „sintetinis heroinas“, rinkoje aptinkami padirbtuose vaistuose. 2023 m. </w:t>
      </w:r>
      <w:proofErr w:type="spellStart"/>
      <w:r w:rsidRPr="00371EC3">
        <w:rPr>
          <w:rFonts w:ascii="Times New Roman" w:eastAsia="Times New Roman" w:hAnsi="Times New Roman" w:cs="Times New Roman"/>
          <w:kern w:val="0"/>
          <w:sz w:val="24"/>
          <w:szCs w:val="24"/>
          <w:lang w:eastAsia="lt-LT"/>
          <w14:ligatures w14:val="none"/>
        </w:rPr>
        <w:t>nitazenai</w:t>
      </w:r>
      <w:proofErr w:type="spellEnd"/>
      <w:r w:rsidRPr="00371EC3">
        <w:rPr>
          <w:rFonts w:ascii="Times New Roman" w:eastAsia="Times New Roman" w:hAnsi="Times New Roman" w:cs="Times New Roman"/>
          <w:kern w:val="0"/>
          <w:sz w:val="24"/>
          <w:szCs w:val="24"/>
          <w:lang w:eastAsia="lt-LT"/>
          <w14:ligatures w14:val="none"/>
        </w:rPr>
        <w:t xml:space="preserve"> buvo siejami su staigiai išaugusiu mirčių skaičiumi </w:t>
      </w:r>
      <w:r w:rsidRPr="00371EC3">
        <w:rPr>
          <w:rFonts w:ascii="Times New Roman" w:eastAsia="Times New Roman" w:hAnsi="Times New Roman" w:cs="Times New Roman"/>
          <w:b/>
          <w:bCs/>
          <w:kern w:val="0"/>
          <w:sz w:val="24"/>
          <w:szCs w:val="24"/>
          <w:lang w:eastAsia="lt-LT"/>
          <w14:ligatures w14:val="none"/>
        </w:rPr>
        <w:t>Estijoje </w:t>
      </w:r>
      <w:r w:rsidRPr="00371EC3">
        <w:rPr>
          <w:rFonts w:ascii="Times New Roman" w:eastAsia="Times New Roman" w:hAnsi="Times New Roman" w:cs="Times New Roman"/>
          <w:kern w:val="0"/>
          <w:sz w:val="24"/>
          <w:szCs w:val="24"/>
          <w:lang w:eastAsia="lt-LT"/>
          <w14:ligatures w14:val="none"/>
        </w:rPr>
        <w:t>ir</w:t>
      </w:r>
      <w:r w:rsidRPr="00371EC3">
        <w:rPr>
          <w:rFonts w:ascii="Times New Roman" w:eastAsia="Times New Roman" w:hAnsi="Times New Roman" w:cs="Times New Roman"/>
          <w:b/>
          <w:bCs/>
          <w:kern w:val="0"/>
          <w:sz w:val="24"/>
          <w:szCs w:val="24"/>
          <w:lang w:eastAsia="lt-LT"/>
          <w14:ligatures w14:val="none"/>
        </w:rPr>
        <w:t> Latvijoje</w:t>
      </w:r>
      <w:r w:rsidRPr="00371EC3">
        <w:rPr>
          <w:rFonts w:ascii="Times New Roman" w:eastAsia="Times New Roman" w:hAnsi="Times New Roman" w:cs="Times New Roman"/>
          <w:kern w:val="0"/>
          <w:sz w:val="24"/>
          <w:szCs w:val="24"/>
          <w:lang w:eastAsia="lt-LT"/>
          <w14:ligatures w14:val="none"/>
        </w:rPr>
        <w:t>, taip pat su lokalizuotais apsinuodijimo protrūkiais </w:t>
      </w:r>
      <w:r w:rsidRPr="00371EC3">
        <w:rPr>
          <w:rFonts w:ascii="Times New Roman" w:eastAsia="Times New Roman" w:hAnsi="Times New Roman" w:cs="Times New Roman"/>
          <w:b/>
          <w:bCs/>
          <w:kern w:val="0"/>
          <w:sz w:val="24"/>
          <w:szCs w:val="24"/>
          <w:lang w:eastAsia="lt-LT"/>
          <w14:ligatures w14:val="none"/>
        </w:rPr>
        <w:t>Prancūzijoje </w:t>
      </w:r>
      <w:r w:rsidRPr="00371EC3">
        <w:rPr>
          <w:rFonts w:ascii="Times New Roman" w:eastAsia="Times New Roman" w:hAnsi="Times New Roman" w:cs="Times New Roman"/>
          <w:kern w:val="0"/>
          <w:sz w:val="24"/>
          <w:szCs w:val="24"/>
          <w:lang w:eastAsia="lt-LT"/>
          <w14:ligatures w14:val="none"/>
        </w:rPr>
        <w:t>ir</w:t>
      </w:r>
      <w:r w:rsidRPr="00371EC3">
        <w:rPr>
          <w:rFonts w:ascii="Times New Roman" w:eastAsia="Times New Roman" w:hAnsi="Times New Roman" w:cs="Times New Roman"/>
          <w:b/>
          <w:bCs/>
          <w:kern w:val="0"/>
          <w:sz w:val="24"/>
          <w:szCs w:val="24"/>
          <w:lang w:eastAsia="lt-LT"/>
          <w14:ligatures w14:val="none"/>
        </w:rPr>
        <w:t> Airijoje</w:t>
      </w:r>
      <w:r w:rsidRPr="00371EC3">
        <w:rPr>
          <w:rFonts w:ascii="Times New Roman" w:eastAsia="Times New Roman" w:hAnsi="Times New Roman" w:cs="Times New Roman"/>
          <w:kern w:val="0"/>
          <w:sz w:val="24"/>
          <w:szCs w:val="24"/>
          <w:lang w:eastAsia="lt-LT"/>
          <w14:ligatures w14:val="none"/>
        </w:rPr>
        <w:t xml:space="preserve">. Už ES ribų </w:t>
      </w:r>
      <w:proofErr w:type="spellStart"/>
      <w:r w:rsidRPr="00371EC3">
        <w:rPr>
          <w:rFonts w:ascii="Times New Roman" w:eastAsia="Times New Roman" w:hAnsi="Times New Roman" w:cs="Times New Roman"/>
          <w:kern w:val="0"/>
          <w:sz w:val="24"/>
          <w:szCs w:val="24"/>
          <w:lang w:eastAsia="lt-LT"/>
          <w14:ligatures w14:val="none"/>
        </w:rPr>
        <w:t>nitazenai</w:t>
      </w:r>
      <w:proofErr w:type="spellEnd"/>
      <w:r w:rsidRPr="00371EC3">
        <w:rPr>
          <w:rFonts w:ascii="Times New Roman" w:eastAsia="Times New Roman" w:hAnsi="Times New Roman" w:cs="Times New Roman"/>
          <w:kern w:val="0"/>
          <w:sz w:val="24"/>
          <w:szCs w:val="24"/>
          <w:lang w:eastAsia="lt-LT"/>
          <w14:ligatures w14:val="none"/>
        </w:rPr>
        <w:t xml:space="preserve"> siejami su narkotikų perdozavimo atvejais </w:t>
      </w:r>
      <w:r w:rsidRPr="00371EC3">
        <w:rPr>
          <w:rFonts w:ascii="Times New Roman" w:eastAsia="Times New Roman" w:hAnsi="Times New Roman" w:cs="Times New Roman"/>
          <w:b/>
          <w:bCs/>
          <w:kern w:val="0"/>
          <w:sz w:val="24"/>
          <w:szCs w:val="24"/>
          <w:lang w:eastAsia="lt-LT"/>
          <w14:ligatures w14:val="none"/>
        </w:rPr>
        <w:t>Australijoje, Šiaurės Amerikoje </w:t>
      </w:r>
      <w:r w:rsidRPr="00371EC3">
        <w:rPr>
          <w:rFonts w:ascii="Times New Roman" w:eastAsia="Times New Roman" w:hAnsi="Times New Roman" w:cs="Times New Roman"/>
          <w:kern w:val="0"/>
          <w:sz w:val="24"/>
          <w:szCs w:val="24"/>
          <w:lang w:eastAsia="lt-LT"/>
          <w14:ligatures w14:val="none"/>
        </w:rPr>
        <w:t>ir</w:t>
      </w:r>
      <w:r w:rsidRPr="00371EC3">
        <w:rPr>
          <w:rFonts w:ascii="Times New Roman" w:eastAsia="Times New Roman" w:hAnsi="Times New Roman" w:cs="Times New Roman"/>
          <w:b/>
          <w:bCs/>
          <w:kern w:val="0"/>
          <w:sz w:val="24"/>
          <w:szCs w:val="24"/>
          <w:lang w:eastAsia="lt-LT"/>
          <w14:ligatures w14:val="none"/>
        </w:rPr>
        <w:t> JK</w:t>
      </w:r>
      <w:r w:rsidRPr="00371EC3">
        <w:rPr>
          <w:rFonts w:ascii="Times New Roman" w:eastAsia="Times New Roman" w:hAnsi="Times New Roman" w:cs="Times New Roman"/>
          <w:kern w:val="0"/>
          <w:sz w:val="24"/>
          <w:szCs w:val="24"/>
          <w:lang w:eastAsia="lt-LT"/>
          <w14:ligatures w14:val="none"/>
        </w:rPr>
        <w:t xml:space="preserve">. Šiuo metu kai kuriose šalyse </w:t>
      </w:r>
      <w:proofErr w:type="spellStart"/>
      <w:r w:rsidRPr="00371EC3">
        <w:rPr>
          <w:rFonts w:ascii="Times New Roman" w:eastAsia="Times New Roman" w:hAnsi="Times New Roman" w:cs="Times New Roman"/>
          <w:kern w:val="0"/>
          <w:sz w:val="24"/>
          <w:szCs w:val="24"/>
          <w:lang w:eastAsia="lt-LT"/>
          <w14:ligatures w14:val="none"/>
        </w:rPr>
        <w:t>nitazenai</w:t>
      </w:r>
      <w:proofErr w:type="spellEnd"/>
      <w:r w:rsidRPr="00371EC3">
        <w:rPr>
          <w:rFonts w:ascii="Times New Roman" w:eastAsia="Times New Roman" w:hAnsi="Times New Roman" w:cs="Times New Roman"/>
          <w:kern w:val="0"/>
          <w:sz w:val="24"/>
          <w:szCs w:val="24"/>
          <w:lang w:eastAsia="lt-LT"/>
          <w14:ligatures w14:val="none"/>
        </w:rPr>
        <w:t xml:space="preserve"> ir panašios medžiagos ne visada aptinkami skrodimo metu atliekant įprastinius </w:t>
      </w:r>
      <w:proofErr w:type="spellStart"/>
      <w:r w:rsidRPr="00371EC3">
        <w:rPr>
          <w:rFonts w:ascii="Times New Roman" w:eastAsia="Times New Roman" w:hAnsi="Times New Roman" w:cs="Times New Roman"/>
          <w:kern w:val="0"/>
          <w:sz w:val="24"/>
          <w:szCs w:val="24"/>
          <w:lang w:eastAsia="lt-LT"/>
          <w14:ligatures w14:val="none"/>
        </w:rPr>
        <w:t>toksikologinius</w:t>
      </w:r>
      <w:proofErr w:type="spellEnd"/>
      <w:r w:rsidRPr="00371EC3">
        <w:rPr>
          <w:rFonts w:ascii="Times New Roman" w:eastAsia="Times New Roman" w:hAnsi="Times New Roman" w:cs="Times New Roman"/>
          <w:kern w:val="0"/>
          <w:sz w:val="24"/>
          <w:szCs w:val="24"/>
          <w:lang w:eastAsia="lt-LT"/>
          <w14:ligatures w14:val="none"/>
        </w:rPr>
        <w:t xml:space="preserve"> tyrimus, todėl jų sukeliamų mirčių skaičius iš tikrųjų gali būti didesnis. Naujų sintetinių </w:t>
      </w:r>
      <w:proofErr w:type="spellStart"/>
      <w:r w:rsidRPr="00371EC3">
        <w:rPr>
          <w:rFonts w:ascii="Times New Roman" w:eastAsia="Times New Roman" w:hAnsi="Times New Roman" w:cs="Times New Roman"/>
          <w:kern w:val="0"/>
          <w:sz w:val="24"/>
          <w:szCs w:val="24"/>
          <w:lang w:eastAsia="lt-LT"/>
          <w14:ligatures w14:val="none"/>
        </w:rPr>
        <w:t>opioidų</w:t>
      </w:r>
      <w:proofErr w:type="spellEnd"/>
      <w:r w:rsidRPr="00371EC3">
        <w:rPr>
          <w:rFonts w:ascii="Times New Roman" w:eastAsia="Times New Roman" w:hAnsi="Times New Roman" w:cs="Times New Roman"/>
          <w:kern w:val="0"/>
          <w:sz w:val="24"/>
          <w:szCs w:val="24"/>
          <w:lang w:eastAsia="lt-LT"/>
          <w14:ligatures w14:val="none"/>
        </w:rPr>
        <w:t xml:space="preserve"> rasta įvairiuose mišiniuose, kurių sudėtyje yra naujų benzodiazepinų arba gyvūnus raminančio preparato </w:t>
      </w:r>
      <w:proofErr w:type="spellStart"/>
      <w:r w:rsidRPr="00371EC3">
        <w:rPr>
          <w:rFonts w:ascii="Times New Roman" w:eastAsia="Times New Roman" w:hAnsi="Times New Roman" w:cs="Times New Roman"/>
          <w:kern w:val="0"/>
          <w:sz w:val="24"/>
          <w:szCs w:val="24"/>
          <w:lang w:eastAsia="lt-LT"/>
          <w14:ligatures w14:val="none"/>
        </w:rPr>
        <w:t>ksilazino</w:t>
      </w:r>
      <w:proofErr w:type="spellEnd"/>
      <w:r w:rsidRPr="00371EC3">
        <w:rPr>
          <w:rFonts w:ascii="Times New Roman" w:eastAsia="Times New Roman" w:hAnsi="Times New Roman" w:cs="Times New Roman"/>
          <w:kern w:val="0"/>
          <w:sz w:val="24"/>
          <w:szCs w:val="24"/>
          <w:lang w:eastAsia="lt-LT"/>
          <w14:ligatures w14:val="none"/>
        </w:rPr>
        <w:t>. Šie medžiagų deriniai, atitinkamai vadinami „</w:t>
      </w:r>
      <w:proofErr w:type="spellStart"/>
      <w:r w:rsidRPr="00371EC3">
        <w:rPr>
          <w:rFonts w:ascii="Times New Roman" w:eastAsia="Times New Roman" w:hAnsi="Times New Roman" w:cs="Times New Roman"/>
          <w:kern w:val="0"/>
          <w:sz w:val="24"/>
          <w:szCs w:val="24"/>
          <w:lang w:eastAsia="lt-LT"/>
          <w14:ligatures w14:val="none"/>
        </w:rPr>
        <w:t>benzo-dope</w:t>
      </w:r>
      <w:proofErr w:type="spellEnd"/>
      <w:r w:rsidRPr="00371EC3">
        <w:rPr>
          <w:rFonts w:ascii="Times New Roman" w:eastAsia="Times New Roman" w:hAnsi="Times New Roman" w:cs="Times New Roman"/>
          <w:kern w:val="0"/>
          <w:sz w:val="24"/>
          <w:szCs w:val="24"/>
          <w:lang w:eastAsia="lt-LT"/>
          <w14:ligatures w14:val="none"/>
        </w:rPr>
        <w:t>“ ir „</w:t>
      </w:r>
      <w:proofErr w:type="spellStart"/>
      <w:r w:rsidRPr="00371EC3">
        <w:rPr>
          <w:rFonts w:ascii="Times New Roman" w:eastAsia="Times New Roman" w:hAnsi="Times New Roman" w:cs="Times New Roman"/>
          <w:kern w:val="0"/>
          <w:sz w:val="24"/>
          <w:szCs w:val="24"/>
          <w:lang w:eastAsia="lt-LT"/>
          <w14:ligatures w14:val="none"/>
        </w:rPr>
        <w:t>tranq-dope</w:t>
      </w:r>
      <w:proofErr w:type="spellEnd"/>
      <w:r w:rsidRPr="00371EC3">
        <w:rPr>
          <w:rFonts w:ascii="Times New Roman" w:eastAsia="Times New Roman" w:hAnsi="Times New Roman" w:cs="Times New Roman"/>
          <w:kern w:val="0"/>
          <w:sz w:val="24"/>
          <w:szCs w:val="24"/>
          <w:lang w:eastAsia="lt-LT"/>
          <w14:ligatures w14:val="none"/>
        </w:rPr>
        <w:t>“, siejami su apsinuodijimais, taip pat mirčių atvejais </w:t>
      </w:r>
      <w:r w:rsidRPr="00371EC3">
        <w:rPr>
          <w:rFonts w:ascii="Times New Roman" w:eastAsia="Times New Roman" w:hAnsi="Times New Roman" w:cs="Times New Roman"/>
          <w:b/>
          <w:bCs/>
          <w:kern w:val="0"/>
          <w:sz w:val="24"/>
          <w:szCs w:val="24"/>
          <w:lang w:eastAsia="lt-LT"/>
          <w14:ligatures w14:val="none"/>
        </w:rPr>
        <w:t>Šiaurės Amerikoje</w:t>
      </w:r>
      <w:r w:rsidRPr="00371EC3">
        <w:rPr>
          <w:rFonts w:ascii="Times New Roman" w:eastAsia="Times New Roman" w:hAnsi="Times New Roman" w:cs="Times New Roman"/>
          <w:kern w:val="0"/>
          <w:sz w:val="24"/>
          <w:szCs w:val="24"/>
          <w:lang w:eastAsia="lt-LT"/>
          <w14:ligatures w14:val="none"/>
        </w:rPr>
        <w:t>.</w:t>
      </w:r>
    </w:p>
    <w:p w14:paraId="2D36FAE9"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Beveik visas Europoje vartojamas heroinas gaunamas iš </w:t>
      </w:r>
      <w:r w:rsidRPr="00371EC3">
        <w:rPr>
          <w:rFonts w:ascii="Times New Roman" w:eastAsia="Times New Roman" w:hAnsi="Times New Roman" w:cs="Times New Roman"/>
          <w:b/>
          <w:bCs/>
          <w:kern w:val="0"/>
          <w:sz w:val="24"/>
          <w:szCs w:val="24"/>
          <w:lang w:eastAsia="lt-LT"/>
          <w14:ligatures w14:val="none"/>
        </w:rPr>
        <w:t>Afganistano</w:t>
      </w:r>
      <w:r w:rsidRPr="00371EC3">
        <w:rPr>
          <w:rFonts w:ascii="Times New Roman" w:eastAsia="Times New Roman" w:hAnsi="Times New Roman" w:cs="Times New Roman"/>
          <w:kern w:val="0"/>
          <w:sz w:val="24"/>
          <w:szCs w:val="24"/>
          <w:lang w:eastAsia="lt-LT"/>
          <w14:ligatures w14:val="none"/>
        </w:rPr>
        <w:t xml:space="preserve">, kur 2022 m. balandžio mėn. Talibanas uždraudė auginti </w:t>
      </w:r>
      <w:proofErr w:type="spellStart"/>
      <w:r w:rsidRPr="00371EC3">
        <w:rPr>
          <w:rFonts w:ascii="Times New Roman" w:eastAsia="Times New Roman" w:hAnsi="Times New Roman" w:cs="Times New Roman"/>
          <w:kern w:val="0"/>
          <w:sz w:val="24"/>
          <w:szCs w:val="24"/>
          <w:lang w:eastAsia="lt-LT"/>
          <w14:ligatures w14:val="none"/>
        </w:rPr>
        <w:t>opijines</w:t>
      </w:r>
      <w:proofErr w:type="spellEnd"/>
      <w:r w:rsidRPr="00371EC3">
        <w:rPr>
          <w:rFonts w:ascii="Times New Roman" w:eastAsia="Times New Roman" w:hAnsi="Times New Roman" w:cs="Times New Roman"/>
          <w:kern w:val="0"/>
          <w:sz w:val="24"/>
          <w:szCs w:val="24"/>
          <w:lang w:eastAsia="lt-LT"/>
          <w14:ligatures w14:val="none"/>
        </w:rPr>
        <w:t xml:space="preserve"> aguonas. Iš naujausių 2023 m. UNODC duomenų matyti, kad šioje šalyje pasėlių auginimas ir neteisėta opijaus gamyba, palyginti su 2022 m., sumažėjo maždaug 95 proc. Šiuo metu sunku numatyti, kaip toks draudimas paveiks Europos heroino rinką. Duomenys rodo, kad </w:t>
      </w:r>
      <w:r w:rsidRPr="00371EC3">
        <w:rPr>
          <w:rFonts w:ascii="Times New Roman" w:eastAsia="Times New Roman" w:hAnsi="Times New Roman" w:cs="Times New Roman"/>
          <w:b/>
          <w:bCs/>
          <w:kern w:val="0"/>
          <w:sz w:val="24"/>
          <w:szCs w:val="24"/>
          <w:lang w:eastAsia="lt-LT"/>
          <w14:ligatures w14:val="none"/>
        </w:rPr>
        <w:t>Afganistane</w:t>
      </w:r>
      <w:r w:rsidRPr="00371EC3">
        <w:rPr>
          <w:rFonts w:ascii="Times New Roman" w:eastAsia="Times New Roman" w:hAnsi="Times New Roman" w:cs="Times New Roman"/>
          <w:kern w:val="0"/>
          <w:sz w:val="24"/>
          <w:szCs w:val="24"/>
          <w:lang w:eastAsia="lt-LT"/>
          <w14:ligatures w14:val="none"/>
        </w:rPr>
        <w:t xml:space="preserve"> vis dar yra daug opijaus atsargų. Tai gali paaiškinti, kodėl iki šiol nebuvo jokių rimtų signalų, kad heroino srautai į ES būtų sutrikdyti. Vis dėlto susirūpinimą kelia tai, kad ateityje pritrūkus heroino, šį stygių rinkoje gali užpildyti stiprūs sintetiniai </w:t>
      </w:r>
      <w:proofErr w:type="spellStart"/>
      <w:r w:rsidRPr="00371EC3">
        <w:rPr>
          <w:rFonts w:ascii="Times New Roman" w:eastAsia="Times New Roman" w:hAnsi="Times New Roman" w:cs="Times New Roman"/>
          <w:kern w:val="0"/>
          <w:sz w:val="24"/>
          <w:szCs w:val="24"/>
          <w:lang w:eastAsia="lt-LT"/>
          <w14:ligatures w14:val="none"/>
        </w:rPr>
        <w:t>opioidai</w:t>
      </w:r>
      <w:proofErr w:type="spellEnd"/>
      <w:r w:rsidRPr="00371EC3">
        <w:rPr>
          <w:rFonts w:ascii="Times New Roman" w:eastAsia="Times New Roman" w:hAnsi="Times New Roman" w:cs="Times New Roman"/>
          <w:kern w:val="0"/>
          <w:sz w:val="24"/>
          <w:szCs w:val="24"/>
          <w:lang w:eastAsia="lt-LT"/>
          <w14:ligatures w14:val="none"/>
        </w:rPr>
        <w:t xml:space="preserve"> ar sintetiniai stimuliantai. Tai gali turėti didelį neigiamą poveikį visuomenės sveikatai ir saugumui.</w:t>
      </w:r>
    </w:p>
    <w:p w14:paraId="314495BC"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 xml:space="preserve">Ataskaitoje pabrėžiama, kad Europa turi būti geriau pasirengusi bet kokiems galimiems rinkos pokyčiams ir užtikrinti tinkamą prevenciją ir gydymą, įskaitant galimybę gauti gydymą </w:t>
      </w:r>
      <w:proofErr w:type="spellStart"/>
      <w:r w:rsidRPr="00371EC3">
        <w:rPr>
          <w:rFonts w:ascii="Times New Roman" w:eastAsia="Times New Roman" w:hAnsi="Times New Roman" w:cs="Times New Roman"/>
          <w:kern w:val="0"/>
          <w:sz w:val="24"/>
          <w:szCs w:val="24"/>
          <w:lang w:eastAsia="lt-LT"/>
          <w14:ligatures w14:val="none"/>
        </w:rPr>
        <w:t>opioidų</w:t>
      </w:r>
      <w:proofErr w:type="spellEnd"/>
      <w:r w:rsidRPr="00371EC3">
        <w:rPr>
          <w:rFonts w:ascii="Times New Roman" w:eastAsia="Times New Roman" w:hAnsi="Times New Roman" w:cs="Times New Roman"/>
          <w:kern w:val="0"/>
          <w:sz w:val="24"/>
          <w:szCs w:val="24"/>
          <w:lang w:eastAsia="lt-LT"/>
          <w14:ligatures w14:val="none"/>
        </w:rPr>
        <w:t xml:space="preserve"> </w:t>
      </w:r>
      <w:proofErr w:type="spellStart"/>
      <w:r w:rsidRPr="00371EC3">
        <w:rPr>
          <w:rFonts w:ascii="Times New Roman" w:eastAsia="Times New Roman" w:hAnsi="Times New Roman" w:cs="Times New Roman"/>
          <w:kern w:val="0"/>
          <w:sz w:val="24"/>
          <w:szCs w:val="24"/>
          <w:lang w:eastAsia="lt-LT"/>
          <w14:ligatures w14:val="none"/>
        </w:rPr>
        <w:t>agonistais</w:t>
      </w:r>
      <w:proofErr w:type="spellEnd"/>
      <w:r w:rsidRPr="00371EC3">
        <w:rPr>
          <w:rFonts w:ascii="Times New Roman" w:eastAsia="Times New Roman" w:hAnsi="Times New Roman" w:cs="Times New Roman"/>
          <w:kern w:val="0"/>
          <w:sz w:val="24"/>
          <w:szCs w:val="24"/>
          <w:lang w:eastAsia="lt-LT"/>
          <w14:ligatures w14:val="none"/>
        </w:rPr>
        <w:t xml:space="preserve"> ir žalos mažinimo paslaugas, taip pat užtikrinti pakankamą </w:t>
      </w:r>
      <w:proofErr w:type="spellStart"/>
      <w:r w:rsidRPr="00371EC3">
        <w:rPr>
          <w:rFonts w:ascii="Times New Roman" w:eastAsia="Times New Roman" w:hAnsi="Times New Roman" w:cs="Times New Roman"/>
          <w:kern w:val="0"/>
          <w:sz w:val="24"/>
          <w:szCs w:val="24"/>
          <w:lang w:eastAsia="lt-LT"/>
          <w14:ligatures w14:val="none"/>
        </w:rPr>
        <w:t>naloksono</w:t>
      </w:r>
      <w:proofErr w:type="spellEnd"/>
      <w:r w:rsidRPr="00371EC3">
        <w:rPr>
          <w:rFonts w:ascii="Times New Roman" w:eastAsia="Times New Roman" w:hAnsi="Times New Roman" w:cs="Times New Roman"/>
          <w:kern w:val="0"/>
          <w:sz w:val="24"/>
          <w:szCs w:val="24"/>
          <w:lang w:eastAsia="lt-LT"/>
          <w14:ligatures w14:val="none"/>
        </w:rPr>
        <w:t xml:space="preserve">, vaisto nuo perdozavimo, atsargų kiekį. Įdiegus </w:t>
      </w:r>
      <w:proofErr w:type="spellStart"/>
      <w:r w:rsidRPr="00371EC3">
        <w:rPr>
          <w:rFonts w:ascii="Times New Roman" w:eastAsia="Times New Roman" w:hAnsi="Times New Roman" w:cs="Times New Roman"/>
          <w:kern w:val="0"/>
          <w:sz w:val="24"/>
          <w:szCs w:val="24"/>
          <w:lang w:eastAsia="lt-LT"/>
          <w14:ligatures w14:val="none"/>
        </w:rPr>
        <w:t>daugiainstitucinius</w:t>
      </w:r>
      <w:proofErr w:type="spellEnd"/>
      <w:r w:rsidRPr="00371EC3">
        <w:rPr>
          <w:rFonts w:ascii="Times New Roman" w:eastAsia="Times New Roman" w:hAnsi="Times New Roman" w:cs="Times New Roman"/>
          <w:kern w:val="0"/>
          <w:sz w:val="24"/>
          <w:szCs w:val="24"/>
          <w:lang w:eastAsia="lt-LT"/>
          <w14:ligatures w14:val="none"/>
        </w:rPr>
        <w:t xml:space="preserve"> reagavimo ir skubios komunikacijos planus taip pat galima sustiprinti pasirengimą ES neteisėtų narkotikų rinkoje staiga atsiradus itin stipriai veikiančioms medžiagoms.</w:t>
      </w:r>
    </w:p>
    <w:p w14:paraId="2F312603"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b/>
          <w:bCs/>
          <w:kern w:val="0"/>
          <w:sz w:val="24"/>
          <w:szCs w:val="24"/>
          <w:lang w:eastAsia="lt-LT"/>
          <w14:ligatures w14:val="none"/>
        </w:rPr>
        <w:t xml:space="preserve">EMCDDA direktorius </w:t>
      </w:r>
      <w:proofErr w:type="spellStart"/>
      <w:r w:rsidRPr="00371EC3">
        <w:rPr>
          <w:rFonts w:ascii="Times New Roman" w:eastAsia="Times New Roman" w:hAnsi="Times New Roman" w:cs="Times New Roman"/>
          <w:b/>
          <w:bCs/>
          <w:kern w:val="0"/>
          <w:sz w:val="24"/>
          <w:szCs w:val="24"/>
          <w:lang w:eastAsia="lt-LT"/>
          <w14:ligatures w14:val="none"/>
        </w:rPr>
        <w:t>Alexis</w:t>
      </w:r>
      <w:proofErr w:type="spellEnd"/>
      <w:r w:rsidRPr="00371EC3">
        <w:rPr>
          <w:rFonts w:ascii="Times New Roman" w:eastAsia="Times New Roman" w:hAnsi="Times New Roman" w:cs="Times New Roman"/>
          <w:b/>
          <w:bCs/>
          <w:kern w:val="0"/>
          <w:sz w:val="24"/>
          <w:szCs w:val="24"/>
          <w:lang w:eastAsia="lt-LT"/>
          <w14:ligatures w14:val="none"/>
        </w:rPr>
        <w:t xml:space="preserve"> </w:t>
      </w:r>
      <w:proofErr w:type="spellStart"/>
      <w:r w:rsidRPr="00371EC3">
        <w:rPr>
          <w:rFonts w:ascii="Times New Roman" w:eastAsia="Times New Roman" w:hAnsi="Times New Roman" w:cs="Times New Roman"/>
          <w:b/>
          <w:bCs/>
          <w:kern w:val="0"/>
          <w:sz w:val="24"/>
          <w:szCs w:val="24"/>
          <w:lang w:eastAsia="lt-LT"/>
          <w14:ligatures w14:val="none"/>
        </w:rPr>
        <w:t>Goosdeel</w:t>
      </w:r>
      <w:proofErr w:type="spellEnd"/>
      <w:r w:rsidRPr="00371EC3">
        <w:rPr>
          <w:rFonts w:ascii="Times New Roman" w:eastAsia="Times New Roman" w:hAnsi="Times New Roman" w:cs="Times New Roman"/>
          <w:b/>
          <w:bCs/>
          <w:kern w:val="0"/>
          <w:sz w:val="24"/>
          <w:szCs w:val="24"/>
          <w:lang w:eastAsia="lt-LT"/>
          <w14:ligatures w14:val="none"/>
        </w:rPr>
        <w:t> </w:t>
      </w:r>
      <w:r w:rsidRPr="00371EC3">
        <w:rPr>
          <w:rFonts w:ascii="Times New Roman" w:eastAsia="Times New Roman" w:hAnsi="Times New Roman" w:cs="Times New Roman"/>
          <w:kern w:val="0"/>
          <w:sz w:val="24"/>
          <w:szCs w:val="24"/>
          <w:lang w:eastAsia="lt-LT"/>
          <w14:ligatures w14:val="none"/>
        </w:rPr>
        <w:t>sako: „Šių metų </w:t>
      </w:r>
      <w:r w:rsidRPr="00371EC3">
        <w:rPr>
          <w:rFonts w:ascii="Times New Roman" w:eastAsia="Times New Roman" w:hAnsi="Times New Roman" w:cs="Times New Roman"/>
          <w:i/>
          <w:iCs/>
          <w:kern w:val="0"/>
          <w:sz w:val="24"/>
          <w:szCs w:val="24"/>
          <w:lang w:eastAsia="lt-LT"/>
          <w14:ligatures w14:val="none"/>
        </w:rPr>
        <w:t>Europos narkotikų vartojimo paplitimo ataskaitoje</w:t>
      </w:r>
      <w:r w:rsidRPr="00371EC3">
        <w:rPr>
          <w:rFonts w:ascii="Times New Roman" w:eastAsia="Times New Roman" w:hAnsi="Times New Roman" w:cs="Times New Roman"/>
          <w:kern w:val="0"/>
          <w:sz w:val="24"/>
          <w:szCs w:val="24"/>
          <w:lang w:eastAsia="lt-LT"/>
          <w14:ligatures w14:val="none"/>
        </w:rPr>
        <w:t xml:space="preserve"> atkreipiamas dėmesys į didėjančius iššūkius labai sudėtingoje ir sparčiai besikeičiančioje narkotikų rinkoje, kurioje plačiai prieinami neteisėti narkotikai ir toliau atsiranda naujų stiprių sintetinių medžiagų. Pabrėžiame, kad plačiai paplitęs kombinuotas psichoaktyviųjų medžiagų vartojimas kelia įvairią riziką sveikatai, ypač tais atvejais, kai vartojami narkotikų mišiniai, nežinant, kas juose yra. Šioje ataskaitoje nagrinėjamos ir galimos būsimos problemos kovos su narkotikais </w:t>
      </w:r>
      <w:r w:rsidRPr="00371EC3">
        <w:rPr>
          <w:rFonts w:ascii="Times New Roman" w:eastAsia="Times New Roman" w:hAnsi="Times New Roman" w:cs="Times New Roman"/>
          <w:kern w:val="0"/>
          <w:sz w:val="24"/>
          <w:szCs w:val="24"/>
          <w:lang w:eastAsia="lt-LT"/>
          <w14:ligatures w14:val="none"/>
        </w:rPr>
        <w:lastRenderedPageBreak/>
        <w:t>srityje, pabrėžiant būtinybę būti geriau pasirengusiems jas spręsti. Todėl džiaugiuosi galėdamas pranešti, kad naujoji Europos Sąjungos narkotikų agentūra turės platesnius įgaliojimus numatyti ateityje kilsiančias grėsmes ir tendencijas, realiuoju laiku įspėti apie naujus pavojus sveikatai ir saugumui, padėti ES ir valstybėms narėms reaguoti ir mokytis iš patirties, pritaikant ir tobulinant kovos su narkotikais strategijas ir intervencines priemones.“</w:t>
      </w:r>
    </w:p>
    <w:p w14:paraId="0B8C1D55" w14:textId="77777777" w:rsidR="00371EC3" w:rsidRPr="00371EC3" w:rsidRDefault="00371EC3" w:rsidP="00371EC3">
      <w:pPr>
        <w:spacing w:before="100" w:beforeAutospacing="1" w:after="100" w:afterAutospacing="1" w:line="240" w:lineRule="auto"/>
        <w:jc w:val="both"/>
        <w:outlineLvl w:val="2"/>
        <w:rPr>
          <w:rFonts w:ascii="Helvetica" w:eastAsia="Times New Roman" w:hAnsi="Helvetica" w:cs="Helvetica"/>
          <w:kern w:val="0"/>
          <w:sz w:val="27"/>
          <w:szCs w:val="27"/>
          <w:lang w:eastAsia="lt-LT"/>
          <w14:ligatures w14:val="none"/>
        </w:rPr>
      </w:pPr>
      <w:r w:rsidRPr="00371EC3">
        <w:rPr>
          <w:rFonts w:ascii="Helvetica" w:eastAsia="Times New Roman" w:hAnsi="Helvetica" w:cs="Helvetica"/>
          <w:kern w:val="0"/>
          <w:sz w:val="27"/>
          <w:szCs w:val="27"/>
          <w:lang w:eastAsia="lt-LT"/>
          <w14:ligatures w14:val="none"/>
        </w:rPr>
        <w:t>Šeštieji metai, kai konfiskuojami rekordiniai kokaino kiekiai: padariniai visuomenės sveikatai</w:t>
      </w:r>
    </w:p>
    <w:p w14:paraId="194DE9FF"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Šeštus metus iš eilės ES valstybėse narėse konfiskuotas rekordinis kokaino kiekis – 2022 m. jis siekė 323 tonas (2021 m. – 303 tonas). Šiuo metu Europoje šio narkotiko konfiskuojama daugiau nei </w:t>
      </w:r>
      <w:r w:rsidRPr="00371EC3">
        <w:rPr>
          <w:rFonts w:ascii="Times New Roman" w:eastAsia="Times New Roman" w:hAnsi="Times New Roman" w:cs="Times New Roman"/>
          <w:b/>
          <w:bCs/>
          <w:kern w:val="0"/>
          <w:sz w:val="24"/>
          <w:szCs w:val="24"/>
          <w:lang w:eastAsia="lt-LT"/>
          <w14:ligatures w14:val="none"/>
        </w:rPr>
        <w:t>Jungtinėse Amerikos Valstijose</w:t>
      </w:r>
      <w:r w:rsidRPr="00371EC3">
        <w:rPr>
          <w:rFonts w:ascii="Times New Roman" w:eastAsia="Times New Roman" w:hAnsi="Times New Roman" w:cs="Times New Roman"/>
          <w:kern w:val="0"/>
          <w:sz w:val="24"/>
          <w:szCs w:val="24"/>
          <w:lang w:eastAsia="lt-LT"/>
          <w14:ligatures w14:val="none"/>
        </w:rPr>
        <w:t> – istoriškai ši šalis laikoma didžiausia pasaulyje kokaino rinka. </w:t>
      </w:r>
      <w:r w:rsidRPr="00371EC3">
        <w:rPr>
          <w:rFonts w:ascii="Times New Roman" w:eastAsia="Times New Roman" w:hAnsi="Times New Roman" w:cs="Times New Roman"/>
          <w:b/>
          <w:bCs/>
          <w:kern w:val="0"/>
          <w:sz w:val="24"/>
          <w:szCs w:val="24"/>
          <w:lang w:eastAsia="lt-LT"/>
          <w14:ligatures w14:val="none"/>
        </w:rPr>
        <w:t>Belgijoje </w:t>
      </w:r>
      <w:r w:rsidRPr="00371EC3">
        <w:rPr>
          <w:rFonts w:ascii="Times New Roman" w:eastAsia="Times New Roman" w:hAnsi="Times New Roman" w:cs="Times New Roman"/>
          <w:kern w:val="0"/>
          <w:sz w:val="24"/>
          <w:szCs w:val="24"/>
          <w:lang w:eastAsia="lt-LT"/>
          <w14:ligatures w14:val="none"/>
        </w:rPr>
        <w:t>(111 tonų), </w:t>
      </w:r>
      <w:r w:rsidRPr="00371EC3">
        <w:rPr>
          <w:rFonts w:ascii="Times New Roman" w:eastAsia="Times New Roman" w:hAnsi="Times New Roman" w:cs="Times New Roman"/>
          <w:b/>
          <w:bCs/>
          <w:kern w:val="0"/>
          <w:sz w:val="24"/>
          <w:szCs w:val="24"/>
          <w:lang w:eastAsia="lt-LT"/>
          <w14:ligatures w14:val="none"/>
        </w:rPr>
        <w:t>Ispanijoje </w:t>
      </w:r>
      <w:r w:rsidRPr="00371EC3">
        <w:rPr>
          <w:rFonts w:ascii="Times New Roman" w:eastAsia="Times New Roman" w:hAnsi="Times New Roman" w:cs="Times New Roman"/>
          <w:kern w:val="0"/>
          <w:sz w:val="24"/>
          <w:szCs w:val="24"/>
          <w:lang w:eastAsia="lt-LT"/>
          <w14:ligatures w14:val="none"/>
        </w:rPr>
        <w:t>(58,3 tonos) ir</w:t>
      </w:r>
      <w:r w:rsidRPr="00371EC3">
        <w:rPr>
          <w:rFonts w:ascii="Times New Roman" w:eastAsia="Times New Roman" w:hAnsi="Times New Roman" w:cs="Times New Roman"/>
          <w:b/>
          <w:bCs/>
          <w:kern w:val="0"/>
          <w:sz w:val="24"/>
          <w:szCs w:val="24"/>
          <w:lang w:eastAsia="lt-LT"/>
          <w14:ligatures w14:val="none"/>
        </w:rPr>
        <w:t> Nyderlanduose</w:t>
      </w:r>
      <w:r w:rsidRPr="00371EC3">
        <w:rPr>
          <w:rFonts w:ascii="Times New Roman" w:eastAsia="Times New Roman" w:hAnsi="Times New Roman" w:cs="Times New Roman"/>
          <w:kern w:val="0"/>
          <w:sz w:val="24"/>
          <w:szCs w:val="24"/>
          <w:lang w:eastAsia="lt-LT"/>
          <w14:ligatures w14:val="none"/>
        </w:rPr>
        <w:t> (51,5 tonos) konfiskuota 68 proc. viso kiekio, o tai rodo, kad narkotikų prekeiviai nuolat taikosi į logistikos tiekimo grandines. 2023 m. </w:t>
      </w:r>
      <w:r w:rsidRPr="00371EC3">
        <w:rPr>
          <w:rFonts w:ascii="Times New Roman" w:eastAsia="Times New Roman" w:hAnsi="Times New Roman" w:cs="Times New Roman"/>
          <w:b/>
          <w:bCs/>
          <w:kern w:val="0"/>
          <w:sz w:val="24"/>
          <w:szCs w:val="24"/>
          <w:lang w:eastAsia="lt-LT"/>
          <w14:ligatures w14:val="none"/>
        </w:rPr>
        <w:t>Ispanija</w:t>
      </w:r>
      <w:r w:rsidRPr="00371EC3">
        <w:rPr>
          <w:rFonts w:ascii="Times New Roman" w:eastAsia="Times New Roman" w:hAnsi="Times New Roman" w:cs="Times New Roman"/>
          <w:kern w:val="0"/>
          <w:sz w:val="24"/>
          <w:szCs w:val="24"/>
          <w:lang w:eastAsia="lt-LT"/>
          <w14:ligatures w14:val="none"/>
        </w:rPr>
        <w:t> pranešė apie didžiausią kada nors atskirai konfiskuotą kokaino kiekį (9,5 tonos), paslėptą iš Ekvadoro gautose bananų siuntose.</w:t>
      </w:r>
    </w:p>
    <w:p w14:paraId="5D16A43E"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Neteisėtas didelių kiekių kokaino gabenimas jūriniuose konteineriuose per Europos jūrų uostus išlieka svarbus veiksnys, lemiantis didelį šio narkotiko prieinamumą regione. Naujausi </w:t>
      </w:r>
      <w:r w:rsidRPr="00371EC3">
        <w:rPr>
          <w:rFonts w:ascii="Times New Roman" w:eastAsia="Times New Roman" w:hAnsi="Times New Roman" w:cs="Times New Roman"/>
          <w:b/>
          <w:bCs/>
          <w:kern w:val="0"/>
          <w:sz w:val="24"/>
          <w:szCs w:val="24"/>
          <w:lang w:eastAsia="lt-LT"/>
          <w14:ligatures w14:val="none"/>
        </w:rPr>
        <w:t>Antverpeno</w:t>
      </w:r>
      <w:r w:rsidRPr="00371EC3">
        <w:rPr>
          <w:rFonts w:ascii="Times New Roman" w:eastAsia="Times New Roman" w:hAnsi="Times New Roman" w:cs="Times New Roman"/>
          <w:kern w:val="0"/>
          <w:sz w:val="24"/>
          <w:szCs w:val="24"/>
          <w:lang w:eastAsia="lt-LT"/>
          <w14:ligatures w14:val="none"/>
        </w:rPr>
        <w:t> uosto pateikti duomenys rodo, kad 2023 m. jame konfiskuoto kokaino kiekis padidėjo iki 116 tonų (nuo 110 tonų 2022 m.). Teisėsaugos metodams intensyvėjant, organizuotos nusikalstamos grupuotės neteisėtą prekybą narkotikais vykdo ir mažesniuose ES šalių ir su ES besiribojančių valstybių uostuose, kurie gali būti labiau pažeidžiami dėl neteisėtos prekybos narkotikais. Tai patvirtina kai kurių Šiaurės Europos šalių, įskaitant </w:t>
      </w:r>
      <w:r w:rsidRPr="00371EC3">
        <w:rPr>
          <w:rFonts w:ascii="Times New Roman" w:eastAsia="Times New Roman" w:hAnsi="Times New Roman" w:cs="Times New Roman"/>
          <w:b/>
          <w:bCs/>
          <w:kern w:val="0"/>
          <w:sz w:val="24"/>
          <w:szCs w:val="24"/>
          <w:lang w:eastAsia="lt-LT"/>
          <w14:ligatures w14:val="none"/>
        </w:rPr>
        <w:t>Švediją </w:t>
      </w:r>
      <w:r w:rsidRPr="00371EC3">
        <w:rPr>
          <w:rFonts w:ascii="Times New Roman" w:eastAsia="Times New Roman" w:hAnsi="Times New Roman" w:cs="Times New Roman"/>
          <w:kern w:val="0"/>
          <w:sz w:val="24"/>
          <w:szCs w:val="24"/>
          <w:lang w:eastAsia="lt-LT"/>
          <w14:ligatures w14:val="none"/>
        </w:rPr>
        <w:t>ir </w:t>
      </w:r>
      <w:r w:rsidRPr="00371EC3">
        <w:rPr>
          <w:rFonts w:ascii="Times New Roman" w:eastAsia="Times New Roman" w:hAnsi="Times New Roman" w:cs="Times New Roman"/>
          <w:b/>
          <w:bCs/>
          <w:kern w:val="0"/>
          <w:sz w:val="24"/>
          <w:szCs w:val="24"/>
          <w:lang w:eastAsia="lt-LT"/>
          <w14:ligatures w14:val="none"/>
        </w:rPr>
        <w:t>Norvegiją</w:t>
      </w:r>
      <w:r w:rsidRPr="00371EC3">
        <w:rPr>
          <w:rFonts w:ascii="Times New Roman" w:eastAsia="Times New Roman" w:hAnsi="Times New Roman" w:cs="Times New Roman"/>
          <w:kern w:val="0"/>
          <w:sz w:val="24"/>
          <w:szCs w:val="24"/>
          <w:lang w:eastAsia="lt-LT"/>
          <w14:ligatures w14:val="none"/>
        </w:rPr>
        <w:t>, pranešimai, kad 2023 m. šių šalių uostuose konfiskuotas rekordinis kokaino kiekis.</w:t>
      </w:r>
    </w:p>
    <w:p w14:paraId="48A7B8BD"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Įgyvendinant </w:t>
      </w:r>
      <w:hyperlink r:id="rId7" w:history="1">
        <w:r w:rsidRPr="00371EC3">
          <w:rPr>
            <w:rFonts w:ascii="Times New Roman" w:eastAsia="Times New Roman" w:hAnsi="Times New Roman" w:cs="Times New Roman"/>
            <w:color w:val="0000FF"/>
            <w:kern w:val="0"/>
            <w:sz w:val="24"/>
            <w:szCs w:val="24"/>
            <w:u w:val="single"/>
            <w:lang w:eastAsia="lt-LT"/>
            <w14:ligatures w14:val="none"/>
          </w:rPr>
          <w:t>ES kovos su prekyba narkotikais ir organizuotu nusikalstamumu veiksmų</w:t>
        </w:r>
      </w:hyperlink>
      <w:r w:rsidRPr="00371EC3">
        <w:rPr>
          <w:rFonts w:ascii="Times New Roman" w:eastAsia="Times New Roman" w:hAnsi="Times New Roman" w:cs="Times New Roman"/>
          <w:kern w:val="0"/>
          <w:sz w:val="24"/>
          <w:szCs w:val="24"/>
          <w:lang w:eastAsia="lt-LT"/>
          <w14:ligatures w14:val="none"/>
        </w:rPr>
        <w:t> planą, 2024 m. įsteigtas naujasis </w:t>
      </w:r>
      <w:hyperlink r:id="rId8" w:history="1">
        <w:r w:rsidRPr="00371EC3">
          <w:rPr>
            <w:rFonts w:ascii="Times New Roman" w:eastAsia="Times New Roman" w:hAnsi="Times New Roman" w:cs="Times New Roman"/>
            <w:color w:val="0000FF"/>
            <w:kern w:val="0"/>
            <w:sz w:val="24"/>
            <w:szCs w:val="24"/>
            <w:u w:val="single"/>
            <w:lang w:eastAsia="lt-LT"/>
            <w14:ligatures w14:val="none"/>
          </w:rPr>
          <w:t>Europos uostų aljansas</w:t>
        </w:r>
      </w:hyperlink>
      <w:r w:rsidRPr="00371EC3">
        <w:rPr>
          <w:rFonts w:ascii="Times New Roman" w:eastAsia="Times New Roman" w:hAnsi="Times New Roman" w:cs="Times New Roman"/>
          <w:kern w:val="0"/>
          <w:sz w:val="24"/>
          <w:szCs w:val="24"/>
          <w:lang w:eastAsia="lt-LT"/>
          <w14:ligatures w14:val="none"/>
        </w:rPr>
        <w:t> – viešojo ir privačiojo sektorių partnerystė, siekianti didinti uostų atsparumą ir stiprinti kovą su prekyba narkotikais ir nusikaltėlių infiltracija. Organizuotos nusikalstamos grupuotės taip pat aprūpina Europos narkotikų vartotojų rinkas perdirbdamos neteisėtus kokaino produktus keliose ES šalyse. Pranešama, kad 2022 m. buvo likviduotos 39 kokaino laboratorijos (2021 m. – 34).</w:t>
      </w:r>
    </w:p>
    <w:p w14:paraId="6566F8CF"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Yra požymių, kad didelis kokaino prieinamumas Europoje daro vis didesnę žalą visuomenės sveikatai. Tai antras pagal dažnumą neteisėtas narkotikas, apie kurį praneša ir pirmą kartą į gydymo įstaigas dėl priklausomybės besikreipiantys asmenys (29 tūkst. 2022 m.), ir atvykstantieji į ligoninių skubios pagalbos skyrius (28 proc. 2022 m. besikreipusiųjų dėl ūminio toksinio apsinuodijimo narkotikais </w:t>
      </w:r>
      <w:hyperlink r:id="rId9" w:history="1">
        <w:r w:rsidRPr="00371EC3">
          <w:rPr>
            <w:rFonts w:ascii="Times New Roman" w:eastAsia="Times New Roman" w:hAnsi="Times New Roman" w:cs="Times New Roman"/>
            <w:color w:val="0000FF"/>
            <w:kern w:val="0"/>
            <w:sz w:val="24"/>
            <w:szCs w:val="24"/>
            <w:u w:val="single"/>
            <w:lang w:eastAsia="lt-LT"/>
            <w14:ligatures w14:val="none"/>
          </w:rPr>
          <w:t xml:space="preserve">„Euro-DEN </w:t>
        </w:r>
        <w:proofErr w:type="spellStart"/>
        <w:r w:rsidRPr="00371EC3">
          <w:rPr>
            <w:rFonts w:ascii="Times New Roman" w:eastAsia="Times New Roman" w:hAnsi="Times New Roman" w:cs="Times New Roman"/>
            <w:color w:val="0000FF"/>
            <w:kern w:val="0"/>
            <w:sz w:val="24"/>
            <w:szCs w:val="24"/>
            <w:u w:val="single"/>
            <w:lang w:eastAsia="lt-LT"/>
            <w14:ligatures w14:val="none"/>
          </w:rPr>
          <w:t>Plus</w:t>
        </w:r>
        <w:proofErr w:type="spellEnd"/>
        <w:r w:rsidRPr="00371EC3">
          <w:rPr>
            <w:rFonts w:ascii="Times New Roman" w:eastAsia="Times New Roman" w:hAnsi="Times New Roman" w:cs="Times New Roman"/>
            <w:color w:val="0000FF"/>
            <w:kern w:val="0"/>
            <w:sz w:val="24"/>
            <w:szCs w:val="24"/>
            <w:u w:val="single"/>
            <w:lang w:eastAsia="lt-LT"/>
            <w14:ligatures w14:val="none"/>
          </w:rPr>
          <w:t>“</w:t>
        </w:r>
      </w:hyperlink>
      <w:r w:rsidRPr="00371EC3">
        <w:rPr>
          <w:rFonts w:ascii="Times New Roman" w:eastAsia="Times New Roman" w:hAnsi="Times New Roman" w:cs="Times New Roman"/>
          <w:kern w:val="0"/>
          <w:sz w:val="24"/>
          <w:szCs w:val="24"/>
          <w:lang w:eastAsia="lt-LT"/>
          <w14:ligatures w14:val="none"/>
        </w:rPr>
        <w:t> tinklo skubios pagalbos ligoninėse). Turimi duomenys rodo, kad šio narkotiko taip pat rasta maždaug penktadalio 2022 m. nuo perdozavimo mirusių asmenų organizme. Jis dažnai aptiktas kartu su kitomis medžiagomis. Kadangi kokaino vartojimas gali padidinti širdies ir kraujagyslių sistemos bei kitų sveikatos sutrikimų riziką, tikėtina, kad jo įtaka narkotikų sukeltam mirtingumui Europoje nepakankamai įvertinta.</w:t>
      </w:r>
    </w:p>
    <w:p w14:paraId="3A640859"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 xml:space="preserve">Kokainas yra dažniausiai Europoje vartojamas neteisėtas stimuliantas. Jį per pastaruosius metus vartojo maždaug 1,4 proc. (4 mln.) suaugusių europiečių (15–64 metų amžiaus). Turimi duomenys rodo, kad Europoje kokainas vis labiau prieinamas, jo vartojimas plečiasi ir geografiniu, ir socialiniu aspektu. Naujausi nuotekų analizės duomenys parodė, kad iš 72 miestų, pateikusių 2022 ir 2023 m. duomenis, 49 miestų nuotekose kokaino likučių kiekiai buvo padidėję. Ypač didelį susirūpinimą kelia tai, kad kai kuriose šalyse kokainą vis dažniau vartoja labiau pažeidžiamos arba </w:t>
      </w:r>
      <w:proofErr w:type="spellStart"/>
      <w:r w:rsidRPr="00371EC3">
        <w:rPr>
          <w:rFonts w:ascii="Times New Roman" w:eastAsia="Times New Roman" w:hAnsi="Times New Roman" w:cs="Times New Roman"/>
          <w:kern w:val="0"/>
          <w:sz w:val="24"/>
          <w:szCs w:val="24"/>
          <w:lang w:eastAsia="lt-LT"/>
          <w14:ligatures w14:val="none"/>
        </w:rPr>
        <w:t>marginalizuotos</w:t>
      </w:r>
      <w:proofErr w:type="spellEnd"/>
      <w:r w:rsidRPr="00371EC3">
        <w:rPr>
          <w:rFonts w:ascii="Times New Roman" w:eastAsia="Times New Roman" w:hAnsi="Times New Roman" w:cs="Times New Roman"/>
          <w:kern w:val="0"/>
          <w:sz w:val="24"/>
          <w:szCs w:val="24"/>
          <w:lang w:eastAsia="lt-LT"/>
          <w14:ligatures w14:val="none"/>
        </w:rPr>
        <w:t xml:space="preserve"> grupės. Pranešama, kad daugelyje šalių plinta ir kokaino </w:t>
      </w:r>
      <w:proofErr w:type="spellStart"/>
      <w:r w:rsidRPr="00371EC3">
        <w:rPr>
          <w:rFonts w:ascii="Times New Roman" w:eastAsia="Times New Roman" w:hAnsi="Times New Roman" w:cs="Times New Roman"/>
          <w:kern w:val="0"/>
          <w:sz w:val="24"/>
          <w:szCs w:val="24"/>
          <w:lang w:eastAsia="lt-LT"/>
          <w14:ligatures w14:val="none"/>
        </w:rPr>
        <w:t>švirkštimasis</w:t>
      </w:r>
      <w:proofErr w:type="spellEnd"/>
      <w:r w:rsidRPr="00371EC3">
        <w:rPr>
          <w:rFonts w:ascii="Times New Roman" w:eastAsia="Times New Roman" w:hAnsi="Times New Roman" w:cs="Times New Roman"/>
          <w:kern w:val="0"/>
          <w:sz w:val="24"/>
          <w:szCs w:val="24"/>
          <w:lang w:eastAsia="lt-LT"/>
          <w14:ligatures w14:val="none"/>
        </w:rPr>
        <w:t xml:space="preserve">, ir kokaino kreko vartojimas. </w:t>
      </w:r>
      <w:r w:rsidRPr="00371EC3">
        <w:rPr>
          <w:rFonts w:ascii="Times New Roman" w:eastAsia="Times New Roman" w:hAnsi="Times New Roman" w:cs="Times New Roman"/>
          <w:kern w:val="0"/>
          <w:sz w:val="24"/>
          <w:szCs w:val="24"/>
          <w:lang w:eastAsia="lt-LT"/>
          <w14:ligatures w14:val="none"/>
        </w:rPr>
        <w:lastRenderedPageBreak/>
        <w:t>Tokie stimuliantai kaip kokainas dažniau švirkščiami ir buvo susiję su pastarąjį dešimtmetį daugelyje Europos miestų įvykusiais lokalizuotais ŽIV protrūkiais tarp švirkščiamųjų narkotikų vartotojų.</w:t>
      </w:r>
    </w:p>
    <w:p w14:paraId="2AA10E6F" w14:textId="77777777" w:rsidR="00371EC3" w:rsidRPr="00371EC3" w:rsidRDefault="00371EC3" w:rsidP="00371EC3">
      <w:pPr>
        <w:spacing w:before="100" w:beforeAutospacing="1" w:after="100" w:afterAutospacing="1" w:line="240" w:lineRule="auto"/>
        <w:jc w:val="both"/>
        <w:outlineLvl w:val="2"/>
        <w:rPr>
          <w:rFonts w:ascii="Helvetica" w:eastAsia="Times New Roman" w:hAnsi="Helvetica" w:cs="Helvetica"/>
          <w:kern w:val="0"/>
          <w:sz w:val="27"/>
          <w:szCs w:val="27"/>
          <w:lang w:eastAsia="lt-LT"/>
          <w14:ligatures w14:val="none"/>
        </w:rPr>
      </w:pPr>
      <w:r w:rsidRPr="00371EC3">
        <w:rPr>
          <w:rFonts w:ascii="Helvetica" w:eastAsia="Times New Roman" w:hAnsi="Helvetica" w:cs="Helvetica"/>
          <w:kern w:val="0"/>
          <w:sz w:val="27"/>
          <w:szCs w:val="27"/>
          <w:lang w:eastAsia="lt-LT"/>
          <w14:ligatures w14:val="none"/>
        </w:rPr>
        <w:t>Besikeičiančios kanapių rinkos kelia naujų iššūkių kovos su narkotikais politikai</w:t>
      </w:r>
    </w:p>
    <w:p w14:paraId="7FB37277"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 xml:space="preserve">Pokyčiai kanapių rinkoje kelia naujų iššūkių šalims imantis atsakomųjų veiksmų, kuriais stengiamasi pažaboti Europoje dažniausiai vartojamą narkotiką. Vidutinis THC kiekis kanapių dervoje per pastaruosius 10 metų padvigubėjo ir toliau didėja (2022 m. siekė 22,8 proc.), o augalinėse kanapėse THC kiekis iš esmės nekinta. Kanapių produktai tampa vis įvairesni, įskaitant didelio stiprumo ekstraktus ir valgomuosius gaminius. Be to, gaunama pranešimų, kad į kai kuriuos produktus, kurie nelegalioje rinkoje parduodami kaip kanapės, gali būti įmaišyta stiprių sintetinių </w:t>
      </w:r>
      <w:proofErr w:type="spellStart"/>
      <w:r w:rsidRPr="00371EC3">
        <w:rPr>
          <w:rFonts w:ascii="Times New Roman" w:eastAsia="Times New Roman" w:hAnsi="Times New Roman" w:cs="Times New Roman"/>
          <w:kern w:val="0"/>
          <w:sz w:val="24"/>
          <w:szCs w:val="24"/>
          <w:lang w:eastAsia="lt-LT"/>
          <w14:ligatures w14:val="none"/>
        </w:rPr>
        <w:t>kanabinoidų</w:t>
      </w:r>
      <w:proofErr w:type="spellEnd"/>
      <w:r w:rsidRPr="00371EC3">
        <w:rPr>
          <w:rFonts w:ascii="Times New Roman" w:eastAsia="Times New Roman" w:hAnsi="Times New Roman" w:cs="Times New Roman"/>
          <w:kern w:val="0"/>
          <w:sz w:val="24"/>
          <w:szCs w:val="24"/>
          <w:lang w:eastAsia="lt-LT"/>
          <w14:ligatures w14:val="none"/>
        </w:rPr>
        <w:t>.</w:t>
      </w:r>
    </w:p>
    <w:p w14:paraId="223B3DA3"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2023 m. </w:t>
      </w:r>
      <w:hyperlink r:id="rId10" w:history="1">
        <w:r w:rsidRPr="00371EC3">
          <w:rPr>
            <w:rFonts w:ascii="Times New Roman" w:eastAsia="Times New Roman" w:hAnsi="Times New Roman" w:cs="Times New Roman"/>
            <w:color w:val="0000FF"/>
            <w:kern w:val="0"/>
            <w:sz w:val="24"/>
            <w:szCs w:val="24"/>
            <w:u w:val="single"/>
            <w:lang w:eastAsia="lt-LT"/>
            <w14:ligatures w14:val="none"/>
          </w:rPr>
          <w:t>ES ankstyvojo perspėjimo sistemoje</w:t>
        </w:r>
      </w:hyperlink>
      <w:r w:rsidRPr="00371EC3">
        <w:rPr>
          <w:rFonts w:ascii="Times New Roman" w:eastAsia="Times New Roman" w:hAnsi="Times New Roman" w:cs="Times New Roman"/>
          <w:kern w:val="0"/>
          <w:sz w:val="24"/>
          <w:szCs w:val="24"/>
          <w:lang w:eastAsia="lt-LT"/>
          <w14:ligatures w14:val="none"/>
        </w:rPr>
        <w:t xml:space="preserve"> gauta pranešimų apie devynis naujus </w:t>
      </w:r>
      <w:proofErr w:type="spellStart"/>
      <w:r w:rsidRPr="00371EC3">
        <w:rPr>
          <w:rFonts w:ascii="Times New Roman" w:eastAsia="Times New Roman" w:hAnsi="Times New Roman" w:cs="Times New Roman"/>
          <w:kern w:val="0"/>
          <w:sz w:val="24"/>
          <w:szCs w:val="24"/>
          <w:lang w:eastAsia="lt-LT"/>
          <w14:ligatures w14:val="none"/>
        </w:rPr>
        <w:t>kanabinoidus</w:t>
      </w:r>
      <w:proofErr w:type="spellEnd"/>
      <w:r w:rsidRPr="00371EC3">
        <w:rPr>
          <w:rFonts w:ascii="Times New Roman" w:eastAsia="Times New Roman" w:hAnsi="Times New Roman" w:cs="Times New Roman"/>
          <w:kern w:val="0"/>
          <w:sz w:val="24"/>
          <w:szCs w:val="24"/>
          <w:lang w:eastAsia="lt-LT"/>
          <w14:ligatures w14:val="none"/>
        </w:rPr>
        <w:t xml:space="preserve">, iš kurių keturi buvo pusiau sintetiniai. Dažniausiai aptinkamas pusiau sintetinis </w:t>
      </w:r>
      <w:proofErr w:type="spellStart"/>
      <w:r w:rsidRPr="00371EC3">
        <w:rPr>
          <w:rFonts w:ascii="Times New Roman" w:eastAsia="Times New Roman" w:hAnsi="Times New Roman" w:cs="Times New Roman"/>
          <w:kern w:val="0"/>
          <w:sz w:val="24"/>
          <w:szCs w:val="24"/>
          <w:lang w:eastAsia="lt-LT"/>
          <w14:ligatures w14:val="none"/>
        </w:rPr>
        <w:t>kanabinoidas</w:t>
      </w:r>
      <w:proofErr w:type="spellEnd"/>
      <w:r w:rsidRPr="00371EC3">
        <w:rPr>
          <w:rFonts w:ascii="Times New Roman" w:eastAsia="Times New Roman" w:hAnsi="Times New Roman" w:cs="Times New Roman"/>
          <w:kern w:val="0"/>
          <w:sz w:val="24"/>
          <w:szCs w:val="24"/>
          <w:lang w:eastAsia="lt-LT"/>
          <w14:ligatures w14:val="none"/>
        </w:rPr>
        <w:t xml:space="preserve"> yra </w:t>
      </w:r>
      <w:proofErr w:type="spellStart"/>
      <w:r w:rsidRPr="00371EC3">
        <w:rPr>
          <w:rFonts w:ascii="Times New Roman" w:eastAsia="Times New Roman" w:hAnsi="Times New Roman" w:cs="Times New Roman"/>
          <w:kern w:val="0"/>
          <w:sz w:val="24"/>
          <w:szCs w:val="24"/>
          <w:lang w:eastAsia="lt-LT"/>
          <w14:ligatures w14:val="none"/>
        </w:rPr>
        <w:t>heksahidrokanabinolis</w:t>
      </w:r>
      <w:proofErr w:type="spellEnd"/>
      <w:r w:rsidRPr="00371EC3">
        <w:rPr>
          <w:rFonts w:ascii="Times New Roman" w:eastAsia="Times New Roman" w:hAnsi="Times New Roman" w:cs="Times New Roman"/>
          <w:kern w:val="0"/>
          <w:sz w:val="24"/>
          <w:szCs w:val="24"/>
          <w:lang w:eastAsia="lt-LT"/>
          <w14:ligatures w14:val="none"/>
        </w:rPr>
        <w:t xml:space="preserve"> (</w:t>
      </w:r>
      <w:hyperlink r:id="rId11" w:history="1">
        <w:r w:rsidRPr="00371EC3">
          <w:rPr>
            <w:rFonts w:ascii="Times New Roman" w:eastAsia="Times New Roman" w:hAnsi="Times New Roman" w:cs="Times New Roman"/>
            <w:color w:val="0000FF"/>
            <w:kern w:val="0"/>
            <w:sz w:val="24"/>
            <w:szCs w:val="24"/>
            <w:u w:val="single"/>
            <w:lang w:eastAsia="lt-LT"/>
            <w14:ligatures w14:val="none"/>
          </w:rPr>
          <w:t>HHC</w:t>
        </w:r>
      </w:hyperlink>
      <w:r w:rsidRPr="00371EC3">
        <w:rPr>
          <w:rFonts w:ascii="Times New Roman" w:eastAsia="Times New Roman" w:hAnsi="Times New Roman" w:cs="Times New Roman"/>
          <w:kern w:val="0"/>
          <w:sz w:val="24"/>
          <w:szCs w:val="24"/>
          <w:lang w:eastAsia="lt-LT"/>
          <w14:ligatures w14:val="none"/>
        </w:rPr>
        <w:t>) – tai pirma tokios rūšies medžiaga, apie kurią Europoje pranešta 2022 m. Nors duomenų apie šių medžiagų poveikį žmonėms yra nedaug, gauta pranešimų apie apsinuodijimą, taip pat ir apsinuodijusius vaikus, vartojusius valgomus produktus, kurių sudėtyje yra HHC. Nuo 2024 m. kovo mėn. HHC buvo įtrauktas į kontroliuojamų narkotikų sąrašą bent 18 ES valstybių narių.</w:t>
      </w:r>
    </w:p>
    <w:p w14:paraId="55B85A2C"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Manoma, kad per pastaruosius metus kanapes vartojo maždaug 8 proc. (22,8 mln.) suaugusių Europos gyventojų (15–64 m.), o tarp 15–34 m. asmenų šis skaičius siekė 15 proc. (15,1 mln.). Manoma, kad 2022 m. dėl kanapių vartojimo sukeltų problemų specializuotą priklausomybės nuo narkotikų vartojimo gydymą pradėjo 92 000 asmenų, t. y. maždaug trečdalis (36 proc.) visų pradėjusiųjų gydytis. Kanapės taip pat buvo dažniausia medžiaga, apie kurią 2022 m. pranešė </w:t>
      </w:r>
      <w:hyperlink r:id="rId12" w:history="1">
        <w:r w:rsidRPr="00371EC3">
          <w:rPr>
            <w:rFonts w:ascii="Times New Roman" w:eastAsia="Times New Roman" w:hAnsi="Times New Roman" w:cs="Times New Roman"/>
            <w:color w:val="0000FF"/>
            <w:kern w:val="0"/>
            <w:sz w:val="24"/>
            <w:szCs w:val="24"/>
            <w:u w:val="single"/>
            <w:lang w:eastAsia="lt-LT"/>
            <w14:ligatures w14:val="none"/>
          </w:rPr>
          <w:t xml:space="preserve">„Euro-DEN </w:t>
        </w:r>
        <w:proofErr w:type="spellStart"/>
        <w:r w:rsidRPr="00371EC3">
          <w:rPr>
            <w:rFonts w:ascii="Times New Roman" w:eastAsia="Times New Roman" w:hAnsi="Times New Roman" w:cs="Times New Roman"/>
            <w:color w:val="0000FF"/>
            <w:kern w:val="0"/>
            <w:sz w:val="24"/>
            <w:szCs w:val="24"/>
            <w:u w:val="single"/>
            <w:lang w:eastAsia="lt-LT"/>
            <w14:ligatures w14:val="none"/>
          </w:rPr>
          <w:t>Plus</w:t>
        </w:r>
        <w:proofErr w:type="spellEnd"/>
        <w:r w:rsidRPr="00371EC3">
          <w:rPr>
            <w:rFonts w:ascii="Times New Roman" w:eastAsia="Times New Roman" w:hAnsi="Times New Roman" w:cs="Times New Roman"/>
            <w:color w:val="0000FF"/>
            <w:kern w:val="0"/>
            <w:sz w:val="24"/>
            <w:szCs w:val="24"/>
            <w:u w:val="single"/>
            <w:lang w:eastAsia="lt-LT"/>
            <w14:ligatures w14:val="none"/>
          </w:rPr>
          <w:t>“</w:t>
        </w:r>
      </w:hyperlink>
      <w:r w:rsidRPr="00371EC3">
        <w:rPr>
          <w:rFonts w:ascii="Times New Roman" w:eastAsia="Times New Roman" w:hAnsi="Times New Roman" w:cs="Times New Roman"/>
          <w:kern w:val="0"/>
          <w:sz w:val="24"/>
          <w:szCs w:val="24"/>
          <w:lang w:eastAsia="lt-LT"/>
          <w14:ligatures w14:val="none"/>
        </w:rPr>
        <w:t> ligoninių tinklas – jos sukėlė 29 proc. ūminio toksinio apsinuodijimo narkotikais atvejų (2021 m. – 25 proc.).</w:t>
      </w:r>
    </w:p>
    <w:p w14:paraId="1C684086"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Kanapių vartojimas gali sukelti arba sustiprinti įvairias fizinės ir psichinės sveikatos problemas, įskaitant lėtines kvėpavimo takų ligas, priklausomybę, sukelti psichozės simptomus. Atsižvelgiant į rinkos sudėtingumą ir prieinamų produktų įvairovę, įvertinti kanapių vartojimo keliamą žalą sudėtinga. Siekiant nustatyti veiksmingiausius gydymo būdus, būtina išsamiai išsiaiškinti iššūkius, su kuriais susiduria kanapes vartojantys žmonės. Kanapių vartojimo sukeltų problemų turintiems asmenims paprastai siūloma priklausomybę padedanti įveikti psichoterapija, vis dažniau taikomos e. sveikatos (internetinės) intervencinės priemonės.</w:t>
      </w:r>
    </w:p>
    <w:p w14:paraId="668015CA"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Penkios ES valstybės narės (</w:t>
      </w:r>
      <w:r w:rsidRPr="00371EC3">
        <w:rPr>
          <w:rFonts w:ascii="Times New Roman" w:eastAsia="Times New Roman" w:hAnsi="Times New Roman" w:cs="Times New Roman"/>
          <w:b/>
          <w:bCs/>
          <w:kern w:val="0"/>
          <w:sz w:val="24"/>
          <w:szCs w:val="24"/>
          <w:lang w:eastAsia="lt-LT"/>
          <w14:ligatures w14:val="none"/>
        </w:rPr>
        <w:t>Čekija, Vokietija, Liuksemburgas, Malta</w:t>
      </w:r>
      <w:r w:rsidRPr="00371EC3">
        <w:rPr>
          <w:rFonts w:ascii="Times New Roman" w:eastAsia="Times New Roman" w:hAnsi="Times New Roman" w:cs="Times New Roman"/>
          <w:kern w:val="0"/>
          <w:sz w:val="24"/>
          <w:szCs w:val="24"/>
          <w:lang w:eastAsia="lt-LT"/>
          <w14:ligatures w14:val="none"/>
        </w:rPr>
        <w:t> ir </w:t>
      </w:r>
      <w:r w:rsidRPr="00371EC3">
        <w:rPr>
          <w:rFonts w:ascii="Times New Roman" w:eastAsia="Times New Roman" w:hAnsi="Times New Roman" w:cs="Times New Roman"/>
          <w:b/>
          <w:bCs/>
          <w:kern w:val="0"/>
          <w:sz w:val="24"/>
          <w:szCs w:val="24"/>
          <w:lang w:eastAsia="lt-LT"/>
          <w14:ligatures w14:val="none"/>
        </w:rPr>
        <w:t>Nyderlandai</w:t>
      </w:r>
      <w:r w:rsidRPr="00371EC3">
        <w:rPr>
          <w:rFonts w:ascii="Times New Roman" w:eastAsia="Times New Roman" w:hAnsi="Times New Roman" w:cs="Times New Roman"/>
          <w:kern w:val="0"/>
          <w:sz w:val="24"/>
          <w:szCs w:val="24"/>
          <w:lang w:eastAsia="lt-LT"/>
          <w14:ligatures w14:val="none"/>
        </w:rPr>
        <w:t>) bei </w:t>
      </w:r>
      <w:r w:rsidRPr="00371EC3">
        <w:rPr>
          <w:rFonts w:ascii="Times New Roman" w:eastAsia="Times New Roman" w:hAnsi="Times New Roman" w:cs="Times New Roman"/>
          <w:b/>
          <w:bCs/>
          <w:kern w:val="0"/>
          <w:sz w:val="24"/>
          <w:szCs w:val="24"/>
          <w:lang w:eastAsia="lt-LT"/>
          <w14:ligatures w14:val="none"/>
        </w:rPr>
        <w:t>Šveicarija</w:t>
      </w:r>
      <w:r w:rsidRPr="00371EC3">
        <w:rPr>
          <w:rFonts w:ascii="Times New Roman" w:eastAsia="Times New Roman" w:hAnsi="Times New Roman" w:cs="Times New Roman"/>
          <w:kern w:val="0"/>
          <w:sz w:val="24"/>
          <w:szCs w:val="24"/>
          <w:lang w:eastAsia="lt-LT"/>
          <w14:ligatures w14:val="none"/>
        </w:rPr>
        <w:t> pakeitė arba planuoja keisti rekreacinio kanapių vartojimo ir pasiūlos politiką. Šie pokyčiai, numatantys kanapių auginimą namuose, ne pelno siekiančiuose kanapių auginimo klubuose ir kanapių vartojimą privačiai, aprašyti ataskaitoje. Joje taip pat pabrėžiama, kad būtina daugiau dėmesio skirti stebėsenai ir vertinimui, siekiant visapusiškai suprasti jų poveikį visuomenės sveikatai ir saugumui (</w:t>
      </w:r>
      <w:r w:rsidRPr="00371EC3">
        <w:rPr>
          <w:rFonts w:ascii="Times New Roman" w:eastAsia="Times New Roman" w:hAnsi="Times New Roman" w:cs="Times New Roman"/>
          <w:kern w:val="0"/>
          <w:sz w:val="20"/>
          <w:szCs w:val="20"/>
          <w:vertAlign w:val="superscript"/>
          <w:lang w:eastAsia="lt-LT"/>
          <w14:ligatures w14:val="none"/>
        </w:rPr>
        <w:t>3</w:t>
      </w:r>
      <w:r w:rsidRPr="00371EC3">
        <w:rPr>
          <w:rFonts w:ascii="Times New Roman" w:eastAsia="Times New Roman" w:hAnsi="Times New Roman" w:cs="Times New Roman"/>
          <w:kern w:val="0"/>
          <w:sz w:val="24"/>
          <w:szCs w:val="24"/>
          <w:lang w:eastAsia="lt-LT"/>
          <w14:ligatures w14:val="none"/>
        </w:rPr>
        <w:t>).</w:t>
      </w:r>
    </w:p>
    <w:p w14:paraId="5AD0E0AA" w14:textId="77777777" w:rsidR="00371EC3" w:rsidRPr="00371EC3" w:rsidRDefault="00371EC3" w:rsidP="00371EC3">
      <w:pPr>
        <w:spacing w:after="100" w:afterAutospacing="1"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b/>
          <w:bCs/>
          <w:kern w:val="0"/>
          <w:sz w:val="24"/>
          <w:szCs w:val="24"/>
          <w:lang w:eastAsia="lt-LT"/>
          <w14:ligatures w14:val="none"/>
        </w:rPr>
        <w:t xml:space="preserve">EMCDDA valdybos pirmininkas </w:t>
      </w:r>
      <w:proofErr w:type="spellStart"/>
      <w:r w:rsidRPr="00371EC3">
        <w:rPr>
          <w:rFonts w:ascii="Times New Roman" w:eastAsia="Times New Roman" w:hAnsi="Times New Roman" w:cs="Times New Roman"/>
          <w:b/>
          <w:bCs/>
          <w:kern w:val="0"/>
          <w:sz w:val="24"/>
          <w:szCs w:val="24"/>
          <w:lang w:eastAsia="lt-LT"/>
          <w14:ligatures w14:val="none"/>
        </w:rPr>
        <w:t>Franz</w:t>
      </w:r>
      <w:proofErr w:type="spellEnd"/>
      <w:r w:rsidRPr="00371EC3">
        <w:rPr>
          <w:rFonts w:ascii="Times New Roman" w:eastAsia="Times New Roman" w:hAnsi="Times New Roman" w:cs="Times New Roman"/>
          <w:b/>
          <w:bCs/>
          <w:kern w:val="0"/>
          <w:sz w:val="24"/>
          <w:szCs w:val="24"/>
          <w:lang w:eastAsia="lt-LT"/>
          <w14:ligatures w14:val="none"/>
        </w:rPr>
        <w:t xml:space="preserve"> </w:t>
      </w:r>
      <w:proofErr w:type="spellStart"/>
      <w:r w:rsidRPr="00371EC3">
        <w:rPr>
          <w:rFonts w:ascii="Times New Roman" w:eastAsia="Times New Roman" w:hAnsi="Times New Roman" w:cs="Times New Roman"/>
          <w:b/>
          <w:bCs/>
          <w:kern w:val="0"/>
          <w:sz w:val="24"/>
          <w:szCs w:val="24"/>
          <w:lang w:eastAsia="lt-LT"/>
          <w14:ligatures w14:val="none"/>
        </w:rPr>
        <w:t>Pietsch</w:t>
      </w:r>
      <w:proofErr w:type="spellEnd"/>
      <w:r w:rsidRPr="00371EC3">
        <w:rPr>
          <w:rFonts w:ascii="Times New Roman" w:eastAsia="Times New Roman" w:hAnsi="Times New Roman" w:cs="Times New Roman"/>
          <w:b/>
          <w:bCs/>
          <w:kern w:val="0"/>
          <w:sz w:val="24"/>
          <w:szCs w:val="24"/>
          <w:lang w:eastAsia="lt-LT"/>
          <w14:ligatures w14:val="none"/>
        </w:rPr>
        <w:t> </w:t>
      </w:r>
      <w:r w:rsidRPr="00371EC3">
        <w:rPr>
          <w:rFonts w:ascii="Times New Roman" w:eastAsia="Times New Roman" w:hAnsi="Times New Roman" w:cs="Times New Roman"/>
          <w:kern w:val="0"/>
          <w:sz w:val="24"/>
          <w:szCs w:val="24"/>
          <w:lang w:eastAsia="lt-LT"/>
          <w14:ligatures w14:val="none"/>
        </w:rPr>
        <w:t>pažymi: „Tai paskutinė </w:t>
      </w:r>
      <w:r w:rsidRPr="00371EC3">
        <w:rPr>
          <w:rFonts w:ascii="Times New Roman" w:eastAsia="Times New Roman" w:hAnsi="Times New Roman" w:cs="Times New Roman"/>
          <w:i/>
          <w:iCs/>
          <w:kern w:val="0"/>
          <w:sz w:val="24"/>
          <w:szCs w:val="24"/>
          <w:lang w:eastAsia="lt-LT"/>
          <w14:ligatures w14:val="none"/>
        </w:rPr>
        <w:t>Europos narkotikų vartojimo paplitimo ataskaita</w:t>
      </w:r>
      <w:r w:rsidRPr="00371EC3">
        <w:rPr>
          <w:rFonts w:ascii="Times New Roman" w:eastAsia="Times New Roman" w:hAnsi="Times New Roman" w:cs="Times New Roman"/>
          <w:kern w:val="0"/>
          <w:sz w:val="24"/>
          <w:szCs w:val="24"/>
          <w:lang w:eastAsia="lt-LT"/>
          <w14:ligatures w14:val="none"/>
        </w:rPr>
        <w:t xml:space="preserve">, kurią paskelbė EMCDDA, kuris kitą mėnesį taps Europos Sąjungos narkotikų agentūra. Ši naujausia analizė parodo, kaip smarkiai pasikeitė narkotikų vartojimo problemos nuo pirmosios ataskaitos, parengtos maždaug prieš 30 metų, ir kodėl agentūrai buvo suteikti platesni įgaliojimai. Noriu padėkoti EMCDDA už didžiulį ilgametį įdirbį, kuriuo jis nepaprastai pasitarnavo savo suinteresuotosioms šalims. Esu įsitikinęs, kad naujai sukurtos agentūros </w:t>
      </w:r>
      <w:r w:rsidRPr="00371EC3">
        <w:rPr>
          <w:rFonts w:ascii="Times New Roman" w:eastAsia="Times New Roman" w:hAnsi="Times New Roman" w:cs="Times New Roman"/>
          <w:kern w:val="0"/>
          <w:sz w:val="24"/>
          <w:szCs w:val="24"/>
          <w:lang w:eastAsia="lt-LT"/>
          <w14:ligatures w14:val="none"/>
        </w:rPr>
        <w:lastRenderedPageBreak/>
        <w:t>veikla bus dar naudingesnė kovos su narkotikais srityje dirbantiems specialistams, kurie stengiasi pažaboti narkotikų vartojimo priežastis ir padarinius“.</w:t>
      </w:r>
    </w:p>
    <w:p w14:paraId="1A47C462" w14:textId="77777777" w:rsidR="00371EC3" w:rsidRPr="00371EC3" w:rsidRDefault="00371EC3" w:rsidP="00371EC3">
      <w:pPr>
        <w:pBdr>
          <w:bottom w:val="single" w:sz="6" w:space="0" w:color="FFFFFF"/>
        </w:pBdr>
        <w:spacing w:after="100" w:afterAutospacing="1" w:line="240" w:lineRule="auto"/>
        <w:jc w:val="both"/>
        <w:outlineLvl w:val="1"/>
        <w:rPr>
          <w:rFonts w:ascii="Helvetica" w:eastAsia="Times New Roman" w:hAnsi="Helvetica" w:cs="Helvetica"/>
          <w:b/>
          <w:bCs/>
          <w:color w:val="5A5A5A"/>
          <w:kern w:val="0"/>
          <w:sz w:val="36"/>
          <w:szCs w:val="36"/>
          <w:lang w:eastAsia="lt-LT"/>
          <w14:ligatures w14:val="none"/>
        </w:rPr>
      </w:pPr>
      <w:proofErr w:type="spellStart"/>
      <w:r w:rsidRPr="00371EC3">
        <w:rPr>
          <w:rFonts w:ascii="Helvetica" w:eastAsia="Times New Roman" w:hAnsi="Helvetica" w:cs="Helvetica"/>
          <w:b/>
          <w:bCs/>
          <w:color w:val="5A5A5A"/>
          <w:kern w:val="0"/>
          <w:sz w:val="36"/>
          <w:szCs w:val="36"/>
          <w:lang w:eastAsia="lt-LT"/>
          <w14:ligatures w14:val="none"/>
        </w:rPr>
        <w:t>Notes</w:t>
      </w:r>
      <w:proofErr w:type="spellEnd"/>
    </w:p>
    <w:p w14:paraId="4E45A949" w14:textId="77777777" w:rsidR="00371EC3" w:rsidRPr="00371EC3" w:rsidRDefault="00371EC3" w:rsidP="00371EC3">
      <w:pPr>
        <w:spacing w:after="0" w:line="240" w:lineRule="auto"/>
        <w:jc w:val="both"/>
        <w:rPr>
          <w:rFonts w:ascii="Times New Roman" w:eastAsia="Times New Roman" w:hAnsi="Times New Roman" w:cs="Times New Roman"/>
          <w:kern w:val="0"/>
          <w:sz w:val="24"/>
          <w:szCs w:val="24"/>
          <w:lang w:eastAsia="lt-LT"/>
          <w14:ligatures w14:val="none"/>
        </w:rPr>
      </w:pPr>
      <w:r w:rsidRPr="00371EC3">
        <w:rPr>
          <w:rFonts w:ascii="Times New Roman" w:eastAsia="Times New Roman" w:hAnsi="Times New Roman" w:cs="Times New Roman"/>
          <w:kern w:val="0"/>
          <w:sz w:val="24"/>
          <w:szCs w:val="24"/>
          <w:lang w:eastAsia="lt-LT"/>
          <w14:ligatures w14:val="none"/>
        </w:rPr>
        <w:t>(</w:t>
      </w:r>
      <w:r w:rsidRPr="00371EC3">
        <w:rPr>
          <w:rFonts w:ascii="Times New Roman" w:eastAsia="Times New Roman" w:hAnsi="Times New Roman" w:cs="Times New Roman"/>
          <w:kern w:val="0"/>
          <w:sz w:val="18"/>
          <w:szCs w:val="18"/>
          <w:vertAlign w:val="superscript"/>
          <w:lang w:eastAsia="lt-LT"/>
          <w14:ligatures w14:val="none"/>
        </w:rPr>
        <w:t>1</w:t>
      </w:r>
      <w:r w:rsidRPr="00371EC3">
        <w:rPr>
          <w:rFonts w:ascii="Times New Roman" w:eastAsia="Times New Roman" w:hAnsi="Times New Roman" w:cs="Times New Roman"/>
          <w:kern w:val="0"/>
          <w:sz w:val="24"/>
          <w:szCs w:val="24"/>
          <w:lang w:eastAsia="lt-LT"/>
          <w14:ligatures w14:val="none"/>
        </w:rPr>
        <w:t>) Daugiau informacijos apie </w:t>
      </w:r>
      <w:r w:rsidRPr="00371EC3">
        <w:rPr>
          <w:rFonts w:ascii="Times New Roman" w:eastAsia="Times New Roman" w:hAnsi="Times New Roman" w:cs="Times New Roman"/>
          <w:i/>
          <w:iCs/>
          <w:kern w:val="0"/>
          <w:sz w:val="24"/>
          <w:szCs w:val="24"/>
          <w:lang w:eastAsia="lt-LT"/>
          <w14:ligatures w14:val="none"/>
        </w:rPr>
        <w:t>2024 m. Europos narkotikų vartojimo paplitimo ataskaitą</w:t>
      </w:r>
      <w:r w:rsidRPr="00371EC3">
        <w:rPr>
          <w:rFonts w:ascii="Times New Roman" w:eastAsia="Times New Roman" w:hAnsi="Times New Roman" w:cs="Times New Roman"/>
          <w:kern w:val="0"/>
          <w:sz w:val="24"/>
          <w:szCs w:val="24"/>
          <w:lang w:eastAsia="lt-LT"/>
          <w14:ligatures w14:val="none"/>
        </w:rPr>
        <w:t> rasite </w:t>
      </w:r>
      <w:hyperlink r:id="rId13" w:history="1">
        <w:r w:rsidRPr="00371EC3">
          <w:rPr>
            <w:rFonts w:ascii="Times New Roman" w:eastAsia="Times New Roman" w:hAnsi="Times New Roman" w:cs="Times New Roman"/>
            <w:color w:val="0000FF"/>
            <w:kern w:val="0"/>
            <w:sz w:val="24"/>
            <w:szCs w:val="24"/>
            <w:u w:val="single"/>
            <w:lang w:eastAsia="lt-LT"/>
            <w14:ligatures w14:val="none"/>
          </w:rPr>
          <w:t>pristatymo renginyje: 2024 m. Europos narkotikų vartojimo paplitimo ataskaita</w:t>
        </w:r>
      </w:hyperlink>
      <w:r w:rsidRPr="00371EC3">
        <w:rPr>
          <w:rFonts w:ascii="Times New Roman" w:eastAsia="Times New Roman" w:hAnsi="Times New Roman" w:cs="Times New Roman"/>
          <w:kern w:val="0"/>
          <w:sz w:val="24"/>
          <w:szCs w:val="24"/>
          <w:lang w:eastAsia="lt-LT"/>
          <w14:ligatures w14:val="none"/>
        </w:rPr>
        <w:t>. Remiantis 2022 m. arba paskutinių metų turimais duomenimis, ataskaitoje aprašoma narkotikų vartojimo padėtis 2023 m. pabaigoje.</w:t>
      </w:r>
      <w:r w:rsidRPr="00371EC3">
        <w:rPr>
          <w:rFonts w:ascii="Times New Roman" w:eastAsia="Times New Roman" w:hAnsi="Times New Roman" w:cs="Times New Roman"/>
          <w:kern w:val="0"/>
          <w:sz w:val="24"/>
          <w:szCs w:val="24"/>
          <w:lang w:eastAsia="lt-LT"/>
          <w14:ligatures w14:val="none"/>
        </w:rPr>
        <w:br/>
        <w:t>(</w:t>
      </w:r>
      <w:r w:rsidRPr="00371EC3">
        <w:rPr>
          <w:rFonts w:ascii="Times New Roman" w:eastAsia="Times New Roman" w:hAnsi="Times New Roman" w:cs="Times New Roman"/>
          <w:kern w:val="0"/>
          <w:sz w:val="18"/>
          <w:szCs w:val="18"/>
          <w:vertAlign w:val="superscript"/>
          <w:lang w:eastAsia="lt-LT"/>
          <w14:ligatures w14:val="none"/>
        </w:rPr>
        <w:t>2</w:t>
      </w:r>
      <w:r w:rsidRPr="00371EC3">
        <w:rPr>
          <w:rFonts w:ascii="Times New Roman" w:eastAsia="Times New Roman" w:hAnsi="Times New Roman" w:cs="Times New Roman"/>
          <w:kern w:val="0"/>
          <w:sz w:val="24"/>
          <w:szCs w:val="24"/>
          <w:lang w:eastAsia="lt-LT"/>
          <w14:ligatures w14:val="none"/>
        </w:rPr>
        <w:t>) 2024 m. liepos 2 d. EMCDDA taps Europos Sąjungos narkotikų agentūra (EUDA) ir įgis </w:t>
      </w:r>
      <w:hyperlink r:id="rId14" w:history="1">
        <w:r w:rsidRPr="00371EC3">
          <w:rPr>
            <w:rFonts w:ascii="Times New Roman" w:eastAsia="Times New Roman" w:hAnsi="Times New Roman" w:cs="Times New Roman"/>
            <w:color w:val="0000FF"/>
            <w:kern w:val="0"/>
            <w:sz w:val="24"/>
            <w:szCs w:val="24"/>
            <w:u w:val="single"/>
            <w:lang w:eastAsia="lt-LT"/>
            <w14:ligatures w14:val="none"/>
          </w:rPr>
          <w:t>platesnius įgaliojimus</w:t>
        </w:r>
      </w:hyperlink>
      <w:r w:rsidRPr="00371EC3">
        <w:rPr>
          <w:rFonts w:ascii="Times New Roman" w:eastAsia="Times New Roman" w:hAnsi="Times New Roman" w:cs="Times New Roman"/>
          <w:kern w:val="0"/>
          <w:sz w:val="24"/>
          <w:szCs w:val="24"/>
          <w:lang w:eastAsia="lt-LT"/>
          <w14:ligatures w14:val="none"/>
        </w:rPr>
        <w:t>.</w:t>
      </w:r>
      <w:r w:rsidRPr="00371EC3">
        <w:rPr>
          <w:rFonts w:ascii="Times New Roman" w:eastAsia="Times New Roman" w:hAnsi="Times New Roman" w:cs="Times New Roman"/>
          <w:kern w:val="0"/>
          <w:sz w:val="24"/>
          <w:szCs w:val="24"/>
          <w:lang w:eastAsia="lt-LT"/>
          <w14:ligatures w14:val="none"/>
        </w:rPr>
        <w:br/>
        <w:t>(</w:t>
      </w:r>
      <w:r w:rsidRPr="00371EC3">
        <w:rPr>
          <w:rFonts w:ascii="Times New Roman" w:eastAsia="Times New Roman" w:hAnsi="Times New Roman" w:cs="Times New Roman"/>
          <w:kern w:val="0"/>
          <w:sz w:val="18"/>
          <w:szCs w:val="18"/>
          <w:vertAlign w:val="superscript"/>
          <w:lang w:eastAsia="lt-LT"/>
          <w14:ligatures w14:val="none"/>
        </w:rPr>
        <w:t>3</w:t>
      </w:r>
      <w:r w:rsidRPr="00371EC3">
        <w:rPr>
          <w:rFonts w:ascii="Times New Roman" w:eastAsia="Times New Roman" w:hAnsi="Times New Roman" w:cs="Times New Roman"/>
          <w:kern w:val="0"/>
          <w:sz w:val="24"/>
          <w:szCs w:val="24"/>
          <w:lang w:eastAsia="lt-LT"/>
          <w14:ligatures w14:val="none"/>
        </w:rPr>
        <w:t>) Taip pat žr. </w:t>
      </w:r>
      <w:hyperlink r:id="rId15" w:history="1">
        <w:r w:rsidRPr="00371EC3">
          <w:rPr>
            <w:rFonts w:ascii="Times New Roman" w:eastAsia="Times New Roman" w:hAnsi="Times New Roman" w:cs="Times New Roman"/>
            <w:i/>
            <w:iCs/>
            <w:color w:val="0000FF"/>
            <w:kern w:val="0"/>
            <w:sz w:val="24"/>
            <w:szCs w:val="24"/>
            <w:u w:val="single"/>
            <w:lang w:eastAsia="lt-LT"/>
            <w14:ligatures w14:val="none"/>
          </w:rPr>
          <w:t>Kanapes reglamentuojantys teisės aktai Europoje. Politikos formavimo klausimai ir atsakymai</w:t>
        </w:r>
      </w:hyperlink>
      <w:r w:rsidRPr="00371EC3">
        <w:rPr>
          <w:rFonts w:ascii="Times New Roman" w:eastAsia="Times New Roman" w:hAnsi="Times New Roman" w:cs="Times New Roman"/>
          <w:kern w:val="0"/>
          <w:sz w:val="24"/>
          <w:szCs w:val="24"/>
          <w:lang w:eastAsia="lt-LT"/>
          <w14:ligatures w14:val="none"/>
        </w:rPr>
        <w:t>. </w:t>
      </w:r>
    </w:p>
    <w:p w14:paraId="785A1F08" w14:textId="77777777" w:rsidR="00D7343D" w:rsidRDefault="00D7343D" w:rsidP="00371EC3">
      <w:pPr>
        <w:jc w:val="both"/>
      </w:pPr>
    </w:p>
    <w:sectPr w:rsidR="00D7343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EC3"/>
    <w:rsid w:val="00003062"/>
    <w:rsid w:val="003311C8"/>
    <w:rsid w:val="00371EC3"/>
    <w:rsid w:val="00D7343D"/>
    <w:rsid w:val="00F370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CF303"/>
  <w15:chartTrackingRefBased/>
  <w15:docId w15:val="{B9E835B6-E621-4716-9A9D-23E0C1BE8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371E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371E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371EC3"/>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371EC3"/>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371EC3"/>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371EC3"/>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371EC3"/>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371EC3"/>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371EC3"/>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371EC3"/>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371EC3"/>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371EC3"/>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371EC3"/>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371EC3"/>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371EC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371EC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371EC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371EC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371E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371EC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371EC3"/>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371EC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371EC3"/>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371EC3"/>
    <w:rPr>
      <w:i/>
      <w:iCs/>
      <w:color w:val="404040" w:themeColor="text1" w:themeTint="BF"/>
    </w:rPr>
  </w:style>
  <w:style w:type="paragraph" w:styleId="Sraopastraipa">
    <w:name w:val="List Paragraph"/>
    <w:basedOn w:val="prastasis"/>
    <w:uiPriority w:val="34"/>
    <w:qFormat/>
    <w:rsid w:val="00371EC3"/>
    <w:pPr>
      <w:ind w:left="720"/>
      <w:contextualSpacing/>
    </w:pPr>
  </w:style>
  <w:style w:type="character" w:styleId="Rykuspabraukimas">
    <w:name w:val="Intense Emphasis"/>
    <w:basedOn w:val="Numatytasispastraiposriftas"/>
    <w:uiPriority w:val="21"/>
    <w:qFormat/>
    <w:rsid w:val="00371EC3"/>
    <w:rPr>
      <w:i/>
      <w:iCs/>
      <w:color w:val="0F4761" w:themeColor="accent1" w:themeShade="BF"/>
    </w:rPr>
  </w:style>
  <w:style w:type="paragraph" w:styleId="Iskirtacitata">
    <w:name w:val="Intense Quote"/>
    <w:basedOn w:val="prastasis"/>
    <w:next w:val="prastasis"/>
    <w:link w:val="IskirtacitataDiagrama"/>
    <w:uiPriority w:val="30"/>
    <w:qFormat/>
    <w:rsid w:val="00371E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371EC3"/>
    <w:rPr>
      <w:i/>
      <w:iCs/>
      <w:color w:val="0F4761" w:themeColor="accent1" w:themeShade="BF"/>
    </w:rPr>
  </w:style>
  <w:style w:type="character" w:styleId="Rykinuoroda">
    <w:name w:val="Intense Reference"/>
    <w:basedOn w:val="Numatytasispastraiposriftas"/>
    <w:uiPriority w:val="32"/>
    <w:qFormat/>
    <w:rsid w:val="00371EC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7929586">
      <w:bodyDiv w:val="1"/>
      <w:marLeft w:val="0"/>
      <w:marRight w:val="0"/>
      <w:marTop w:val="0"/>
      <w:marBottom w:val="0"/>
      <w:divBdr>
        <w:top w:val="none" w:sz="0" w:space="0" w:color="auto"/>
        <w:left w:val="none" w:sz="0" w:space="0" w:color="auto"/>
        <w:bottom w:val="none" w:sz="0" w:space="0" w:color="auto"/>
        <w:right w:val="none" w:sz="0" w:space="0" w:color="auto"/>
      </w:divBdr>
      <w:divsChild>
        <w:div w:id="768550368">
          <w:marLeft w:val="0"/>
          <w:marRight w:val="0"/>
          <w:marTop w:val="0"/>
          <w:marBottom w:val="0"/>
          <w:divBdr>
            <w:top w:val="none" w:sz="0" w:space="0" w:color="auto"/>
            <w:left w:val="none" w:sz="0" w:space="0" w:color="auto"/>
            <w:bottom w:val="none" w:sz="0" w:space="0" w:color="auto"/>
            <w:right w:val="none" w:sz="0" w:space="0" w:color="auto"/>
          </w:divBdr>
          <w:divsChild>
            <w:div w:id="2105221545">
              <w:marLeft w:val="0"/>
              <w:marRight w:val="0"/>
              <w:marTop w:val="0"/>
              <w:marBottom w:val="0"/>
              <w:divBdr>
                <w:top w:val="none" w:sz="0" w:space="0" w:color="auto"/>
                <w:left w:val="none" w:sz="0" w:space="0" w:color="auto"/>
                <w:bottom w:val="none" w:sz="0" w:space="0" w:color="auto"/>
                <w:right w:val="none" w:sz="0" w:space="0" w:color="auto"/>
              </w:divBdr>
              <w:divsChild>
                <w:div w:id="1397362435">
                  <w:marLeft w:val="-15"/>
                  <w:marRight w:val="-15"/>
                  <w:marTop w:val="0"/>
                  <w:marBottom w:val="0"/>
                  <w:divBdr>
                    <w:top w:val="none" w:sz="0" w:space="0" w:color="auto"/>
                    <w:left w:val="none" w:sz="0" w:space="0" w:color="auto"/>
                    <w:bottom w:val="none" w:sz="0" w:space="0" w:color="auto"/>
                    <w:right w:val="none" w:sz="0" w:space="0" w:color="auto"/>
                  </w:divBdr>
                </w:div>
              </w:divsChild>
            </w:div>
            <w:div w:id="138547087">
              <w:marLeft w:val="0"/>
              <w:marRight w:val="0"/>
              <w:marTop w:val="0"/>
              <w:marBottom w:val="0"/>
              <w:divBdr>
                <w:top w:val="none" w:sz="0" w:space="0" w:color="auto"/>
                <w:left w:val="none" w:sz="0" w:space="0" w:color="auto"/>
                <w:bottom w:val="none" w:sz="0" w:space="0" w:color="auto"/>
                <w:right w:val="none" w:sz="0" w:space="0" w:color="auto"/>
              </w:divBdr>
              <w:divsChild>
                <w:div w:id="1808545275">
                  <w:marLeft w:val="-15"/>
                  <w:marRight w:val="-15"/>
                  <w:marTop w:val="0"/>
                  <w:marBottom w:val="0"/>
                  <w:divBdr>
                    <w:top w:val="none" w:sz="0" w:space="0" w:color="auto"/>
                    <w:left w:val="none" w:sz="0" w:space="0" w:color="auto"/>
                    <w:bottom w:val="none" w:sz="0" w:space="0" w:color="auto"/>
                    <w:right w:val="none" w:sz="0" w:space="0" w:color="auto"/>
                  </w:divBdr>
                </w:div>
              </w:divsChild>
            </w:div>
            <w:div w:id="2091079587">
              <w:marLeft w:val="0"/>
              <w:marRight w:val="0"/>
              <w:marTop w:val="0"/>
              <w:marBottom w:val="0"/>
              <w:divBdr>
                <w:top w:val="none" w:sz="0" w:space="0" w:color="auto"/>
                <w:left w:val="none" w:sz="0" w:space="0" w:color="auto"/>
                <w:bottom w:val="none" w:sz="0" w:space="0" w:color="auto"/>
                <w:right w:val="none" w:sz="0" w:space="0" w:color="auto"/>
              </w:divBdr>
              <w:divsChild>
                <w:div w:id="45245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094783198">
          <w:marLeft w:val="0"/>
          <w:marRight w:val="0"/>
          <w:marTop w:val="0"/>
          <w:marBottom w:val="0"/>
          <w:divBdr>
            <w:top w:val="none" w:sz="0" w:space="0" w:color="auto"/>
            <w:left w:val="none" w:sz="0" w:space="0" w:color="auto"/>
            <w:bottom w:val="none" w:sz="0" w:space="0" w:color="auto"/>
            <w:right w:val="none" w:sz="0" w:space="0" w:color="auto"/>
          </w:divBdr>
          <w:divsChild>
            <w:div w:id="721251648">
              <w:marLeft w:val="0"/>
              <w:marRight w:val="0"/>
              <w:marTop w:val="0"/>
              <w:marBottom w:val="0"/>
              <w:divBdr>
                <w:top w:val="none" w:sz="0" w:space="0" w:color="auto"/>
                <w:left w:val="none" w:sz="0" w:space="0" w:color="auto"/>
                <w:bottom w:val="none" w:sz="0" w:space="0" w:color="auto"/>
                <w:right w:val="none" w:sz="0" w:space="0" w:color="auto"/>
              </w:divBdr>
              <w:divsChild>
                <w:div w:id="1606645359">
                  <w:marLeft w:val="0"/>
                  <w:marRight w:val="0"/>
                  <w:marTop w:val="0"/>
                  <w:marBottom w:val="0"/>
                  <w:divBdr>
                    <w:top w:val="none" w:sz="0" w:space="0" w:color="auto"/>
                    <w:left w:val="none" w:sz="0" w:space="0" w:color="auto"/>
                    <w:bottom w:val="none" w:sz="0" w:space="0" w:color="auto"/>
                    <w:right w:val="none" w:sz="0" w:space="0" w:color="auto"/>
                  </w:divBdr>
                  <w:divsChild>
                    <w:div w:id="586160899">
                      <w:marLeft w:val="0"/>
                      <w:marRight w:val="0"/>
                      <w:marTop w:val="0"/>
                      <w:marBottom w:val="0"/>
                      <w:divBdr>
                        <w:top w:val="none" w:sz="0" w:space="0" w:color="auto"/>
                        <w:left w:val="single" w:sz="36" w:space="0" w:color="0E4194"/>
                        <w:bottom w:val="none" w:sz="0" w:space="0" w:color="auto"/>
                        <w:right w:val="none" w:sz="0" w:space="0" w:color="auto"/>
                      </w:divBdr>
                    </w:div>
                    <w:div w:id="1484811480">
                      <w:marLeft w:val="0"/>
                      <w:marRight w:val="0"/>
                      <w:marTop w:val="0"/>
                      <w:marBottom w:val="0"/>
                      <w:divBdr>
                        <w:top w:val="none" w:sz="0" w:space="0" w:color="auto"/>
                        <w:left w:val="single" w:sz="36" w:space="0" w:color="0E4194"/>
                        <w:bottom w:val="none" w:sz="0" w:space="0" w:color="auto"/>
                        <w:right w:val="none" w:sz="0" w:space="0" w:color="auto"/>
                      </w:divBdr>
                    </w:div>
                    <w:div w:id="1314530305">
                      <w:marLeft w:val="0"/>
                      <w:marRight w:val="0"/>
                      <w:marTop w:val="0"/>
                      <w:marBottom w:val="0"/>
                      <w:divBdr>
                        <w:top w:val="none" w:sz="0" w:space="0" w:color="auto"/>
                        <w:left w:val="single" w:sz="36" w:space="0" w:color="0E4194"/>
                        <w:bottom w:val="none" w:sz="0" w:space="0" w:color="auto"/>
                        <w:right w:val="none" w:sz="0" w:space="0" w:color="auto"/>
                      </w:divBdr>
                    </w:div>
                  </w:divsChild>
                </w:div>
              </w:divsChild>
            </w:div>
            <w:div w:id="994070058">
              <w:marLeft w:val="0"/>
              <w:marRight w:val="0"/>
              <w:marTop w:val="0"/>
              <w:marBottom w:val="0"/>
              <w:divBdr>
                <w:top w:val="none" w:sz="0" w:space="0" w:color="auto"/>
                <w:left w:val="none" w:sz="0" w:space="0" w:color="auto"/>
                <w:bottom w:val="none" w:sz="0" w:space="0" w:color="auto"/>
                <w:right w:val="none" w:sz="0" w:space="0" w:color="auto"/>
              </w:divBdr>
              <w:divsChild>
                <w:div w:id="1816533062">
                  <w:marLeft w:val="0"/>
                  <w:marRight w:val="0"/>
                  <w:marTop w:val="0"/>
                  <w:marBottom w:val="0"/>
                  <w:divBdr>
                    <w:top w:val="none" w:sz="0" w:space="0" w:color="auto"/>
                    <w:left w:val="none" w:sz="0" w:space="0" w:color="auto"/>
                    <w:bottom w:val="none" w:sz="0" w:space="0" w:color="auto"/>
                    <w:right w:val="none" w:sz="0" w:space="0" w:color="auto"/>
                  </w:divBdr>
                  <w:divsChild>
                    <w:div w:id="1400055226">
                      <w:marLeft w:val="0"/>
                      <w:marRight w:val="0"/>
                      <w:marTop w:val="0"/>
                      <w:marBottom w:val="0"/>
                      <w:divBdr>
                        <w:top w:val="none" w:sz="0" w:space="0" w:color="auto"/>
                        <w:left w:val="single" w:sz="36" w:space="0" w:color="FAFAFA"/>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commission/presscorner/detail/en/ip_24_344" TargetMode="External"/><Relationship Id="rId13" Type="http://schemas.openxmlformats.org/officeDocument/2006/relationships/hyperlink" Target="https://www.emcdda.europa.eu/event/2024/06/launch-event-european-drug-report-2024_en" TargetMode="External"/><Relationship Id="rId3" Type="http://schemas.openxmlformats.org/officeDocument/2006/relationships/webSettings" Target="webSettings.xml"/><Relationship Id="rId7" Type="http://schemas.openxmlformats.org/officeDocument/2006/relationships/hyperlink" Target="https://ec.europa.eu/commission/presscorner/detail/en/ip_23_4981" TargetMode="External"/><Relationship Id="rId12" Type="http://schemas.openxmlformats.org/officeDocument/2006/relationships/hyperlink" Target="https://www.emcdda.europa.eu/publications/data-factsheet/european-drug-emergencies-network-euro-den-plus-data-and-analysis_en"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mcdda.europa.eu/publications/topic-overviews/eu-early-warning-system_en" TargetMode="External"/><Relationship Id="rId11" Type="http://schemas.openxmlformats.org/officeDocument/2006/relationships/hyperlink" Target="https://www.emcdda.europa.eu/publications/technical-reports/hhc-and-related-substances_en" TargetMode="External"/><Relationship Id="rId5" Type="http://schemas.openxmlformats.org/officeDocument/2006/relationships/hyperlink" Target="https://www.emcdda.europa.eu/news/2023/6/new-legislation-grants-europe-stronger-powers-tackle-current-and-future-drug-problems_en" TargetMode="External"/><Relationship Id="rId15" Type="http://schemas.openxmlformats.org/officeDocument/2006/relationships/hyperlink" Target="https://www.emcdda.europa.eu/publications/faq/cannabis-laws-europe-questions-and-answers-for-policymaking_en" TargetMode="External"/><Relationship Id="rId10" Type="http://schemas.openxmlformats.org/officeDocument/2006/relationships/hyperlink" Target="https://www.emcdda.europa.eu/publications/topic-overviews/eu-early-warning-system_en" TargetMode="External"/><Relationship Id="rId4" Type="http://schemas.openxmlformats.org/officeDocument/2006/relationships/hyperlink" Target="https://www.emcdda.europa.eu/publications/european-drug-report/2024_en" TargetMode="External"/><Relationship Id="rId9" Type="http://schemas.openxmlformats.org/officeDocument/2006/relationships/hyperlink" Target="https://www.emcdda.europa.eu/publications/data-factsheet/european-drug-emergencies-network-euro-den-plus-data-and-analysis_en" TargetMode="External"/><Relationship Id="rId14" Type="http://schemas.openxmlformats.org/officeDocument/2006/relationships/hyperlink" Target="https://www.emcdda.europa.eu/about/euda-2024_en"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10684</Words>
  <Characters>6091</Characters>
  <Application>Microsoft Office Word</Application>
  <DocSecurity>0</DocSecurity>
  <Lines>50</Lines>
  <Paragraphs>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komunikacija</dc:creator>
  <cp:keywords/>
  <dc:description/>
  <cp:lastModifiedBy>komunikacija</cp:lastModifiedBy>
  <cp:revision>1</cp:revision>
  <dcterms:created xsi:type="dcterms:W3CDTF">2024-06-11T12:38:00Z</dcterms:created>
  <dcterms:modified xsi:type="dcterms:W3CDTF">2024-06-11T12:51:00Z</dcterms:modified>
</cp:coreProperties>
</file>