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08CF5" w14:textId="77777777" w:rsidR="008A3377" w:rsidRPr="00511394" w:rsidRDefault="008A3377" w:rsidP="008A3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1394">
        <w:rPr>
          <w:rFonts w:ascii="Times New Roman" w:hAnsi="Times New Roman" w:cs="Times New Roman"/>
          <w:sz w:val="24"/>
          <w:szCs w:val="24"/>
        </w:rPr>
        <w:t>Pranešimas spaudai</w:t>
      </w:r>
    </w:p>
    <w:p w14:paraId="0AFC9276" w14:textId="12F6FD62" w:rsidR="008A3377" w:rsidRPr="00511394" w:rsidRDefault="008A3377" w:rsidP="008A3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1394">
        <w:rPr>
          <w:rFonts w:ascii="Times New Roman" w:hAnsi="Times New Roman" w:cs="Times New Roman"/>
          <w:sz w:val="24"/>
          <w:szCs w:val="24"/>
        </w:rPr>
        <w:t xml:space="preserve">2024 m. </w:t>
      </w:r>
      <w:r w:rsidR="00906DD8">
        <w:rPr>
          <w:rFonts w:ascii="Times New Roman" w:hAnsi="Times New Roman" w:cs="Times New Roman"/>
          <w:sz w:val="24"/>
          <w:szCs w:val="24"/>
        </w:rPr>
        <w:t>birželio</w:t>
      </w:r>
      <w:r w:rsidRPr="00511394">
        <w:rPr>
          <w:rFonts w:ascii="Times New Roman" w:hAnsi="Times New Roman" w:cs="Times New Roman"/>
          <w:sz w:val="24"/>
          <w:szCs w:val="24"/>
        </w:rPr>
        <w:t xml:space="preserve"> </w:t>
      </w:r>
      <w:r w:rsidR="00F23F3B">
        <w:rPr>
          <w:rFonts w:ascii="Times New Roman" w:hAnsi="Times New Roman" w:cs="Times New Roman"/>
          <w:sz w:val="24"/>
          <w:szCs w:val="24"/>
        </w:rPr>
        <w:t>13</w:t>
      </w:r>
      <w:r w:rsidR="004D3419" w:rsidRPr="00511394">
        <w:rPr>
          <w:rFonts w:ascii="Times New Roman" w:hAnsi="Times New Roman" w:cs="Times New Roman"/>
          <w:sz w:val="24"/>
          <w:szCs w:val="24"/>
        </w:rPr>
        <w:t xml:space="preserve"> </w:t>
      </w:r>
      <w:r w:rsidRPr="00511394">
        <w:rPr>
          <w:rFonts w:ascii="Times New Roman" w:hAnsi="Times New Roman" w:cs="Times New Roman"/>
          <w:sz w:val="24"/>
          <w:szCs w:val="24"/>
        </w:rPr>
        <w:t>d.</w:t>
      </w:r>
    </w:p>
    <w:p w14:paraId="3FA35C16" w14:textId="77777777" w:rsidR="008A3377" w:rsidRDefault="008A3377" w:rsidP="00BB05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2DDF1E" w14:textId="3DB8A8AC" w:rsidR="00D76D47" w:rsidRPr="00D7398F" w:rsidRDefault="004D3419" w:rsidP="00BB059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398F">
        <w:rPr>
          <w:rFonts w:ascii="Times New Roman" w:hAnsi="Times New Roman" w:cs="Times New Roman"/>
          <w:b/>
          <w:bCs/>
          <w:sz w:val="28"/>
          <w:szCs w:val="28"/>
        </w:rPr>
        <w:t xml:space="preserve">Tvarumo ataskaitų reikalavimai </w:t>
      </w:r>
      <w:r w:rsidR="00376896" w:rsidRPr="00D7398F">
        <w:rPr>
          <w:rFonts w:ascii="Times New Roman" w:hAnsi="Times New Roman" w:cs="Times New Roman"/>
          <w:b/>
          <w:bCs/>
          <w:sz w:val="28"/>
          <w:szCs w:val="28"/>
        </w:rPr>
        <w:t>palies ne tik dideles, bet ir mažas įmones</w:t>
      </w:r>
    </w:p>
    <w:p w14:paraId="1B878CB3" w14:textId="77777777" w:rsidR="002024F7" w:rsidRPr="002024F7" w:rsidRDefault="002024F7" w:rsidP="002024F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24F7">
        <w:rPr>
          <w:rFonts w:ascii="Times New Roman" w:hAnsi="Times New Roman" w:cs="Times New Roman"/>
          <w:b/>
          <w:bCs/>
          <w:sz w:val="24"/>
          <w:szCs w:val="24"/>
        </w:rPr>
        <w:t>Praėjusiais metais Europos Sąjungoje (ES) pristatyta įmonių Tvarumo ataskaitų teikimo direktyva (angl. CSRD) netrukus įsigalios ir Lietuvoje, ją perkeliant į šalies nacionalinę teisę iki šių metų liepos – pakeitimai jau aktyviai svarstomi Seime. Įsigaliojus direktyvos nuostatoms, verslas bus įpareigotas atskleisti su tvarumu susijusią informaciją tvarumo ataskaitose, kurias taip pat reikės rengti pagal europinius standartus. Ekspertai perspėja – pokyčiai palies visas įmones.</w:t>
      </w:r>
    </w:p>
    <w:p w14:paraId="69E1CB92" w14:textId="3DF1F134" w:rsidR="004A3F6D" w:rsidRDefault="004A3F6D" w:rsidP="00DE77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3687C">
        <w:rPr>
          <w:rFonts w:ascii="Times New Roman" w:hAnsi="Times New Roman" w:cs="Times New Roman"/>
          <w:sz w:val="24"/>
          <w:szCs w:val="24"/>
        </w:rPr>
        <w:t>Iki šiol įmonės rengė ataskaitas naudodamos nevienodus standartus ir rodiklius, todėl jų pateikiamą informaciją buvo sunku palyginti</w:t>
      </w:r>
      <w:r w:rsidR="00304D83">
        <w:rPr>
          <w:rFonts w:ascii="Times New Roman" w:hAnsi="Times New Roman" w:cs="Times New Roman"/>
          <w:sz w:val="24"/>
          <w:szCs w:val="24"/>
        </w:rPr>
        <w:t xml:space="preserve">, kaip ir įvertinti tvarumo ataskaitų </w:t>
      </w:r>
      <w:r w:rsidR="00931DCD">
        <w:rPr>
          <w:rFonts w:ascii="Times New Roman" w:hAnsi="Times New Roman" w:cs="Times New Roman"/>
          <w:sz w:val="24"/>
          <w:szCs w:val="24"/>
        </w:rPr>
        <w:t>patikimumą</w:t>
      </w:r>
      <w:r w:rsidR="00304D83">
        <w:rPr>
          <w:rFonts w:ascii="Times New Roman" w:hAnsi="Times New Roman" w:cs="Times New Roman"/>
          <w:sz w:val="24"/>
          <w:szCs w:val="24"/>
        </w:rPr>
        <w:t>. Nors tvarumo ataskaitų rengimą reglamentuojančias nuostatas galima rasti keliuose šiuo metu galiojančiuose įstatymuose</w:t>
      </w:r>
      <w:r w:rsidR="00B35696">
        <w:rPr>
          <w:rFonts w:ascii="Times New Roman" w:hAnsi="Times New Roman" w:cs="Times New Roman"/>
          <w:sz w:val="24"/>
          <w:szCs w:val="24"/>
        </w:rPr>
        <w:t xml:space="preserve">, vis dėlto, nebuvo bendrų nuostatų, kokie yra </w:t>
      </w:r>
      <w:r w:rsidR="00931DCD">
        <w:rPr>
          <w:rFonts w:ascii="Times New Roman" w:hAnsi="Times New Roman" w:cs="Times New Roman"/>
          <w:sz w:val="24"/>
          <w:szCs w:val="24"/>
        </w:rPr>
        <w:t xml:space="preserve">peržiūros </w:t>
      </w:r>
      <w:r w:rsidR="00B35696">
        <w:rPr>
          <w:rFonts w:ascii="Times New Roman" w:hAnsi="Times New Roman" w:cs="Times New Roman"/>
          <w:sz w:val="24"/>
          <w:szCs w:val="24"/>
        </w:rPr>
        <w:t xml:space="preserve">ar audito kriterijai, </w:t>
      </w:r>
      <w:r w:rsidR="00206092">
        <w:rPr>
          <w:rFonts w:ascii="Times New Roman" w:hAnsi="Times New Roman" w:cs="Times New Roman"/>
          <w:sz w:val="24"/>
          <w:szCs w:val="24"/>
        </w:rPr>
        <w:t>nebuvo vieno šaltinio, kur galima su tokiomis ataskaitomis</w:t>
      </w:r>
      <w:r w:rsidR="00307AEE">
        <w:rPr>
          <w:rFonts w:ascii="Times New Roman" w:hAnsi="Times New Roman" w:cs="Times New Roman"/>
          <w:sz w:val="24"/>
          <w:szCs w:val="24"/>
        </w:rPr>
        <w:t xml:space="preserve"> susipažinti</w:t>
      </w:r>
      <w:r w:rsidR="00210CA3">
        <w:rPr>
          <w:rFonts w:ascii="Times New Roman" w:hAnsi="Times New Roman" w:cs="Times New Roman"/>
          <w:sz w:val="24"/>
          <w:szCs w:val="24"/>
        </w:rPr>
        <w:t xml:space="preserve">. Dėl šios priežasties CSRD direktyva </w:t>
      </w:r>
      <w:r w:rsidR="00F35A5E">
        <w:rPr>
          <w:rFonts w:ascii="Times New Roman" w:hAnsi="Times New Roman" w:cs="Times New Roman"/>
          <w:sz w:val="24"/>
          <w:szCs w:val="24"/>
        </w:rPr>
        <w:t>suteiks daugiau aiškumo tiek patiems verslo subjektams, tiek valstybinėms institucijoms</w:t>
      </w:r>
      <w:r w:rsidR="00307AEE">
        <w:rPr>
          <w:rFonts w:ascii="Times New Roman" w:hAnsi="Times New Roman" w:cs="Times New Roman"/>
          <w:sz w:val="24"/>
          <w:szCs w:val="24"/>
        </w:rPr>
        <w:t xml:space="preserve">, finansuotojams </w:t>
      </w:r>
      <w:r w:rsidR="00F35A5E">
        <w:rPr>
          <w:rFonts w:ascii="Times New Roman" w:hAnsi="Times New Roman" w:cs="Times New Roman"/>
          <w:sz w:val="24"/>
          <w:szCs w:val="24"/>
        </w:rPr>
        <w:t xml:space="preserve"> bei visuomenei</w:t>
      </w:r>
      <w:r w:rsidR="00B35696">
        <w:rPr>
          <w:rFonts w:ascii="Times New Roman" w:hAnsi="Times New Roman" w:cs="Times New Roman"/>
          <w:sz w:val="24"/>
          <w:szCs w:val="24"/>
        </w:rPr>
        <w:t xml:space="preserve">“, – komentuoja „Vesta </w:t>
      </w:r>
      <w:proofErr w:type="spellStart"/>
      <w:r w:rsidR="00B35696">
        <w:rPr>
          <w:rFonts w:ascii="Times New Roman" w:hAnsi="Times New Roman" w:cs="Times New Roman"/>
          <w:sz w:val="24"/>
          <w:szCs w:val="24"/>
        </w:rPr>
        <w:t>Consulting</w:t>
      </w:r>
      <w:proofErr w:type="spellEnd"/>
      <w:r w:rsidR="00B35696">
        <w:rPr>
          <w:rFonts w:ascii="Times New Roman" w:hAnsi="Times New Roman" w:cs="Times New Roman"/>
          <w:sz w:val="24"/>
          <w:szCs w:val="24"/>
        </w:rPr>
        <w:t xml:space="preserve">“ </w:t>
      </w:r>
      <w:r w:rsidR="00346889">
        <w:rPr>
          <w:rFonts w:ascii="Times New Roman" w:hAnsi="Times New Roman" w:cs="Times New Roman"/>
          <w:sz w:val="24"/>
          <w:szCs w:val="24"/>
        </w:rPr>
        <w:t xml:space="preserve">vyresnioji </w:t>
      </w:r>
      <w:r w:rsidR="00307AEE">
        <w:rPr>
          <w:rFonts w:ascii="Times New Roman" w:hAnsi="Times New Roman" w:cs="Times New Roman"/>
          <w:sz w:val="24"/>
          <w:szCs w:val="24"/>
        </w:rPr>
        <w:t xml:space="preserve">tvarumo konsultantė Audronė </w:t>
      </w:r>
      <w:proofErr w:type="spellStart"/>
      <w:r w:rsidR="00307AEE">
        <w:rPr>
          <w:rFonts w:ascii="Times New Roman" w:hAnsi="Times New Roman" w:cs="Times New Roman"/>
          <w:sz w:val="24"/>
          <w:szCs w:val="24"/>
        </w:rPr>
        <w:t>Alijošiutė</w:t>
      </w:r>
      <w:proofErr w:type="spellEnd"/>
      <w:r w:rsidR="00307AEE">
        <w:rPr>
          <w:rFonts w:ascii="Times New Roman" w:hAnsi="Times New Roman" w:cs="Times New Roman"/>
          <w:sz w:val="24"/>
          <w:szCs w:val="24"/>
        </w:rPr>
        <w:t>-Paulau</w:t>
      </w:r>
      <w:r w:rsidR="00B408AE">
        <w:rPr>
          <w:rFonts w:ascii="Times New Roman" w:hAnsi="Times New Roman" w:cs="Times New Roman"/>
          <w:sz w:val="24"/>
          <w:szCs w:val="24"/>
        </w:rPr>
        <w:t>s</w:t>
      </w:r>
      <w:r w:rsidR="00307AEE">
        <w:rPr>
          <w:rFonts w:ascii="Times New Roman" w:hAnsi="Times New Roman" w:cs="Times New Roman"/>
          <w:sz w:val="24"/>
          <w:szCs w:val="24"/>
        </w:rPr>
        <w:t>kienė</w:t>
      </w:r>
      <w:r w:rsidR="00B35696">
        <w:rPr>
          <w:rFonts w:ascii="Times New Roman" w:hAnsi="Times New Roman" w:cs="Times New Roman"/>
          <w:sz w:val="24"/>
          <w:szCs w:val="24"/>
        </w:rPr>
        <w:t>.</w:t>
      </w:r>
    </w:p>
    <w:p w14:paraId="6D3A4904" w14:textId="15BB4CC4" w:rsidR="00B35696" w:rsidRDefault="002B5513" w:rsidP="00DE77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CSRD perkėlimas į nacionalinę teisę</w:t>
      </w:r>
      <w:r w:rsidR="00377DCD">
        <w:rPr>
          <w:rFonts w:ascii="Times New Roman" w:hAnsi="Times New Roman" w:cs="Times New Roman"/>
          <w:sz w:val="24"/>
          <w:szCs w:val="24"/>
        </w:rPr>
        <w:t xml:space="preserve"> </w:t>
      </w:r>
      <w:r w:rsidR="006120AF">
        <w:rPr>
          <w:rFonts w:ascii="Times New Roman" w:hAnsi="Times New Roman" w:cs="Times New Roman"/>
          <w:sz w:val="24"/>
          <w:szCs w:val="24"/>
        </w:rPr>
        <w:t>turėtų apimti</w:t>
      </w:r>
      <w:r w:rsidR="00C668EB">
        <w:rPr>
          <w:rFonts w:ascii="Times New Roman" w:hAnsi="Times New Roman" w:cs="Times New Roman"/>
          <w:sz w:val="24"/>
          <w:szCs w:val="24"/>
        </w:rPr>
        <w:t xml:space="preserve"> pagrindinius informacijos tvarumo klausimais rengimo, teikimo ir skelbimo reikalavimus įmonėms, taip pat</w:t>
      </w:r>
      <w:r w:rsidR="003300A2">
        <w:rPr>
          <w:rFonts w:ascii="Times New Roman" w:hAnsi="Times New Roman" w:cs="Times New Roman"/>
          <w:sz w:val="24"/>
          <w:szCs w:val="24"/>
        </w:rPr>
        <w:t xml:space="preserve"> nepriklausomo užtikrinimo paslaugų teikėjo akreditavimo</w:t>
      </w:r>
      <w:r w:rsidR="00C16B97">
        <w:rPr>
          <w:rFonts w:ascii="Times New Roman" w:hAnsi="Times New Roman" w:cs="Times New Roman"/>
          <w:sz w:val="24"/>
          <w:szCs w:val="24"/>
        </w:rPr>
        <w:t xml:space="preserve"> ir priežiūros sistemą bei numatyti </w:t>
      </w:r>
      <w:r w:rsidR="00113542">
        <w:rPr>
          <w:rFonts w:ascii="Times New Roman" w:hAnsi="Times New Roman" w:cs="Times New Roman"/>
          <w:sz w:val="24"/>
          <w:szCs w:val="24"/>
        </w:rPr>
        <w:t>kontrolės mechanizmus</w:t>
      </w:r>
      <w:r w:rsidR="00C16B97">
        <w:rPr>
          <w:rFonts w:ascii="Times New Roman" w:hAnsi="Times New Roman" w:cs="Times New Roman"/>
          <w:sz w:val="24"/>
          <w:szCs w:val="24"/>
        </w:rPr>
        <w:t>.</w:t>
      </w:r>
    </w:p>
    <w:p w14:paraId="5EC9354F" w14:textId="0BF27595" w:rsidR="008F72CB" w:rsidRDefault="00113542" w:rsidP="00DE77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 </w:t>
      </w:r>
      <w:r w:rsidR="0092336A">
        <w:rPr>
          <w:rFonts w:ascii="Times New Roman" w:hAnsi="Times New Roman" w:cs="Times New Roman"/>
          <w:sz w:val="24"/>
          <w:szCs w:val="24"/>
        </w:rPr>
        <w:t>šalys skirtingu tempu</w:t>
      </w:r>
      <w:r w:rsidR="00237E4B">
        <w:rPr>
          <w:rFonts w:ascii="Times New Roman" w:hAnsi="Times New Roman" w:cs="Times New Roman"/>
          <w:sz w:val="24"/>
          <w:szCs w:val="24"/>
        </w:rPr>
        <w:t xml:space="preserve"> </w:t>
      </w:r>
      <w:r w:rsidR="0092336A">
        <w:rPr>
          <w:rFonts w:ascii="Times New Roman" w:hAnsi="Times New Roman" w:cs="Times New Roman"/>
          <w:sz w:val="24"/>
          <w:szCs w:val="24"/>
        </w:rPr>
        <w:t>perkelia direktyvos nuostatas</w:t>
      </w:r>
      <w:r w:rsidR="00D31594">
        <w:rPr>
          <w:rFonts w:ascii="Times New Roman" w:hAnsi="Times New Roman" w:cs="Times New Roman"/>
          <w:sz w:val="24"/>
          <w:szCs w:val="24"/>
        </w:rPr>
        <w:t xml:space="preserve">. </w:t>
      </w:r>
      <w:r w:rsidR="003E38CD">
        <w:rPr>
          <w:rFonts w:ascii="Times New Roman" w:hAnsi="Times New Roman" w:cs="Times New Roman"/>
          <w:sz w:val="24"/>
          <w:szCs w:val="24"/>
        </w:rPr>
        <w:t>P</w:t>
      </w:r>
      <w:r w:rsidR="00D31594">
        <w:rPr>
          <w:rFonts w:ascii="Times New Roman" w:hAnsi="Times New Roman" w:cs="Times New Roman"/>
          <w:sz w:val="24"/>
          <w:szCs w:val="24"/>
        </w:rPr>
        <w:t>avyzdžiui, P</w:t>
      </w:r>
      <w:r w:rsidR="003E38CD">
        <w:rPr>
          <w:rFonts w:ascii="Times New Roman" w:hAnsi="Times New Roman" w:cs="Times New Roman"/>
          <w:sz w:val="24"/>
          <w:szCs w:val="24"/>
        </w:rPr>
        <w:t>rancūzija, v</w:t>
      </w:r>
      <w:r w:rsidR="00926DAE">
        <w:rPr>
          <w:rFonts w:ascii="Times New Roman" w:hAnsi="Times New Roman" w:cs="Times New Roman"/>
          <w:sz w:val="24"/>
          <w:szCs w:val="24"/>
        </w:rPr>
        <w:t xml:space="preserve">iena pirmųjų </w:t>
      </w:r>
      <w:r w:rsidR="00646A0E">
        <w:rPr>
          <w:rFonts w:ascii="Times New Roman" w:hAnsi="Times New Roman" w:cs="Times New Roman"/>
          <w:sz w:val="24"/>
          <w:szCs w:val="24"/>
        </w:rPr>
        <w:t>Tvarumo</w:t>
      </w:r>
      <w:r w:rsidR="00D31594">
        <w:rPr>
          <w:rFonts w:ascii="Times New Roman" w:hAnsi="Times New Roman" w:cs="Times New Roman"/>
          <w:sz w:val="24"/>
          <w:szCs w:val="24"/>
        </w:rPr>
        <w:t xml:space="preserve"> </w:t>
      </w:r>
      <w:r w:rsidR="00646A0E">
        <w:rPr>
          <w:rFonts w:ascii="Times New Roman" w:hAnsi="Times New Roman" w:cs="Times New Roman"/>
          <w:sz w:val="24"/>
          <w:szCs w:val="24"/>
        </w:rPr>
        <w:t>direktyvos nuostatas perkėlusi į nacionalinę teisę</w:t>
      </w:r>
      <w:r w:rsidR="00E35072">
        <w:rPr>
          <w:rFonts w:ascii="Times New Roman" w:hAnsi="Times New Roman" w:cs="Times New Roman"/>
          <w:sz w:val="24"/>
          <w:szCs w:val="24"/>
        </w:rPr>
        <w:t>, numatė itin griežtas baudas įmonėms ir vadovams už atsisakymą pateikti informaciją audito metu</w:t>
      </w:r>
      <w:r w:rsidR="009A22AE">
        <w:rPr>
          <w:rFonts w:ascii="Times New Roman" w:hAnsi="Times New Roman" w:cs="Times New Roman"/>
          <w:sz w:val="24"/>
          <w:szCs w:val="24"/>
        </w:rPr>
        <w:t xml:space="preserve">: įmonės vadovui gali būti skirta </w:t>
      </w:r>
      <w:r w:rsidR="009B1922">
        <w:rPr>
          <w:rFonts w:ascii="Times New Roman" w:hAnsi="Times New Roman" w:cs="Times New Roman"/>
          <w:sz w:val="24"/>
          <w:szCs w:val="24"/>
        </w:rPr>
        <w:t xml:space="preserve">bauda </w:t>
      </w:r>
      <w:r w:rsidR="009A22AE">
        <w:rPr>
          <w:rFonts w:ascii="Times New Roman" w:hAnsi="Times New Roman" w:cs="Times New Roman"/>
          <w:sz w:val="24"/>
          <w:szCs w:val="24"/>
        </w:rPr>
        <w:t xml:space="preserve">nuo 75 tūkst. eurų </w:t>
      </w:r>
      <w:r w:rsidR="009B1922">
        <w:rPr>
          <w:rFonts w:ascii="Times New Roman" w:hAnsi="Times New Roman" w:cs="Times New Roman"/>
          <w:sz w:val="24"/>
          <w:szCs w:val="24"/>
        </w:rPr>
        <w:t xml:space="preserve">iki 5 metų įkalinimo, juridiniams asmenims </w:t>
      </w:r>
      <w:r w:rsidR="00FD6E2D">
        <w:rPr>
          <w:rFonts w:ascii="Times New Roman" w:hAnsi="Times New Roman" w:cs="Times New Roman"/>
          <w:sz w:val="24"/>
          <w:szCs w:val="24"/>
        </w:rPr>
        <w:t>–</w:t>
      </w:r>
      <w:r w:rsidR="009B1922">
        <w:rPr>
          <w:rFonts w:ascii="Times New Roman" w:hAnsi="Times New Roman" w:cs="Times New Roman"/>
          <w:sz w:val="24"/>
          <w:szCs w:val="24"/>
        </w:rPr>
        <w:t xml:space="preserve"> </w:t>
      </w:r>
      <w:r w:rsidR="00FD6E2D">
        <w:rPr>
          <w:rFonts w:ascii="Times New Roman" w:hAnsi="Times New Roman" w:cs="Times New Roman"/>
          <w:sz w:val="24"/>
          <w:szCs w:val="24"/>
        </w:rPr>
        <w:t>iki 37,5 tūkst. eurų.</w:t>
      </w:r>
    </w:p>
    <w:p w14:paraId="57EA08B8" w14:textId="687846CB" w:rsidR="001419FC" w:rsidRPr="001419FC" w:rsidRDefault="00C26E23" w:rsidP="00DE779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C84238">
        <w:rPr>
          <w:rFonts w:ascii="Times New Roman" w:hAnsi="Times New Roman" w:cs="Times New Roman"/>
          <w:b/>
          <w:bCs/>
          <w:sz w:val="24"/>
          <w:szCs w:val="24"/>
        </w:rPr>
        <w:t>varumo atskaitomybė</w:t>
      </w:r>
      <w:r w:rsidR="00F724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1805">
        <w:rPr>
          <w:rFonts w:ascii="Times New Roman" w:hAnsi="Times New Roman" w:cs="Times New Roman"/>
          <w:b/>
          <w:bCs/>
          <w:sz w:val="24"/>
          <w:szCs w:val="24"/>
        </w:rPr>
        <w:t>svarbi visoms įmonėms</w:t>
      </w:r>
    </w:p>
    <w:p w14:paraId="56036FE2" w14:textId="09685B0E" w:rsidR="001419FC" w:rsidRPr="00B26E78" w:rsidRDefault="00AF3065" w:rsidP="00141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Tvarumo ataskaitų teikimo</w:t>
      </w:r>
      <w:r w:rsidR="001419FC">
        <w:rPr>
          <w:rFonts w:ascii="Times New Roman" w:hAnsi="Times New Roman" w:cs="Times New Roman"/>
          <w:sz w:val="24"/>
          <w:szCs w:val="24"/>
        </w:rPr>
        <w:t xml:space="preserve"> direktyvos įsigaliojimas </w:t>
      </w:r>
      <w:r w:rsidR="00005FF1">
        <w:rPr>
          <w:rFonts w:ascii="Times New Roman" w:hAnsi="Times New Roman" w:cs="Times New Roman"/>
          <w:sz w:val="24"/>
          <w:szCs w:val="24"/>
        </w:rPr>
        <w:t>rei</w:t>
      </w:r>
      <w:r w:rsidR="00005FF1" w:rsidRPr="000C6097">
        <w:rPr>
          <w:rFonts w:ascii="Times New Roman" w:hAnsi="Times New Roman" w:cs="Times New Roman"/>
          <w:sz w:val="24"/>
          <w:szCs w:val="24"/>
        </w:rPr>
        <w:t>kšmingas visam šalies verslui</w:t>
      </w:r>
      <w:r w:rsidR="001419FC" w:rsidRPr="000C6097">
        <w:rPr>
          <w:rFonts w:ascii="Times New Roman" w:hAnsi="Times New Roman" w:cs="Times New Roman"/>
          <w:sz w:val="24"/>
          <w:szCs w:val="24"/>
        </w:rPr>
        <w:t xml:space="preserve"> – ne vien didel</w:t>
      </w:r>
      <w:r w:rsidR="00005FF1" w:rsidRPr="000C6097">
        <w:rPr>
          <w:rFonts w:ascii="Times New Roman" w:hAnsi="Times New Roman" w:cs="Times New Roman"/>
          <w:sz w:val="24"/>
          <w:szCs w:val="24"/>
        </w:rPr>
        <w:t>ėm</w:t>
      </w:r>
      <w:r w:rsidR="001419FC" w:rsidRPr="000C6097">
        <w:rPr>
          <w:rFonts w:ascii="Times New Roman" w:hAnsi="Times New Roman" w:cs="Times New Roman"/>
          <w:sz w:val="24"/>
          <w:szCs w:val="24"/>
        </w:rPr>
        <w:t>s, bet ir maž</w:t>
      </w:r>
      <w:r w:rsidR="00005FF1" w:rsidRPr="000C6097">
        <w:rPr>
          <w:rFonts w:ascii="Times New Roman" w:hAnsi="Times New Roman" w:cs="Times New Roman"/>
          <w:sz w:val="24"/>
          <w:szCs w:val="24"/>
        </w:rPr>
        <w:t>om</w:t>
      </w:r>
      <w:r w:rsidR="001419FC" w:rsidRPr="000C6097">
        <w:rPr>
          <w:rFonts w:ascii="Times New Roman" w:hAnsi="Times New Roman" w:cs="Times New Roman"/>
          <w:sz w:val="24"/>
          <w:szCs w:val="24"/>
        </w:rPr>
        <w:t>s įmon</w:t>
      </w:r>
      <w:r w:rsidR="00005FF1" w:rsidRPr="000C6097">
        <w:rPr>
          <w:rFonts w:ascii="Times New Roman" w:hAnsi="Times New Roman" w:cs="Times New Roman"/>
          <w:sz w:val="24"/>
          <w:szCs w:val="24"/>
        </w:rPr>
        <w:t>ėm</w:t>
      </w:r>
      <w:r w:rsidR="001419FC" w:rsidRPr="000C6097">
        <w:rPr>
          <w:rFonts w:ascii="Times New Roman" w:hAnsi="Times New Roman" w:cs="Times New Roman"/>
          <w:sz w:val="24"/>
          <w:szCs w:val="24"/>
        </w:rPr>
        <w:t>s</w:t>
      </w:r>
      <w:r w:rsidR="00E97345" w:rsidRPr="000C6097">
        <w:rPr>
          <w:rFonts w:ascii="Times New Roman" w:hAnsi="Times New Roman" w:cs="Times New Roman"/>
          <w:sz w:val="24"/>
          <w:szCs w:val="24"/>
        </w:rPr>
        <w:t xml:space="preserve">, pabrėžia </w:t>
      </w:r>
      <w:r w:rsidR="00D31594" w:rsidRPr="000C6097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D31594" w:rsidRPr="000C6097">
        <w:rPr>
          <w:rFonts w:ascii="Times New Roman" w:hAnsi="Times New Roman" w:cs="Times New Roman"/>
          <w:sz w:val="24"/>
          <w:szCs w:val="24"/>
        </w:rPr>
        <w:t>Alijošiutė</w:t>
      </w:r>
      <w:proofErr w:type="spellEnd"/>
      <w:r w:rsidR="00D31594" w:rsidRPr="000C6097">
        <w:rPr>
          <w:rFonts w:ascii="Times New Roman" w:hAnsi="Times New Roman" w:cs="Times New Roman"/>
          <w:sz w:val="24"/>
          <w:szCs w:val="24"/>
        </w:rPr>
        <w:t>-Paulauskienė</w:t>
      </w:r>
      <w:r w:rsidR="00E97345" w:rsidRPr="000C6097">
        <w:rPr>
          <w:rFonts w:ascii="Times New Roman" w:hAnsi="Times New Roman" w:cs="Times New Roman"/>
          <w:sz w:val="24"/>
          <w:szCs w:val="24"/>
        </w:rPr>
        <w:t>.</w:t>
      </w:r>
      <w:r w:rsidR="00994B5A" w:rsidRPr="000C6097">
        <w:rPr>
          <w:rFonts w:ascii="Times New Roman" w:hAnsi="Times New Roman" w:cs="Times New Roman"/>
          <w:sz w:val="24"/>
          <w:szCs w:val="24"/>
        </w:rPr>
        <w:t xml:space="preserve"> </w:t>
      </w:r>
      <w:r w:rsidR="00E24ADC" w:rsidRPr="000C6097">
        <w:rPr>
          <w:rFonts w:ascii="Times New Roman" w:hAnsi="Times New Roman" w:cs="Times New Roman"/>
          <w:sz w:val="24"/>
          <w:szCs w:val="24"/>
        </w:rPr>
        <w:t xml:space="preserve">Įsigaliojus direktyvai </w:t>
      </w:r>
      <w:r w:rsidR="00FE7843" w:rsidRPr="000C6097">
        <w:rPr>
          <w:rFonts w:ascii="Times New Roman" w:hAnsi="Times New Roman" w:cs="Times New Roman"/>
          <w:sz w:val="24"/>
          <w:szCs w:val="24"/>
        </w:rPr>
        <w:t xml:space="preserve">ES tvarumo ataskaitas turės rengti </w:t>
      </w:r>
      <w:r w:rsidR="00994B5A" w:rsidRPr="000C6097">
        <w:rPr>
          <w:rFonts w:ascii="Times New Roman" w:hAnsi="Times New Roman" w:cs="Times New Roman"/>
          <w:sz w:val="24"/>
          <w:szCs w:val="24"/>
        </w:rPr>
        <w:t>apie 50</w:t>
      </w:r>
      <w:r w:rsidR="00E24ADC" w:rsidRPr="006A37F4">
        <w:rPr>
          <w:rFonts w:ascii="Times New Roman" w:hAnsi="Times New Roman" w:cs="Times New Roman"/>
          <w:sz w:val="24"/>
          <w:szCs w:val="24"/>
        </w:rPr>
        <w:t> </w:t>
      </w:r>
      <w:r w:rsidR="00994B5A" w:rsidRPr="000C6097">
        <w:rPr>
          <w:rFonts w:ascii="Times New Roman" w:hAnsi="Times New Roman" w:cs="Times New Roman"/>
          <w:sz w:val="24"/>
          <w:szCs w:val="24"/>
        </w:rPr>
        <w:t>000</w:t>
      </w:r>
      <w:r w:rsidR="00E24ADC" w:rsidRPr="006A37F4">
        <w:rPr>
          <w:rFonts w:ascii="Times New Roman" w:hAnsi="Times New Roman" w:cs="Times New Roman"/>
          <w:sz w:val="24"/>
          <w:szCs w:val="24"/>
        </w:rPr>
        <w:t xml:space="preserve"> įmonių</w:t>
      </w:r>
      <w:r w:rsidR="00543BAC" w:rsidRPr="000C6097">
        <w:rPr>
          <w:rFonts w:ascii="Times New Roman" w:hAnsi="Times New Roman" w:cs="Times New Roman"/>
          <w:sz w:val="24"/>
          <w:szCs w:val="24"/>
        </w:rPr>
        <w:t>, Lietuvoje – keletas šimtų.</w:t>
      </w:r>
      <w:r w:rsidR="00543BAC" w:rsidRPr="00F057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FF9A46" w14:textId="6B4F1C66" w:rsidR="00E97345" w:rsidRDefault="00E97345" w:rsidP="32161D23">
      <w:pPr>
        <w:jc w:val="both"/>
        <w:rPr>
          <w:rFonts w:ascii="Times New Roman" w:hAnsi="Times New Roman" w:cs="Times New Roman"/>
          <w:sz w:val="24"/>
          <w:szCs w:val="24"/>
        </w:rPr>
      </w:pPr>
      <w:r w:rsidRPr="32161D23">
        <w:rPr>
          <w:rFonts w:ascii="Times New Roman" w:hAnsi="Times New Roman" w:cs="Times New Roman"/>
          <w:sz w:val="24"/>
          <w:szCs w:val="24"/>
        </w:rPr>
        <w:t>„</w:t>
      </w:r>
      <w:r w:rsidR="00451805">
        <w:rPr>
          <w:rFonts w:ascii="Times New Roman" w:hAnsi="Times New Roman" w:cs="Times New Roman"/>
          <w:sz w:val="24"/>
          <w:szCs w:val="24"/>
        </w:rPr>
        <w:t>Tvarumo</w:t>
      </w:r>
      <w:r w:rsidR="00451805" w:rsidRPr="32161D23">
        <w:rPr>
          <w:rFonts w:ascii="Times New Roman" w:hAnsi="Times New Roman" w:cs="Times New Roman"/>
          <w:sz w:val="24"/>
          <w:szCs w:val="24"/>
        </w:rPr>
        <w:t xml:space="preserve"> </w:t>
      </w:r>
      <w:r w:rsidR="00AF3065" w:rsidRPr="32161D23">
        <w:rPr>
          <w:rFonts w:ascii="Times New Roman" w:hAnsi="Times New Roman" w:cs="Times New Roman"/>
          <w:sz w:val="24"/>
          <w:szCs w:val="24"/>
        </w:rPr>
        <w:t>direktyva per artimiausius ketverius metus tiesiogiai palies dideles įmones ir visas viešo intereso, ta</w:t>
      </w:r>
      <w:r w:rsidR="445C079D" w:rsidRPr="32161D23">
        <w:rPr>
          <w:rFonts w:ascii="Times New Roman" w:hAnsi="Times New Roman" w:cs="Times New Roman"/>
          <w:sz w:val="24"/>
          <w:szCs w:val="24"/>
        </w:rPr>
        <w:t>rp jų</w:t>
      </w:r>
      <w:r w:rsidR="26E98FF5" w:rsidRPr="32161D23">
        <w:rPr>
          <w:rFonts w:ascii="Times New Roman" w:hAnsi="Times New Roman" w:cs="Times New Roman"/>
          <w:sz w:val="24"/>
          <w:szCs w:val="24"/>
        </w:rPr>
        <w:t xml:space="preserve"> –</w:t>
      </w:r>
      <w:r w:rsidR="00AF3065" w:rsidRPr="32161D23">
        <w:rPr>
          <w:rFonts w:ascii="Times New Roman" w:hAnsi="Times New Roman" w:cs="Times New Roman"/>
          <w:sz w:val="24"/>
          <w:szCs w:val="24"/>
        </w:rPr>
        <w:t xml:space="preserve"> biržoje </w:t>
      </w:r>
      <w:proofErr w:type="spellStart"/>
      <w:r w:rsidR="00AF3065" w:rsidRPr="32161D23">
        <w:rPr>
          <w:rFonts w:ascii="Times New Roman" w:hAnsi="Times New Roman" w:cs="Times New Roman"/>
          <w:sz w:val="24"/>
          <w:szCs w:val="24"/>
        </w:rPr>
        <w:t>listinguojamas</w:t>
      </w:r>
      <w:proofErr w:type="spellEnd"/>
      <w:r w:rsidR="00AF3065" w:rsidRPr="32161D23">
        <w:rPr>
          <w:rFonts w:ascii="Times New Roman" w:hAnsi="Times New Roman" w:cs="Times New Roman"/>
          <w:sz w:val="24"/>
          <w:szCs w:val="24"/>
        </w:rPr>
        <w:t xml:space="preserve"> įmones</w:t>
      </w:r>
      <w:r w:rsidR="00343677" w:rsidRPr="32161D23">
        <w:rPr>
          <w:rFonts w:ascii="Times New Roman" w:hAnsi="Times New Roman" w:cs="Times New Roman"/>
          <w:sz w:val="24"/>
          <w:szCs w:val="24"/>
        </w:rPr>
        <w:t xml:space="preserve"> bei dideles įmonių grupes patronuojančias įmones. Vis dėlto, mažos įmonės</w:t>
      </w:r>
      <w:r w:rsidR="00D7721E" w:rsidRPr="32161D23">
        <w:rPr>
          <w:rFonts w:ascii="Times New Roman" w:hAnsi="Times New Roman" w:cs="Times New Roman"/>
          <w:sz w:val="24"/>
          <w:szCs w:val="24"/>
        </w:rPr>
        <w:t xml:space="preserve"> taip pat neišvengs naujų reikalavimų – </w:t>
      </w:r>
      <w:r w:rsidR="004C2C97" w:rsidRPr="32161D23">
        <w:rPr>
          <w:rFonts w:ascii="Times New Roman" w:hAnsi="Times New Roman" w:cs="Times New Roman"/>
          <w:sz w:val="24"/>
          <w:szCs w:val="24"/>
        </w:rPr>
        <w:t xml:space="preserve">tiekimo grandinėje dalyvaujančiam smulkiam verslui taip pat </w:t>
      </w:r>
      <w:r w:rsidR="00451805">
        <w:rPr>
          <w:rFonts w:ascii="Times New Roman" w:hAnsi="Times New Roman" w:cs="Times New Roman"/>
          <w:sz w:val="24"/>
          <w:szCs w:val="24"/>
        </w:rPr>
        <w:t>teks</w:t>
      </w:r>
      <w:r w:rsidR="004C2C97" w:rsidRPr="32161D23">
        <w:rPr>
          <w:rFonts w:ascii="Times New Roman" w:hAnsi="Times New Roman" w:cs="Times New Roman"/>
          <w:sz w:val="24"/>
          <w:szCs w:val="24"/>
        </w:rPr>
        <w:t xml:space="preserve"> </w:t>
      </w:r>
      <w:r w:rsidR="00D7721E" w:rsidRPr="32161D23">
        <w:rPr>
          <w:rFonts w:ascii="Times New Roman" w:hAnsi="Times New Roman" w:cs="Times New Roman"/>
          <w:sz w:val="24"/>
          <w:szCs w:val="24"/>
        </w:rPr>
        <w:t>pateikti duomenis apie aplink</w:t>
      </w:r>
      <w:r w:rsidR="00351290" w:rsidRPr="32161D23">
        <w:rPr>
          <w:rFonts w:ascii="Times New Roman" w:hAnsi="Times New Roman" w:cs="Times New Roman"/>
          <w:sz w:val="24"/>
          <w:szCs w:val="24"/>
        </w:rPr>
        <w:t>osaugos, socialinius poveikiu</w:t>
      </w:r>
      <w:r w:rsidR="00163084">
        <w:rPr>
          <w:rFonts w:ascii="Times New Roman" w:hAnsi="Times New Roman" w:cs="Times New Roman"/>
          <w:sz w:val="24"/>
          <w:szCs w:val="24"/>
        </w:rPr>
        <w:t>s</w:t>
      </w:r>
      <w:r w:rsidR="00451805">
        <w:rPr>
          <w:rFonts w:ascii="Times New Roman" w:hAnsi="Times New Roman" w:cs="Times New Roman"/>
          <w:sz w:val="24"/>
          <w:szCs w:val="24"/>
        </w:rPr>
        <w:t>, jų valdyseną</w:t>
      </w:r>
      <w:r w:rsidR="00351290" w:rsidRPr="32161D23">
        <w:rPr>
          <w:rFonts w:ascii="Times New Roman" w:hAnsi="Times New Roman" w:cs="Times New Roman"/>
          <w:sz w:val="24"/>
          <w:szCs w:val="24"/>
        </w:rPr>
        <w:t xml:space="preserve"> bei pastarųjų įtaką bendrovės finansinei veiklai</w:t>
      </w:r>
      <w:r w:rsidR="007A3D3D" w:rsidRPr="32161D23">
        <w:rPr>
          <w:rFonts w:ascii="Times New Roman" w:hAnsi="Times New Roman" w:cs="Times New Roman"/>
          <w:sz w:val="24"/>
          <w:szCs w:val="24"/>
        </w:rPr>
        <w:t xml:space="preserve">“, – aiškina „Vesta </w:t>
      </w:r>
      <w:proofErr w:type="spellStart"/>
      <w:r w:rsidR="007A3D3D" w:rsidRPr="32161D23">
        <w:rPr>
          <w:rFonts w:ascii="Times New Roman" w:hAnsi="Times New Roman" w:cs="Times New Roman"/>
          <w:sz w:val="24"/>
          <w:szCs w:val="24"/>
        </w:rPr>
        <w:t>Consulting</w:t>
      </w:r>
      <w:proofErr w:type="spellEnd"/>
      <w:r w:rsidR="007A3D3D" w:rsidRPr="32161D23">
        <w:rPr>
          <w:rFonts w:ascii="Times New Roman" w:hAnsi="Times New Roman" w:cs="Times New Roman"/>
          <w:sz w:val="24"/>
          <w:szCs w:val="24"/>
        </w:rPr>
        <w:t xml:space="preserve">“ </w:t>
      </w:r>
      <w:r w:rsidR="00451805">
        <w:rPr>
          <w:rFonts w:ascii="Times New Roman" w:hAnsi="Times New Roman" w:cs="Times New Roman"/>
          <w:sz w:val="24"/>
          <w:szCs w:val="24"/>
        </w:rPr>
        <w:t>konsultantė</w:t>
      </w:r>
      <w:r w:rsidR="007A3D3D" w:rsidRPr="32161D23">
        <w:rPr>
          <w:rFonts w:ascii="Times New Roman" w:hAnsi="Times New Roman" w:cs="Times New Roman"/>
          <w:sz w:val="24"/>
          <w:szCs w:val="24"/>
        </w:rPr>
        <w:t>.</w:t>
      </w:r>
    </w:p>
    <w:p w14:paraId="53DAABDE" w14:textId="20DA5BA1" w:rsidR="007A3D3D" w:rsidRDefault="00543BAC" w:rsidP="00141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 t</w:t>
      </w:r>
      <w:r w:rsidR="005A5640">
        <w:rPr>
          <w:rFonts w:ascii="Times New Roman" w:hAnsi="Times New Roman" w:cs="Times New Roman"/>
          <w:sz w:val="24"/>
          <w:szCs w:val="24"/>
        </w:rPr>
        <w:t>varumu susijusios informacijos atskleidi</w:t>
      </w:r>
      <w:r w:rsidR="009C3EA5">
        <w:rPr>
          <w:rFonts w:ascii="Times New Roman" w:hAnsi="Times New Roman" w:cs="Times New Roman"/>
          <w:sz w:val="24"/>
          <w:szCs w:val="24"/>
        </w:rPr>
        <w:t>mas didelėms ir mažoms įmonėms nebus identiškas.</w:t>
      </w:r>
      <w:r w:rsidR="00E63DE7">
        <w:rPr>
          <w:rFonts w:ascii="Times New Roman" w:hAnsi="Times New Roman" w:cs="Times New Roman"/>
          <w:sz w:val="24"/>
          <w:szCs w:val="24"/>
        </w:rPr>
        <w:t xml:space="preserve"> Europos Sąjungos ekspertai ruošia papildomą metodiką, skirt</w:t>
      </w:r>
      <w:r w:rsidR="00163084">
        <w:rPr>
          <w:rFonts w:ascii="Times New Roman" w:hAnsi="Times New Roman" w:cs="Times New Roman"/>
          <w:sz w:val="24"/>
          <w:szCs w:val="24"/>
        </w:rPr>
        <w:t>ą</w:t>
      </w:r>
      <w:r w:rsidR="00E63DE7">
        <w:rPr>
          <w:rFonts w:ascii="Times New Roman" w:hAnsi="Times New Roman" w:cs="Times New Roman"/>
          <w:sz w:val="24"/>
          <w:szCs w:val="24"/>
        </w:rPr>
        <w:t xml:space="preserve"> mažoms ir vidutinėms įmonės, siekdam</w:t>
      </w:r>
      <w:r w:rsidR="006A37F4">
        <w:rPr>
          <w:rFonts w:ascii="Times New Roman" w:hAnsi="Times New Roman" w:cs="Times New Roman"/>
          <w:sz w:val="24"/>
          <w:szCs w:val="24"/>
        </w:rPr>
        <w:t>i</w:t>
      </w:r>
      <w:r w:rsidR="00E63DE7">
        <w:rPr>
          <w:rFonts w:ascii="Times New Roman" w:hAnsi="Times New Roman" w:cs="Times New Roman"/>
          <w:sz w:val="24"/>
          <w:szCs w:val="24"/>
        </w:rPr>
        <w:t xml:space="preserve">, kiek įmanoma, mažinti biurokratinę ir finansinę naštą </w:t>
      </w:r>
      <w:r w:rsidR="00163084">
        <w:rPr>
          <w:rFonts w:ascii="Times New Roman" w:hAnsi="Times New Roman" w:cs="Times New Roman"/>
          <w:sz w:val="24"/>
          <w:szCs w:val="24"/>
        </w:rPr>
        <w:t xml:space="preserve">tokio </w:t>
      </w:r>
      <w:r w:rsidR="00E63DE7">
        <w:rPr>
          <w:rFonts w:ascii="Times New Roman" w:hAnsi="Times New Roman" w:cs="Times New Roman"/>
          <w:sz w:val="24"/>
          <w:szCs w:val="24"/>
        </w:rPr>
        <w:t>verslo atstovams</w:t>
      </w:r>
      <w:r w:rsidR="001E4324">
        <w:rPr>
          <w:rFonts w:ascii="Times New Roman" w:hAnsi="Times New Roman" w:cs="Times New Roman"/>
          <w:sz w:val="24"/>
          <w:szCs w:val="24"/>
        </w:rPr>
        <w:t>.</w:t>
      </w:r>
    </w:p>
    <w:p w14:paraId="65786FF1" w14:textId="36125E61" w:rsidR="00B83611" w:rsidRDefault="001E4324" w:rsidP="0020213C">
      <w:pPr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F524F0">
        <w:rPr>
          <w:rFonts w:ascii="Times New Roman" w:hAnsi="Times New Roman" w:cs="Times New Roman"/>
          <w:sz w:val="24"/>
          <w:szCs w:val="24"/>
        </w:rPr>
        <w:t>Mažoms įmonėms nebus taikoma prievolė rengti tokio pat detalumo ir apimties tvarumo ataskait</w:t>
      </w:r>
      <w:r w:rsidR="3ACE4DB4">
        <w:rPr>
          <w:rFonts w:ascii="Times New Roman" w:hAnsi="Times New Roman" w:cs="Times New Roman"/>
          <w:sz w:val="24"/>
          <w:szCs w:val="24"/>
        </w:rPr>
        <w:t>as</w:t>
      </w:r>
      <w:r w:rsidR="00F524F0">
        <w:rPr>
          <w:rFonts w:ascii="Times New Roman" w:hAnsi="Times New Roman" w:cs="Times New Roman"/>
          <w:sz w:val="24"/>
          <w:szCs w:val="24"/>
        </w:rPr>
        <w:t xml:space="preserve">, bet </w:t>
      </w:r>
      <w:r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duomenų tikslumas, savalaikiškumas, patikimumas, palyginamumas </w:t>
      </w:r>
      <w:r w:rsidR="0020213C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turės būti užtikrintas. </w:t>
      </w:r>
      <w:r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Tvarumo atskaitomybė tampa lygiai taip pat privaloma ir net audituojama</w:t>
      </w:r>
      <w:r w:rsidR="0020213C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,</w:t>
      </w:r>
      <w:r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kaip ir finansinė atskaitomybė</w:t>
      </w:r>
      <w:r w:rsidR="00B8361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“, – sako </w:t>
      </w:r>
      <w:r w:rsidR="00F513C9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A. </w:t>
      </w:r>
      <w:proofErr w:type="spellStart"/>
      <w:r w:rsidR="00F513C9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Alijošiutė</w:t>
      </w:r>
      <w:proofErr w:type="spellEnd"/>
      <w:r w:rsidR="00F513C9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-Paulauskienė</w:t>
      </w:r>
      <w:r w:rsidR="00B8361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.</w:t>
      </w:r>
    </w:p>
    <w:p w14:paraId="6A200B3E" w14:textId="771292D9" w:rsidR="00B83611" w:rsidRPr="00B83611" w:rsidRDefault="00B83611" w:rsidP="0020213C">
      <w:pPr>
        <w:jc w:val="both"/>
        <w:rPr>
          <w:rFonts w:ascii="Times New Roman" w:eastAsia="Times New Roman" w:hAnsi="Times New Roman" w:cs="Times New Roman"/>
          <w:b/>
          <w:bCs/>
          <w:color w:val="242424"/>
          <w:kern w:val="0"/>
          <w:sz w:val="24"/>
          <w:szCs w:val="24"/>
          <w14:ligatures w14:val="none"/>
        </w:rPr>
      </w:pPr>
      <w:r w:rsidRPr="00B83611">
        <w:rPr>
          <w:rFonts w:ascii="Times New Roman" w:eastAsia="Times New Roman" w:hAnsi="Times New Roman" w:cs="Times New Roman"/>
          <w:b/>
          <w:bCs/>
          <w:color w:val="242424"/>
          <w:kern w:val="0"/>
          <w:sz w:val="24"/>
          <w:szCs w:val="24"/>
          <w14:ligatures w14:val="none"/>
        </w:rPr>
        <w:t>P</w:t>
      </w:r>
      <w:r w:rsidR="008759EC">
        <w:rPr>
          <w:rFonts w:ascii="Times New Roman" w:eastAsia="Times New Roman" w:hAnsi="Times New Roman" w:cs="Times New Roman"/>
          <w:b/>
          <w:bCs/>
          <w:color w:val="242424"/>
          <w:kern w:val="0"/>
          <w:sz w:val="24"/>
          <w:szCs w:val="24"/>
          <w14:ligatures w14:val="none"/>
        </w:rPr>
        <w:t>radėti nuo audito ir kompetencijų stiprinimo</w:t>
      </w:r>
    </w:p>
    <w:p w14:paraId="586B5577" w14:textId="79BB7DAF" w:rsidR="00D720DA" w:rsidRDefault="00D86EBD" w:rsidP="0020213C">
      <w:pPr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Pagal </w:t>
      </w:r>
      <w:r w:rsidR="00E63DE7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Tvarumo direktyvą (</w:t>
      </w: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CSRD</w:t>
      </w:r>
      <w:r w:rsidR="00E63DE7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)</w:t>
      </w: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, pirmąsias tvarumo ataskaitas</w:t>
      </w:r>
      <w:r w:rsidR="009E7A59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pagal naujus reikal</w:t>
      </w:r>
      <w:r w:rsidR="0085193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avimus </w:t>
      </w:r>
      <w:r w:rsidR="00EE47B6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jau kitąmet</w:t>
      </w:r>
      <w:r w:rsidR="0062215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už 2024-uosius metus</w:t>
      </w:r>
      <w:r w:rsidR="00EE47B6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</w:t>
      </w:r>
      <w:r w:rsidR="0085193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privalės teikti didelės viešojo intereso įmonės, turinčios daugiau nei 500 darbuotojų</w:t>
      </w:r>
      <w:r w:rsidR="00EE47B6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.</w:t>
      </w:r>
      <w:r w:rsidR="00A0193F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Tuo tarpu smulkioms ir vidutinėms ES </w:t>
      </w:r>
      <w:proofErr w:type="spellStart"/>
      <w:r w:rsidR="00A0193F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listinguojamoms</w:t>
      </w:r>
      <w:proofErr w:type="spellEnd"/>
      <w:r w:rsidR="00A0193F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įmonėms ši prievolė įsi</w:t>
      </w:r>
      <w:r w:rsidR="00827CD9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galios tik 2027 m., atsiskaitant už </w:t>
      </w:r>
      <w:r w:rsidR="00827CD9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lastRenderedPageBreak/>
        <w:t>praėjusių metų laikotarpį</w:t>
      </w:r>
      <w:r w:rsidR="00E63DE7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ir gali būti </w:t>
      </w:r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dar trumpam atidėta</w:t>
      </w:r>
      <w:r w:rsidR="00827CD9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.</w:t>
      </w:r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Visgi, pasak A. </w:t>
      </w:r>
      <w:proofErr w:type="spellStart"/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Alijošiutės</w:t>
      </w:r>
      <w:proofErr w:type="spellEnd"/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-Paulauskienės, laukti neverta. Net jei pagal teisės aktus įmonei dar </w:t>
      </w:r>
      <w:r w:rsidR="007A401D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liko</w:t>
      </w:r>
      <w:r w:rsidR="0086405B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</w:t>
      </w:r>
      <w:r w:rsidR="005B753F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dar </w:t>
      </w:r>
      <w:r w:rsidR="0086405B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keleri metai iki </w:t>
      </w:r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tvarumo atskaitomybės privalomo </w:t>
      </w:r>
      <w:r w:rsidR="007A401D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taikymo,</w:t>
      </w:r>
      <w:r w:rsidR="00C1758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šį laikotarpį derėtų skirti pasiruošimo darbams.</w:t>
      </w:r>
    </w:p>
    <w:p w14:paraId="178B3D43" w14:textId="1C8E7FFD" w:rsidR="003B7D6D" w:rsidRDefault="00C17584" w:rsidP="003B7D6D">
      <w:pPr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„</w:t>
      </w:r>
      <w:r w:rsidR="003B7D6D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Įmonės</w:t>
      </w:r>
      <w:r w:rsidR="003B7D6D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, </w:t>
      </w:r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kurios </w:t>
      </w:r>
      <w:r w:rsidR="003B7D6D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anksčiau</w:t>
      </w:r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pradėjo</w:t>
      </w:r>
      <w:r w:rsidR="003B7D6D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</w:t>
      </w:r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analizuoti savo </w:t>
      </w:r>
      <w:r w:rsidR="006A37F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aplinkosaugos, socialinės ir valdysenos (</w:t>
      </w:r>
      <w:r w:rsidR="009F2E18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ESG</w:t>
      </w:r>
      <w:r w:rsidR="006A37F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) sričių</w:t>
      </w:r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poveikius</w:t>
      </w:r>
      <w:r w:rsidR="003B7D6D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,</w:t>
      </w:r>
      <w:r w:rsidR="00942AE0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sekti jų rodiklius</w:t>
      </w:r>
      <w:r w:rsidR="00F72BFE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,</w:t>
      </w:r>
      <w:r w:rsidR="003B7D6D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turės daugiau patirties, daugiau duomenų, galbūt jau net bus pradėję </w:t>
      </w:r>
      <w:r w:rsidR="00F72BFE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pokyčius ir verslo modelio kaitą</w:t>
      </w:r>
      <w:r w:rsidR="003B7D6D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. Tvarumo reikalavimai tik didėja – kuo anksčia</w:t>
      </w:r>
      <w:r w:rsidR="1331EA1F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u</w:t>
      </w:r>
      <w:r w:rsidR="003B7D6D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įmonė pradeda ruoštis, tuo jai bus lengviau prisitaikyti. Tarkime</w:t>
      </w:r>
      <w:r w:rsidR="003B7D6D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,</w:t>
      </w:r>
      <w:r w:rsidR="003B7D6D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tam tikrose rinkose bus galima pardavinėti tik labai žemo arba iš vis nulinio balanso CO2 pėdsako prekes arba daryti tik teigiamą poveikį ekosistemoms – tokiems </w:t>
      </w:r>
      <w:r w:rsidR="0016308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pokyčiam</w:t>
      </w:r>
      <w:r w:rsidR="00163084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s </w:t>
      </w:r>
      <w:r w:rsidR="003B7D6D" w:rsidRPr="001E432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reikia ruoštis iš anksto</w:t>
      </w:r>
      <w:r w:rsidR="009161DA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“, – sako ji.</w:t>
      </w:r>
    </w:p>
    <w:p w14:paraId="60B390C1" w14:textId="781FEF9C" w:rsidR="00662E96" w:rsidRDefault="00F72BFE" w:rsidP="003B7D6D">
      <w:pPr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Ekspertė</w:t>
      </w:r>
      <w:r w:rsidR="00777806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pataria įmonėms pradėti nuo </w:t>
      </w:r>
      <w:r w:rsidR="00701B7F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ESG sričių audito: kaip įmonė </w:t>
      </w:r>
      <w:r w:rsidR="00573778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šiuo metu valdo savo poveikius, kokius rodiklius seka tvarumo srityje</w:t>
      </w: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. Svarbu </w:t>
      </w:r>
      <w:r w:rsidR="00573778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įtraukti suinteresuotąsias šalis</w:t>
      </w:r>
      <w:r w:rsidR="006A37F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:</w:t>
      </w:r>
      <w:r w:rsidR="00573778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 sužinoti, ko jos tikisi iš įmonės, </w:t>
      </w: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atlikti reikšmingų poveikių analizę</w:t>
      </w:r>
      <w:r w:rsidR="006A37F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, išsiaiškinant, </w:t>
      </w:r>
      <w:r w:rsidR="008F18CD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kas</w:t>
      </w:r>
      <w:r w:rsidR="00555316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svarbiausia tvarumo aspektu – tiek įmonės veiklos </w:t>
      </w:r>
      <w:r w:rsidR="00E153FD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daromi poveikiai aplinkai ir visuomenei, tiek kokias rizikas</w:t>
      </w: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sudaro </w:t>
      </w:r>
      <w:r w:rsidR="00E153FD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ir galimybes įmonei atveria tvarumo iššūkiai.</w:t>
      </w:r>
    </w:p>
    <w:p w14:paraId="1E96D8E5" w14:textId="2EC62AFF" w:rsidR="00662E96" w:rsidRDefault="00E153FD" w:rsidP="003B7D6D">
      <w:pPr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„</w:t>
      </w:r>
      <w:r w:rsidR="005E57BE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Ką gali padaryti įmonės, tai stiprinti tvarumo kompetencijas</w:t>
      </w:r>
      <w:r w:rsidR="00CC1033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. Svarbu suprasti, kad tvarumas versle </w:t>
      </w:r>
      <w:r w:rsidR="00F72BFE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– tai  visuminis  </w:t>
      </w:r>
      <w:r w:rsidR="00CC1033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požiūris į savo veiklą, visą vertės grandinę ir sąsajas su supančia aplinka tiek veiklos vietoje, tiek visame pasaulyje</w:t>
      </w:r>
      <w:r w:rsidR="00A11A0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. </w:t>
      </w:r>
      <w:r w:rsidR="008A55E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Įmonė</w:t>
      </w:r>
      <w:r w:rsidR="00A11A0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turi žinoti viską apie savo produktą</w:t>
      </w:r>
      <w:r w:rsidR="0054506E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ar paslaugą</w:t>
      </w:r>
      <w:r w:rsidR="00A11A0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: kaip užauginta ar pagaminta žaliava, kaip elgiamasi su </w:t>
      </w:r>
      <w:r w:rsidR="00573778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tiekėjo </w:t>
      </w:r>
      <w:r w:rsidR="00A11A0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darbuotojais, kokios yra tiekėjų etinės nuostatos </w:t>
      </w:r>
      <w:r w:rsidR="0054506E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bei kas vyksta, kai produktas tampa atlieka</w:t>
      </w:r>
      <w:r w:rsidR="00A11A0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“, – sako </w:t>
      </w:r>
      <w:r w:rsidR="008A55E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A. </w:t>
      </w:r>
      <w:proofErr w:type="spellStart"/>
      <w:r w:rsidR="008A55E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Alijošiutė</w:t>
      </w:r>
      <w:proofErr w:type="spellEnd"/>
      <w:r w:rsidR="008A55E5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-Paulauskienė</w:t>
      </w:r>
      <w:r w:rsidR="00A11A01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.</w:t>
      </w:r>
    </w:p>
    <w:p w14:paraId="77282811" w14:textId="73D2C823" w:rsidR="00573778" w:rsidRPr="001E4324" w:rsidRDefault="00573778" w:rsidP="00573778">
      <w:pPr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Pagrindinė šio teisės akto kritika – per didelė biurokratinė na</w:t>
      </w:r>
      <w:r w:rsidRPr="00F0574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šta verslui. </w:t>
      </w:r>
      <w:r w:rsidR="006A37F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Pašnekovė pabrėžia, jog v</w:t>
      </w:r>
      <w:r w:rsidRPr="00F0574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ertėtų susimąstyti</w:t>
      </w:r>
      <w:r w:rsidR="006A37F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, nes</w:t>
      </w: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tvarumo reikalavimai tik stiprės, todėl kuo anksčiau įmonė pradės analizuoti savo verslą iš tvarumo perspektyvos, tuo greičiau </w:t>
      </w:r>
      <w:r w:rsidR="000813FF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pasirengs pokyčiams, </w:t>
      </w: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atlieps visuomenės ir kitų suinteresuotųjų </w:t>
      </w:r>
      <w:r w:rsidR="00612912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šalių </w:t>
      </w: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lūkesčius, ras galimybes įgyti konkurencinį pranašumą</w:t>
      </w:r>
      <w:r w:rsidRPr="00F0574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. </w:t>
      </w:r>
      <w:r w:rsidR="000813FF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T</w:t>
      </w:r>
      <w:r w:rsidRPr="00F0574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varumo </w:t>
      </w:r>
      <w:r w:rsidR="000813FF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ataskaitų </w:t>
      </w:r>
      <w:r w:rsidRPr="00F0574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direktyva </w:t>
      </w:r>
      <w:r w:rsidR="000813FF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svarbi ir vartotojams – jos įgyvendinimas </w:t>
      </w:r>
      <w:r w:rsidRPr="00F0574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sudarys galimybes skaidriau pamatyti įmonių veiklą, jų poveikius </w:t>
      </w:r>
      <w:r w:rsidR="006A37F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>bei</w:t>
      </w:r>
      <w:r w:rsidRPr="00F05744"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požiūrį į jų valdymą</w:t>
      </w:r>
      <w:r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  <w:t xml:space="preserve"> ir lengviau pasirinkti rinkoje atsakingą gaminį ar paslaugą. </w:t>
      </w:r>
    </w:p>
    <w:p w14:paraId="3528E595" w14:textId="73B06E3C" w:rsidR="003A7BA8" w:rsidRPr="00FE1D54" w:rsidRDefault="003A7BA8" w:rsidP="006A37F4">
      <w:pPr>
        <w:jc w:val="both"/>
        <w:rPr>
          <w:rFonts w:ascii="Times New Roman" w:eastAsia="Times New Roman" w:hAnsi="Times New Roman" w:cs="Times New Roman"/>
          <w:color w:val="242424"/>
          <w:kern w:val="0"/>
          <w:sz w:val="24"/>
          <w:szCs w:val="24"/>
          <w14:ligatures w14:val="none"/>
        </w:rPr>
      </w:pPr>
    </w:p>
    <w:sectPr w:rsidR="003A7BA8" w:rsidRPr="00FE1D54" w:rsidSect="00D7398F">
      <w:headerReference w:type="default" r:id="rId11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DDA39" w14:textId="77777777" w:rsidR="00D067F6" w:rsidRDefault="00D067F6" w:rsidP="008A3377">
      <w:pPr>
        <w:spacing w:after="0" w:line="240" w:lineRule="auto"/>
      </w:pPr>
      <w:r>
        <w:separator/>
      </w:r>
    </w:p>
  </w:endnote>
  <w:endnote w:type="continuationSeparator" w:id="0">
    <w:p w14:paraId="44187502" w14:textId="77777777" w:rsidR="00D067F6" w:rsidRDefault="00D067F6" w:rsidP="008A3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FC725" w14:textId="77777777" w:rsidR="00D067F6" w:rsidRDefault="00D067F6" w:rsidP="008A3377">
      <w:pPr>
        <w:spacing w:after="0" w:line="240" w:lineRule="auto"/>
      </w:pPr>
      <w:r>
        <w:separator/>
      </w:r>
    </w:p>
  </w:footnote>
  <w:footnote w:type="continuationSeparator" w:id="0">
    <w:p w14:paraId="2FA47F3F" w14:textId="77777777" w:rsidR="00D067F6" w:rsidRDefault="00D067F6" w:rsidP="008A3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7A844" w14:textId="0BA6A7E9" w:rsidR="008A3377" w:rsidRDefault="008A3377" w:rsidP="008A3377">
    <w:pPr>
      <w:pStyle w:val="Header"/>
      <w:jc w:val="right"/>
    </w:pPr>
    <w:r>
      <w:rPr>
        <w:noProof/>
      </w:rPr>
      <w:drawing>
        <wp:inline distT="0" distB="0" distL="0" distR="0" wp14:anchorId="138453EA" wp14:editId="5693E94F">
          <wp:extent cx="2764706" cy="434340"/>
          <wp:effectExtent l="0" t="0" r="0" b="3810"/>
          <wp:docPr id="737195519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7195519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0001" cy="439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B3339"/>
    <w:multiLevelType w:val="multilevel"/>
    <w:tmpl w:val="B6346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5130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9F"/>
    <w:rsid w:val="00005FF1"/>
    <w:rsid w:val="00035B19"/>
    <w:rsid w:val="00041187"/>
    <w:rsid w:val="00042120"/>
    <w:rsid w:val="00054E73"/>
    <w:rsid w:val="00072E1F"/>
    <w:rsid w:val="000813FF"/>
    <w:rsid w:val="000829A0"/>
    <w:rsid w:val="000941ED"/>
    <w:rsid w:val="000B0920"/>
    <w:rsid w:val="000C6097"/>
    <w:rsid w:val="000C7C14"/>
    <w:rsid w:val="00106B1C"/>
    <w:rsid w:val="00106F20"/>
    <w:rsid w:val="00113542"/>
    <w:rsid w:val="0011533F"/>
    <w:rsid w:val="00116B95"/>
    <w:rsid w:val="00134587"/>
    <w:rsid w:val="00136C1F"/>
    <w:rsid w:val="001419FC"/>
    <w:rsid w:val="0015183B"/>
    <w:rsid w:val="00163084"/>
    <w:rsid w:val="00170205"/>
    <w:rsid w:val="0017312A"/>
    <w:rsid w:val="00173CEB"/>
    <w:rsid w:val="00173E6C"/>
    <w:rsid w:val="00186F1A"/>
    <w:rsid w:val="00193882"/>
    <w:rsid w:val="001B5359"/>
    <w:rsid w:val="001E41B5"/>
    <w:rsid w:val="001E4324"/>
    <w:rsid w:val="0020213C"/>
    <w:rsid w:val="002024F7"/>
    <w:rsid w:val="00206092"/>
    <w:rsid w:val="00210CA3"/>
    <w:rsid w:val="00237E4B"/>
    <w:rsid w:val="002A0423"/>
    <w:rsid w:val="002B5513"/>
    <w:rsid w:val="002C3A78"/>
    <w:rsid w:val="002D523D"/>
    <w:rsid w:val="002D61CB"/>
    <w:rsid w:val="002E1439"/>
    <w:rsid w:val="002E5E00"/>
    <w:rsid w:val="002F2B70"/>
    <w:rsid w:val="002F2B9A"/>
    <w:rsid w:val="002F54F4"/>
    <w:rsid w:val="00304D83"/>
    <w:rsid w:val="00305C9B"/>
    <w:rsid w:val="00307AEE"/>
    <w:rsid w:val="003300A2"/>
    <w:rsid w:val="0033439F"/>
    <w:rsid w:val="00340441"/>
    <w:rsid w:val="00343677"/>
    <w:rsid w:val="00346889"/>
    <w:rsid w:val="003509E9"/>
    <w:rsid w:val="00351290"/>
    <w:rsid w:val="00375E3E"/>
    <w:rsid w:val="00376896"/>
    <w:rsid w:val="00377DCD"/>
    <w:rsid w:val="00383798"/>
    <w:rsid w:val="003A7BA8"/>
    <w:rsid w:val="003B7D6D"/>
    <w:rsid w:val="003E38CD"/>
    <w:rsid w:val="003F3BC2"/>
    <w:rsid w:val="003F5D9D"/>
    <w:rsid w:val="00403CF2"/>
    <w:rsid w:val="00430BB7"/>
    <w:rsid w:val="00451805"/>
    <w:rsid w:val="00457721"/>
    <w:rsid w:val="004A3F6D"/>
    <w:rsid w:val="004B414F"/>
    <w:rsid w:val="004C2C97"/>
    <w:rsid w:val="004D3419"/>
    <w:rsid w:val="00502D79"/>
    <w:rsid w:val="00520D44"/>
    <w:rsid w:val="00543BAC"/>
    <w:rsid w:val="0054506E"/>
    <w:rsid w:val="00555316"/>
    <w:rsid w:val="00555337"/>
    <w:rsid w:val="00573778"/>
    <w:rsid w:val="005800E4"/>
    <w:rsid w:val="005874A5"/>
    <w:rsid w:val="005A20C6"/>
    <w:rsid w:val="005A5640"/>
    <w:rsid w:val="005B753F"/>
    <w:rsid w:val="005C447D"/>
    <w:rsid w:val="005E57BE"/>
    <w:rsid w:val="00601C88"/>
    <w:rsid w:val="006120AF"/>
    <w:rsid w:val="00612912"/>
    <w:rsid w:val="006218C1"/>
    <w:rsid w:val="00622151"/>
    <w:rsid w:val="0063687C"/>
    <w:rsid w:val="00640039"/>
    <w:rsid w:val="00643077"/>
    <w:rsid w:val="00646A0E"/>
    <w:rsid w:val="00661CA0"/>
    <w:rsid w:val="00662664"/>
    <w:rsid w:val="00662E96"/>
    <w:rsid w:val="00667DB2"/>
    <w:rsid w:val="00673815"/>
    <w:rsid w:val="006A37F4"/>
    <w:rsid w:val="006E044C"/>
    <w:rsid w:val="006E5DE4"/>
    <w:rsid w:val="00701B7F"/>
    <w:rsid w:val="00706105"/>
    <w:rsid w:val="007470C4"/>
    <w:rsid w:val="007529DE"/>
    <w:rsid w:val="00756CA6"/>
    <w:rsid w:val="00777806"/>
    <w:rsid w:val="00781FBC"/>
    <w:rsid w:val="007A3D3D"/>
    <w:rsid w:val="007A401D"/>
    <w:rsid w:val="007B53EB"/>
    <w:rsid w:val="0081160D"/>
    <w:rsid w:val="008118B9"/>
    <w:rsid w:val="0081775D"/>
    <w:rsid w:val="00823A94"/>
    <w:rsid w:val="00827CD9"/>
    <w:rsid w:val="0083177F"/>
    <w:rsid w:val="00850FA0"/>
    <w:rsid w:val="00851935"/>
    <w:rsid w:val="00863A8E"/>
    <w:rsid w:val="0086405B"/>
    <w:rsid w:val="00871DE1"/>
    <w:rsid w:val="008759EC"/>
    <w:rsid w:val="00881785"/>
    <w:rsid w:val="008A3377"/>
    <w:rsid w:val="008A55E5"/>
    <w:rsid w:val="008D5194"/>
    <w:rsid w:val="008F18CD"/>
    <w:rsid w:val="008F72CB"/>
    <w:rsid w:val="00906DD8"/>
    <w:rsid w:val="009161DA"/>
    <w:rsid w:val="0092336A"/>
    <w:rsid w:val="009240EC"/>
    <w:rsid w:val="00926DAE"/>
    <w:rsid w:val="00930D79"/>
    <w:rsid w:val="00931CDF"/>
    <w:rsid w:val="00931DCD"/>
    <w:rsid w:val="00934704"/>
    <w:rsid w:val="009421D1"/>
    <w:rsid w:val="00942AE0"/>
    <w:rsid w:val="00962B94"/>
    <w:rsid w:val="00987A90"/>
    <w:rsid w:val="00994B5A"/>
    <w:rsid w:val="009A22AE"/>
    <w:rsid w:val="009B1922"/>
    <w:rsid w:val="009C3EA5"/>
    <w:rsid w:val="009D55AB"/>
    <w:rsid w:val="009E7A59"/>
    <w:rsid w:val="009F105D"/>
    <w:rsid w:val="009F2E18"/>
    <w:rsid w:val="00A0193F"/>
    <w:rsid w:val="00A053CC"/>
    <w:rsid w:val="00A11A01"/>
    <w:rsid w:val="00A35B7D"/>
    <w:rsid w:val="00A45220"/>
    <w:rsid w:val="00A63C58"/>
    <w:rsid w:val="00AE15A9"/>
    <w:rsid w:val="00AE20E8"/>
    <w:rsid w:val="00AF3065"/>
    <w:rsid w:val="00B0063D"/>
    <w:rsid w:val="00B13DE2"/>
    <w:rsid w:val="00B1603E"/>
    <w:rsid w:val="00B16F40"/>
    <w:rsid w:val="00B26E78"/>
    <w:rsid w:val="00B35696"/>
    <w:rsid w:val="00B405F0"/>
    <w:rsid w:val="00B408AE"/>
    <w:rsid w:val="00B56F52"/>
    <w:rsid w:val="00B650F4"/>
    <w:rsid w:val="00B652E3"/>
    <w:rsid w:val="00B71A9B"/>
    <w:rsid w:val="00B73BB0"/>
    <w:rsid w:val="00B83611"/>
    <w:rsid w:val="00B96E78"/>
    <w:rsid w:val="00BA267F"/>
    <w:rsid w:val="00BA4170"/>
    <w:rsid w:val="00BA6EA5"/>
    <w:rsid w:val="00BB059F"/>
    <w:rsid w:val="00BB29F5"/>
    <w:rsid w:val="00BD4C90"/>
    <w:rsid w:val="00BD59A7"/>
    <w:rsid w:val="00BD70A1"/>
    <w:rsid w:val="00BE2C95"/>
    <w:rsid w:val="00BE4851"/>
    <w:rsid w:val="00C03CC7"/>
    <w:rsid w:val="00C13656"/>
    <w:rsid w:val="00C16B97"/>
    <w:rsid w:val="00C1747E"/>
    <w:rsid w:val="00C17584"/>
    <w:rsid w:val="00C26E23"/>
    <w:rsid w:val="00C52D13"/>
    <w:rsid w:val="00C668EB"/>
    <w:rsid w:val="00C84238"/>
    <w:rsid w:val="00C85B70"/>
    <w:rsid w:val="00CC1033"/>
    <w:rsid w:val="00CD6D4B"/>
    <w:rsid w:val="00CE3191"/>
    <w:rsid w:val="00D05396"/>
    <w:rsid w:val="00D06602"/>
    <w:rsid w:val="00D067F6"/>
    <w:rsid w:val="00D22DFF"/>
    <w:rsid w:val="00D31594"/>
    <w:rsid w:val="00D32A2D"/>
    <w:rsid w:val="00D56425"/>
    <w:rsid w:val="00D720DA"/>
    <w:rsid w:val="00D7398F"/>
    <w:rsid w:val="00D76D47"/>
    <w:rsid w:val="00D7721E"/>
    <w:rsid w:val="00D86EBD"/>
    <w:rsid w:val="00DE7798"/>
    <w:rsid w:val="00E149BA"/>
    <w:rsid w:val="00E153FD"/>
    <w:rsid w:val="00E24ADC"/>
    <w:rsid w:val="00E308F6"/>
    <w:rsid w:val="00E35072"/>
    <w:rsid w:val="00E63DE7"/>
    <w:rsid w:val="00E66EFB"/>
    <w:rsid w:val="00E826FE"/>
    <w:rsid w:val="00E91E48"/>
    <w:rsid w:val="00E97345"/>
    <w:rsid w:val="00EB7510"/>
    <w:rsid w:val="00EC0C79"/>
    <w:rsid w:val="00EC2DD6"/>
    <w:rsid w:val="00EE47B6"/>
    <w:rsid w:val="00EE66BF"/>
    <w:rsid w:val="00EF5EA1"/>
    <w:rsid w:val="00F02943"/>
    <w:rsid w:val="00F05744"/>
    <w:rsid w:val="00F23F3B"/>
    <w:rsid w:val="00F35A5E"/>
    <w:rsid w:val="00F37882"/>
    <w:rsid w:val="00F47B4C"/>
    <w:rsid w:val="00F510A4"/>
    <w:rsid w:val="00F513C9"/>
    <w:rsid w:val="00F524F0"/>
    <w:rsid w:val="00F537A3"/>
    <w:rsid w:val="00F724E4"/>
    <w:rsid w:val="00F72BFE"/>
    <w:rsid w:val="00F85C98"/>
    <w:rsid w:val="00F90438"/>
    <w:rsid w:val="00F913D6"/>
    <w:rsid w:val="00FC38EA"/>
    <w:rsid w:val="00FD6E2D"/>
    <w:rsid w:val="00FE1D54"/>
    <w:rsid w:val="00FE5DA7"/>
    <w:rsid w:val="00FE7843"/>
    <w:rsid w:val="01DAED17"/>
    <w:rsid w:val="1331EA1F"/>
    <w:rsid w:val="26E98FF5"/>
    <w:rsid w:val="2D5C9E7B"/>
    <w:rsid w:val="2EF1875B"/>
    <w:rsid w:val="32161D23"/>
    <w:rsid w:val="3ACE4DB4"/>
    <w:rsid w:val="445C079D"/>
    <w:rsid w:val="445CB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BF3CD8"/>
  <w15:chartTrackingRefBased/>
  <w15:docId w15:val="{9681C1F6-4236-4F01-BFB2-E56B09B9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05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5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05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5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5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5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5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5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5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5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5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5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5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5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5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5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5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5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05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5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05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05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5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05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05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5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5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059F"/>
    <w:rPr>
      <w:b/>
      <w:bCs/>
      <w:smallCaps/>
      <w:color w:val="0F4761" w:themeColor="accent1" w:themeShade="BF"/>
      <w:spacing w:val="5"/>
    </w:rPr>
  </w:style>
  <w:style w:type="character" w:customStyle="1" w:styleId="ql-emoticon">
    <w:name w:val="ql-emoticon"/>
    <w:basedOn w:val="DefaultParagraphFont"/>
    <w:rsid w:val="00BB059F"/>
  </w:style>
  <w:style w:type="character" w:customStyle="1" w:styleId="ql-emoticon-icon">
    <w:name w:val="ql-emoticon-icon"/>
    <w:basedOn w:val="DefaultParagraphFont"/>
    <w:rsid w:val="00BB059F"/>
  </w:style>
  <w:style w:type="character" w:styleId="Hyperlink">
    <w:name w:val="Hyperlink"/>
    <w:basedOn w:val="DefaultParagraphFont"/>
    <w:uiPriority w:val="99"/>
    <w:semiHidden/>
    <w:unhideWhenUsed/>
    <w:rsid w:val="00BB05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18C1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3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377"/>
  </w:style>
  <w:style w:type="paragraph" w:styleId="Footer">
    <w:name w:val="footer"/>
    <w:basedOn w:val="Normal"/>
    <w:link w:val="FooterChar"/>
    <w:uiPriority w:val="99"/>
    <w:unhideWhenUsed/>
    <w:rsid w:val="008A3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377"/>
  </w:style>
  <w:style w:type="character" w:styleId="CommentReference">
    <w:name w:val="annotation reference"/>
    <w:basedOn w:val="DefaultParagraphFont"/>
    <w:uiPriority w:val="99"/>
    <w:semiHidden/>
    <w:unhideWhenUsed/>
    <w:rsid w:val="00BD5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9A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D34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Props1.xml><?xml version="1.0" encoding="utf-8"?>
<ds:datastoreItem xmlns:ds="http://schemas.openxmlformats.org/officeDocument/2006/customXml" ds:itemID="{0DAD220C-27EF-4A23-B8AC-6854D87997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F5DCF-3FAC-4402-96BE-4F98208D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75392-BE62-394E-8D4C-6E27121EAE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DE50A-6C71-47F1-A318-095222BB697D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3870</Words>
  <Characters>2206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Edgaras Batušan</cp:lastModifiedBy>
  <cp:revision>5</cp:revision>
  <dcterms:created xsi:type="dcterms:W3CDTF">2024-06-11T09:29:00Z</dcterms:created>
  <dcterms:modified xsi:type="dcterms:W3CDTF">2024-06-12T08:21:00Z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eef3730c-ec74-4ef3-a395-18df549394cc</vt:lpwstr>
  </property>
  <property fmtid="{D5CDD505-2E9C-101B-9397-08002B2CF9AE}" pid="3" name="ContentTypeId">
    <vt:lpwstr>0x010100228955D77AF03A478266A9C939F62C57</vt:lpwstr>
  </property>
  <property fmtid="{D5CDD505-2E9C-101B-9397-08002B2CF9AE}" pid="4" name="MediaServiceImageTags">
    <vt:lpwstr/>
  </property>
</Properties>
</file>