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998F1" w14:textId="77777777" w:rsidR="00F86FAA" w:rsidRDefault="00F86FAA" w:rsidP="00E80DBD">
      <w:pPr>
        <w:spacing w:after="120"/>
        <w:jc w:val="both"/>
        <w:rPr>
          <w:b/>
          <w:bCs/>
        </w:rPr>
      </w:pPr>
    </w:p>
    <w:p w14:paraId="0D7115D3" w14:textId="03C5E9C5" w:rsidR="00F86FAA" w:rsidRPr="00CB7B29" w:rsidRDefault="00656625" w:rsidP="00E80DBD">
      <w:pPr>
        <w:spacing w:after="120"/>
        <w:jc w:val="both"/>
        <w:rPr>
          <w:b/>
          <w:bCs/>
        </w:rPr>
      </w:pPr>
      <w:r w:rsidRPr="00CB7B29">
        <w:rPr>
          <w:b/>
          <w:bCs/>
        </w:rPr>
        <w:t>„</w:t>
      </w:r>
      <w:r w:rsidR="008D1C45">
        <w:rPr>
          <w:b/>
          <w:bCs/>
        </w:rPr>
        <w:t>A</w:t>
      </w:r>
      <w:r w:rsidR="00995E38">
        <w:rPr>
          <w:b/>
          <w:bCs/>
        </w:rPr>
        <w:t>cme</w:t>
      </w:r>
      <w:r w:rsidR="008C680F" w:rsidRPr="00CB7B29">
        <w:rPr>
          <w:b/>
          <w:bCs/>
        </w:rPr>
        <w:t xml:space="preserve"> Grupės</w:t>
      </w:r>
      <w:r w:rsidRPr="00CB7B29">
        <w:rPr>
          <w:b/>
          <w:bCs/>
        </w:rPr>
        <w:t xml:space="preserve">“ </w:t>
      </w:r>
      <w:r w:rsidR="70324644" w:rsidRPr="3E9DEE0F">
        <w:rPr>
          <w:b/>
          <w:bCs/>
        </w:rPr>
        <w:t xml:space="preserve">veiklos </w:t>
      </w:r>
      <w:r w:rsidR="49598868" w:rsidRPr="207BFF03">
        <w:rPr>
          <w:b/>
          <w:bCs/>
        </w:rPr>
        <w:t>pelnas</w:t>
      </w:r>
      <w:r w:rsidR="00F86FAA">
        <w:rPr>
          <w:b/>
          <w:bCs/>
        </w:rPr>
        <w:t xml:space="preserve"> augo 23 proc. ir </w:t>
      </w:r>
      <w:r w:rsidR="00931644">
        <w:rPr>
          <w:b/>
          <w:bCs/>
        </w:rPr>
        <w:t>viršijo 25 mln. Eur</w:t>
      </w:r>
    </w:p>
    <w:p w14:paraId="7CE757EF" w14:textId="2B558C5B" w:rsidR="001D5101" w:rsidRPr="00CB7B29" w:rsidRDefault="00737ABE" w:rsidP="00E80DBD">
      <w:pPr>
        <w:spacing w:after="120"/>
        <w:jc w:val="both"/>
        <w:rPr>
          <w:b/>
          <w:bCs/>
        </w:rPr>
      </w:pPr>
      <w:r w:rsidRPr="00CB7B29">
        <w:rPr>
          <w:b/>
          <w:bCs/>
        </w:rPr>
        <w:t>Vienos didžiausių Baltijos šalyse didmeninės prekybos el</w:t>
      </w:r>
      <w:r w:rsidR="00987DE8">
        <w:rPr>
          <w:b/>
          <w:bCs/>
        </w:rPr>
        <w:t>ektros</w:t>
      </w:r>
      <w:r w:rsidRPr="00CB7B29">
        <w:rPr>
          <w:b/>
          <w:bCs/>
        </w:rPr>
        <w:t xml:space="preserve"> įrenginiais, filmais ir kitomis verslo sritimis užsiimančių </w:t>
      </w:r>
      <w:r w:rsidR="0066512D" w:rsidRPr="00CB7B29">
        <w:rPr>
          <w:b/>
          <w:bCs/>
        </w:rPr>
        <w:t xml:space="preserve">33 </w:t>
      </w:r>
      <w:r w:rsidRPr="00CB7B29">
        <w:rPr>
          <w:b/>
          <w:bCs/>
        </w:rPr>
        <w:t>bendrovių grupės „</w:t>
      </w:r>
      <w:r w:rsidR="008D1C45">
        <w:rPr>
          <w:b/>
          <w:bCs/>
        </w:rPr>
        <w:t>Acme</w:t>
      </w:r>
      <w:r w:rsidRPr="00CB7B29">
        <w:rPr>
          <w:b/>
          <w:bCs/>
        </w:rPr>
        <w:t xml:space="preserve"> Grupė“ konsoliduotos pajamos 202</w:t>
      </w:r>
      <w:r w:rsidR="00874E77" w:rsidRPr="00CB7B29">
        <w:rPr>
          <w:b/>
          <w:bCs/>
        </w:rPr>
        <w:t>3</w:t>
      </w:r>
      <w:r w:rsidRPr="00CB7B29">
        <w:rPr>
          <w:b/>
          <w:bCs/>
        </w:rPr>
        <w:t xml:space="preserve"> m. augo </w:t>
      </w:r>
      <w:r w:rsidR="00874E77" w:rsidRPr="00CB7B29">
        <w:rPr>
          <w:b/>
          <w:bCs/>
        </w:rPr>
        <w:t>7</w:t>
      </w:r>
      <w:r w:rsidR="00987DE8">
        <w:rPr>
          <w:b/>
          <w:bCs/>
        </w:rPr>
        <w:t xml:space="preserve"> proc.</w:t>
      </w:r>
      <w:r w:rsidRPr="00CB7B29">
        <w:rPr>
          <w:b/>
          <w:bCs/>
        </w:rPr>
        <w:t xml:space="preserve"> ir siekė </w:t>
      </w:r>
      <w:r w:rsidR="00874E77" w:rsidRPr="00CB7B29">
        <w:rPr>
          <w:b/>
          <w:bCs/>
        </w:rPr>
        <w:t>802</w:t>
      </w:r>
      <w:r w:rsidRPr="00CB7B29">
        <w:rPr>
          <w:b/>
          <w:bCs/>
        </w:rPr>
        <w:t xml:space="preserve"> mln. Eur</w:t>
      </w:r>
      <w:r w:rsidR="00987DE8">
        <w:rPr>
          <w:b/>
          <w:bCs/>
        </w:rPr>
        <w:t xml:space="preserve"> (</w:t>
      </w:r>
      <w:r w:rsidRPr="00CB7B29">
        <w:rPr>
          <w:b/>
          <w:bCs/>
        </w:rPr>
        <w:t>202</w:t>
      </w:r>
      <w:r w:rsidR="00874E77" w:rsidRPr="00CB7B29">
        <w:rPr>
          <w:b/>
          <w:bCs/>
        </w:rPr>
        <w:t>2</w:t>
      </w:r>
      <w:r w:rsidRPr="00CB7B29">
        <w:rPr>
          <w:b/>
          <w:bCs/>
        </w:rPr>
        <w:t xml:space="preserve"> m. </w:t>
      </w:r>
      <w:r w:rsidR="001D5101" w:rsidRPr="00CB7B29">
        <w:rPr>
          <w:b/>
          <w:bCs/>
        </w:rPr>
        <w:t>buvo</w:t>
      </w:r>
      <w:r w:rsidRPr="00CB7B29">
        <w:rPr>
          <w:b/>
          <w:bCs/>
        </w:rPr>
        <w:t xml:space="preserve"> </w:t>
      </w:r>
      <w:r w:rsidR="00874E77" w:rsidRPr="00CB7B29">
        <w:rPr>
          <w:b/>
          <w:bCs/>
        </w:rPr>
        <w:t>747</w:t>
      </w:r>
      <w:r w:rsidRPr="00CB7B29">
        <w:rPr>
          <w:b/>
          <w:bCs/>
        </w:rPr>
        <w:t xml:space="preserve"> mln. Eur</w:t>
      </w:r>
      <w:r w:rsidR="00987DE8">
        <w:rPr>
          <w:b/>
          <w:bCs/>
        </w:rPr>
        <w:t>)</w:t>
      </w:r>
      <w:r w:rsidRPr="00CB7B29">
        <w:rPr>
          <w:b/>
          <w:bCs/>
        </w:rPr>
        <w:t xml:space="preserve">. </w:t>
      </w:r>
      <w:r w:rsidR="00987DE8" w:rsidRPr="00987DE8">
        <w:rPr>
          <w:rStyle w:val="Emphasis"/>
          <w:b/>
          <w:bCs/>
          <w:i w:val="0"/>
          <w:iCs w:val="0"/>
          <w:color w:val="222222"/>
          <w:shd w:val="clear" w:color="auto" w:fill="FFFFFF"/>
        </w:rPr>
        <w:t>Grupės pelnas prieš palūkanas, mokesčius, nusidėvėjimą ir amortizaciją (EBITDA) 202</w:t>
      </w:r>
      <w:r w:rsidR="00987DE8">
        <w:rPr>
          <w:rStyle w:val="Emphasis"/>
          <w:b/>
          <w:bCs/>
          <w:i w:val="0"/>
          <w:iCs w:val="0"/>
          <w:color w:val="222222"/>
          <w:shd w:val="clear" w:color="auto" w:fill="FFFFFF"/>
        </w:rPr>
        <w:t>3</w:t>
      </w:r>
      <w:r w:rsidR="00987DE8" w:rsidRPr="00987DE8">
        <w:rPr>
          <w:rStyle w:val="Emphasis"/>
          <w:b/>
          <w:bCs/>
          <w:i w:val="0"/>
          <w:iCs w:val="0"/>
          <w:color w:val="222222"/>
          <w:shd w:val="clear" w:color="auto" w:fill="FFFFFF"/>
        </w:rPr>
        <w:t xml:space="preserve"> m. sudarė 2</w:t>
      </w:r>
      <w:r w:rsidR="00987DE8">
        <w:rPr>
          <w:rStyle w:val="Emphasis"/>
          <w:b/>
          <w:bCs/>
          <w:i w:val="0"/>
          <w:iCs w:val="0"/>
          <w:color w:val="222222"/>
          <w:shd w:val="clear" w:color="auto" w:fill="FFFFFF"/>
        </w:rPr>
        <w:t>5,4</w:t>
      </w:r>
      <w:r w:rsidR="00987DE8" w:rsidRPr="00987DE8">
        <w:rPr>
          <w:rStyle w:val="Emphasis"/>
          <w:b/>
          <w:bCs/>
          <w:i w:val="0"/>
          <w:iCs w:val="0"/>
          <w:color w:val="222222"/>
          <w:shd w:val="clear" w:color="auto" w:fill="FFFFFF"/>
        </w:rPr>
        <w:t xml:space="preserve"> mln. Eur ir buvo </w:t>
      </w:r>
      <w:r w:rsidR="00987DE8">
        <w:rPr>
          <w:rStyle w:val="Emphasis"/>
          <w:b/>
          <w:bCs/>
          <w:i w:val="0"/>
          <w:iCs w:val="0"/>
          <w:color w:val="222222"/>
          <w:shd w:val="clear" w:color="auto" w:fill="FFFFFF"/>
        </w:rPr>
        <w:t>23</w:t>
      </w:r>
      <w:r w:rsidR="00987DE8" w:rsidRPr="00987DE8">
        <w:rPr>
          <w:rStyle w:val="Emphasis"/>
          <w:b/>
          <w:bCs/>
          <w:i w:val="0"/>
          <w:iCs w:val="0"/>
          <w:color w:val="222222"/>
          <w:shd w:val="clear" w:color="auto" w:fill="FFFFFF"/>
        </w:rPr>
        <w:t xml:space="preserve"> proc. </w:t>
      </w:r>
      <w:r w:rsidR="00987DE8">
        <w:rPr>
          <w:rStyle w:val="Emphasis"/>
          <w:b/>
          <w:bCs/>
          <w:i w:val="0"/>
          <w:iCs w:val="0"/>
          <w:color w:val="222222"/>
          <w:shd w:val="clear" w:color="auto" w:fill="FFFFFF"/>
        </w:rPr>
        <w:t>didesnis</w:t>
      </w:r>
      <w:r w:rsidR="00987DE8" w:rsidRPr="00987DE8">
        <w:rPr>
          <w:rStyle w:val="Emphasis"/>
          <w:b/>
          <w:bCs/>
          <w:i w:val="0"/>
          <w:iCs w:val="0"/>
          <w:color w:val="222222"/>
          <w:shd w:val="clear" w:color="auto" w:fill="FFFFFF"/>
        </w:rPr>
        <w:t xml:space="preserve"> nei 20</w:t>
      </w:r>
      <w:r w:rsidR="00987DE8">
        <w:rPr>
          <w:rStyle w:val="Emphasis"/>
          <w:b/>
          <w:bCs/>
          <w:i w:val="0"/>
          <w:iCs w:val="0"/>
          <w:color w:val="222222"/>
          <w:shd w:val="clear" w:color="auto" w:fill="FFFFFF"/>
        </w:rPr>
        <w:t>22</w:t>
      </w:r>
      <w:r w:rsidR="00987DE8" w:rsidRPr="00987DE8">
        <w:rPr>
          <w:rStyle w:val="Emphasis"/>
          <w:b/>
          <w:bCs/>
          <w:i w:val="0"/>
          <w:iCs w:val="0"/>
          <w:color w:val="222222"/>
          <w:shd w:val="clear" w:color="auto" w:fill="FFFFFF"/>
        </w:rPr>
        <w:t>-aisiais</w:t>
      </w:r>
      <w:r w:rsidR="00987DE8">
        <w:rPr>
          <w:rStyle w:val="Emphasis"/>
          <w:b/>
          <w:bCs/>
          <w:i w:val="0"/>
          <w:iCs w:val="0"/>
          <w:color w:val="222222"/>
          <w:shd w:val="clear" w:color="auto" w:fill="FFFFFF"/>
        </w:rPr>
        <w:t>, kai siekė</w:t>
      </w:r>
      <w:r w:rsidR="00DF1137" w:rsidRPr="00CB7B29">
        <w:rPr>
          <w:b/>
          <w:bCs/>
        </w:rPr>
        <w:t xml:space="preserve"> </w:t>
      </w:r>
      <w:r w:rsidR="001D5101" w:rsidRPr="00CB7B29">
        <w:rPr>
          <w:b/>
          <w:bCs/>
        </w:rPr>
        <w:t>20,7 mln. Eur.</w:t>
      </w:r>
    </w:p>
    <w:p w14:paraId="45FCD33C" w14:textId="40D3B4E5" w:rsidR="00874E77" w:rsidRPr="00CB7B29" w:rsidRDefault="00D95DDA" w:rsidP="00E80DBD">
      <w:pPr>
        <w:spacing w:after="120"/>
        <w:jc w:val="both"/>
      </w:pPr>
      <w:r w:rsidRPr="00CB7B29">
        <w:t>„2023 metais „</w:t>
      </w:r>
      <w:r w:rsidR="008D1C45">
        <w:t>Acme</w:t>
      </w:r>
      <w:r w:rsidRPr="00CB7B29">
        <w:t xml:space="preserve"> Grupės“ veiklos pelningumą lėmė grupės bendrovių sėkminga</w:t>
      </w:r>
      <w:r w:rsidR="0472559C">
        <w:t>,</w:t>
      </w:r>
      <w:r w:rsidRPr="00CB7B29">
        <w:t xml:space="preserve"> į plėtrą orientuota veikla. </w:t>
      </w:r>
      <w:r w:rsidR="004C7D9D" w:rsidRPr="00CB7B29">
        <w:t>Nepaisant to, kad e</w:t>
      </w:r>
      <w:r w:rsidRPr="00CB7B29">
        <w:t>lektronikos įrenginių distribucija užsiimančių bendrov</w:t>
      </w:r>
      <w:r w:rsidR="004C7D9D" w:rsidRPr="00CB7B29">
        <w:t xml:space="preserve">ių veiklos rinka traukėsi, tačiau naujų prekės ženklų įvedimas ir esamų intensyvi plėtra, veiklos procesų efektyvumo </w:t>
      </w:r>
      <w:r w:rsidR="007E564A" w:rsidRPr="00CB7B29">
        <w:t>su</w:t>
      </w:r>
      <w:r w:rsidR="004C7D9D" w:rsidRPr="00CB7B29">
        <w:t xml:space="preserve">stiprinimas leido </w:t>
      </w:r>
      <w:r w:rsidR="00931644">
        <w:t>užtikrinti</w:t>
      </w:r>
      <w:r w:rsidR="007E564A" w:rsidRPr="00CB7B29">
        <w:t xml:space="preserve"> </w:t>
      </w:r>
      <w:r w:rsidR="004C7D9D" w:rsidRPr="00CB7B29">
        <w:t>pelningą veiklą</w:t>
      </w:r>
      <w:r w:rsidR="00373E20" w:rsidRPr="00CB7B29">
        <w:t>“,</w:t>
      </w:r>
      <w:r w:rsidR="00931644">
        <w:t xml:space="preserve"> – </w:t>
      </w:r>
      <w:r w:rsidR="00373E20" w:rsidRPr="00CB7B29">
        <w:t>teigia „</w:t>
      </w:r>
      <w:r w:rsidR="008D1C45">
        <w:t>A</w:t>
      </w:r>
      <w:r w:rsidR="00E80DBD">
        <w:t>cme</w:t>
      </w:r>
      <w:r w:rsidR="00373E20" w:rsidRPr="00CB7B29">
        <w:t xml:space="preserve"> Grupės“ vadovas Sergej Artemiuk.</w:t>
      </w:r>
      <w:r w:rsidR="00E80DBD" w:rsidRPr="00E80DBD">
        <w:t xml:space="preserve"> </w:t>
      </w:r>
      <w:r w:rsidR="00E80DBD">
        <w:t>2023 m. b</w:t>
      </w:r>
      <w:r w:rsidR="00E80DBD" w:rsidRPr="00CB7B29">
        <w:t xml:space="preserve">endrovių grupės eksportas sudarė 50 proc. visos apyvartos. Eksportas vykdytas į 30 užsienio šalių. </w:t>
      </w:r>
    </w:p>
    <w:p w14:paraId="07AFDE8A" w14:textId="0FE9BADA" w:rsidR="001715F4" w:rsidRPr="00CB7B29" w:rsidRDefault="00373E20" w:rsidP="00E80DBD">
      <w:pPr>
        <w:spacing w:after="120"/>
        <w:jc w:val="both"/>
      </w:pPr>
      <w:r w:rsidRPr="00CB7B29">
        <w:t>Pasak S.</w:t>
      </w:r>
      <w:r w:rsidR="00E04798">
        <w:t xml:space="preserve"> </w:t>
      </w:r>
      <w:r w:rsidRPr="00CB7B29">
        <w:t xml:space="preserve">Artemiuk, </w:t>
      </w:r>
      <w:r w:rsidR="007E564A" w:rsidRPr="00CB7B29">
        <w:t xml:space="preserve">EBITDA augimą lėmė </w:t>
      </w:r>
      <w:r w:rsidR="001715F4" w:rsidRPr="00CB7B29">
        <w:t xml:space="preserve">ir </w:t>
      </w:r>
      <w:r w:rsidR="00096C37" w:rsidRPr="00CB7B29">
        <w:t>pagreitį įgaunanti</w:t>
      </w:r>
      <w:r w:rsidR="007E564A" w:rsidRPr="00CB7B29">
        <w:t xml:space="preserve"> atsinaujinančios energetikos </w:t>
      </w:r>
      <w:r w:rsidR="00096C37" w:rsidRPr="00CB7B29">
        <w:t>bendrovių</w:t>
      </w:r>
      <w:r w:rsidR="007E564A" w:rsidRPr="00CB7B29">
        <w:t xml:space="preserve"> </w:t>
      </w:r>
      <w:r w:rsidR="00096C37" w:rsidRPr="00CB7B29">
        <w:t xml:space="preserve">veikla </w:t>
      </w:r>
      <w:r w:rsidR="007E564A" w:rsidRPr="00CB7B29">
        <w:t xml:space="preserve">– </w:t>
      </w:r>
      <w:r w:rsidR="00904D0A" w:rsidRPr="00CB7B29">
        <w:t>aktyviai vy</w:t>
      </w:r>
      <w:r w:rsidR="00E04798">
        <w:t>s</w:t>
      </w:r>
      <w:r w:rsidR="00904D0A" w:rsidRPr="00CB7B29">
        <w:t>tomi tiek saulės, tiek vėjo parkai Lietuvoje. Praėjusiais metais buvo i</w:t>
      </w:r>
      <w:r w:rsidR="007E564A" w:rsidRPr="00CB7B29">
        <w:t xml:space="preserve">šplėsti energijos gamybiniai pajėgumai bei </w:t>
      </w:r>
      <w:r w:rsidR="00E04798">
        <w:t xml:space="preserve">gautos </w:t>
      </w:r>
      <w:r w:rsidR="007E564A" w:rsidRPr="00CB7B29">
        <w:t>pirmosios pajamos iš parduotų saulės parkų</w:t>
      </w:r>
      <w:r w:rsidR="001715F4" w:rsidRPr="00CB7B29">
        <w:t xml:space="preserve">. Šiuo metu vystomų saulės projektų apimtis </w:t>
      </w:r>
      <w:r w:rsidR="00E04798">
        <w:t>siekia</w:t>
      </w:r>
      <w:r w:rsidR="00E04798" w:rsidRPr="00CB7B29">
        <w:t xml:space="preserve"> </w:t>
      </w:r>
      <w:r w:rsidR="001715F4" w:rsidRPr="00CB7B29">
        <w:t>118 MW, vėjo projekt</w:t>
      </w:r>
      <w:r w:rsidR="00E04798">
        <w:t>ų</w:t>
      </w:r>
      <w:r w:rsidR="001715F4" w:rsidRPr="00CB7B29">
        <w:t xml:space="preserve"> – </w:t>
      </w:r>
      <w:r w:rsidR="4F96352A">
        <w:t>53</w:t>
      </w:r>
      <w:r w:rsidR="001715F4" w:rsidRPr="00CB7B29">
        <w:t xml:space="preserve"> MW.</w:t>
      </w:r>
    </w:p>
    <w:p w14:paraId="1CE7328A" w14:textId="30706C5A" w:rsidR="007E564A" w:rsidRPr="00CB7B29" w:rsidRDefault="0066512D" w:rsidP="00E80DBD">
      <w:pPr>
        <w:spacing w:after="120"/>
        <w:jc w:val="both"/>
      </w:pPr>
      <w:r w:rsidRPr="00CB7B29">
        <w:t>Sėkmingus veiklos rezultatus lėmė ir</w:t>
      </w:r>
      <w:r w:rsidR="007E564A" w:rsidRPr="00CB7B29">
        <w:t xml:space="preserve"> </w:t>
      </w:r>
      <w:r w:rsidR="00096C37" w:rsidRPr="00CB7B29">
        <w:t>pasitraukimas</w:t>
      </w:r>
      <w:r w:rsidR="007E564A" w:rsidRPr="00CB7B29">
        <w:t xml:space="preserve"> iš karjerų verslo</w:t>
      </w:r>
      <w:r w:rsidR="00096C37" w:rsidRPr="00CB7B29">
        <w:t>. „</w:t>
      </w:r>
      <w:r w:rsidR="008D1C45">
        <w:t>A</w:t>
      </w:r>
      <w:r w:rsidR="00E80DBD">
        <w:t>cme</w:t>
      </w:r>
      <w:r w:rsidR="00096C37" w:rsidRPr="00CB7B29">
        <w:t xml:space="preserve"> Grupė“ pernai pard</w:t>
      </w:r>
      <w:r w:rsidR="00E04798">
        <w:t>avė</w:t>
      </w:r>
      <w:r w:rsidR="00096C37" w:rsidRPr="00CB7B29">
        <w:t xml:space="preserve"> bendrovių grupę „ST investicija“, kuri plėtojo smėlio karjerus Lietuvoje. Tai padėjo labiau susitelkti</w:t>
      </w:r>
      <w:r w:rsidR="007E564A" w:rsidRPr="00CB7B29">
        <w:t xml:space="preserve"> į pagrindines</w:t>
      </w:r>
      <w:r w:rsidR="00904D0A" w:rsidRPr="00CB7B29">
        <w:t xml:space="preserve"> grupės</w:t>
      </w:r>
      <w:r w:rsidR="007E564A" w:rsidRPr="00CB7B29">
        <w:t xml:space="preserve"> veiklos kryptis bei atsinaujinančios energetikos projektus.</w:t>
      </w:r>
    </w:p>
    <w:p w14:paraId="0BA42843" w14:textId="39973EB1" w:rsidR="001D5101" w:rsidRPr="00CB7B29" w:rsidRDefault="00E80DC0" w:rsidP="00E80DBD">
      <w:pPr>
        <w:spacing w:after="120"/>
        <w:jc w:val="both"/>
        <w:rPr>
          <w:b/>
          <w:bCs/>
        </w:rPr>
      </w:pPr>
      <w:r w:rsidRPr="00CB7B29">
        <w:rPr>
          <w:b/>
          <w:bCs/>
        </w:rPr>
        <w:t>„</w:t>
      </w:r>
      <w:r w:rsidR="001D5101" w:rsidRPr="00CB7B29">
        <w:rPr>
          <w:b/>
          <w:bCs/>
        </w:rPr>
        <w:t>A</w:t>
      </w:r>
      <w:r w:rsidR="006B2BF5">
        <w:rPr>
          <w:b/>
          <w:bCs/>
        </w:rPr>
        <w:t>pple</w:t>
      </w:r>
      <w:r w:rsidRPr="00CB7B29">
        <w:rPr>
          <w:b/>
          <w:bCs/>
        </w:rPr>
        <w:t>“</w:t>
      </w:r>
      <w:r w:rsidR="001D5101" w:rsidRPr="00CB7B29">
        <w:rPr>
          <w:b/>
          <w:bCs/>
        </w:rPr>
        <w:t xml:space="preserve"> </w:t>
      </w:r>
      <w:r w:rsidR="006B2BF5">
        <w:rPr>
          <w:b/>
          <w:bCs/>
        </w:rPr>
        <w:t>įrenginių paklausa augo</w:t>
      </w:r>
    </w:p>
    <w:p w14:paraId="3E6FC507" w14:textId="642C7C28" w:rsidR="001D5101" w:rsidRPr="00CB7B29" w:rsidRDefault="001D5101" w:rsidP="00E80DBD">
      <w:pPr>
        <w:spacing w:after="120"/>
        <w:jc w:val="both"/>
      </w:pPr>
      <w:r w:rsidRPr="00CB7B29">
        <w:t>„</w:t>
      </w:r>
      <w:r w:rsidR="008D1C45">
        <w:t>A</w:t>
      </w:r>
      <w:r w:rsidR="00E80DBD">
        <w:t>cme</w:t>
      </w:r>
      <w:r w:rsidRPr="00CB7B29">
        <w:t xml:space="preserve"> Grupės“ valdomos bendrovės „AVAD Baltic“, </w:t>
      </w:r>
      <w:r w:rsidR="005A0C6D">
        <w:t>platinančios</w:t>
      </w:r>
      <w:r w:rsidR="005A0C6D" w:rsidRPr="00CB7B29">
        <w:t xml:space="preserve"> </w:t>
      </w:r>
      <w:r w:rsidRPr="00CB7B29">
        <w:t xml:space="preserve">„Apple“ prekės ženklo įrenginius Baltijos šalyse, pardavimo pajamos augo 5 proc. ir 2023 m. siekė 483 mln. Eur. 2022 metais </w:t>
      </w:r>
      <w:r w:rsidR="00946D35">
        <w:t>pajamos buvo</w:t>
      </w:r>
      <w:r w:rsidRPr="00CB7B29">
        <w:t> 460 mln. Eur. </w:t>
      </w:r>
    </w:p>
    <w:p w14:paraId="225937F2" w14:textId="29D73157" w:rsidR="001D5101" w:rsidRPr="00CB7B29" w:rsidRDefault="001D5101" w:rsidP="00E80DBD">
      <w:pPr>
        <w:spacing w:after="120"/>
        <w:jc w:val="both"/>
      </w:pPr>
      <w:r w:rsidRPr="00CB7B29">
        <w:t xml:space="preserve">Remiantis „BRC Group“ </w:t>
      </w:r>
      <w:r w:rsidR="00203688" w:rsidRPr="00CB7B29">
        <w:t>duomenimis</w:t>
      </w:r>
      <w:r w:rsidRPr="00CB7B29">
        <w:t xml:space="preserve">, </w:t>
      </w:r>
      <w:r w:rsidR="00060AA0">
        <w:t xml:space="preserve">„iPhone“ pardavimo pajamos </w:t>
      </w:r>
      <w:r w:rsidRPr="00CB7B29">
        <w:t>Baltijos šal</w:t>
      </w:r>
      <w:r w:rsidR="00060AA0">
        <w:t xml:space="preserve">yse </w:t>
      </w:r>
      <w:r w:rsidRPr="00CB7B29">
        <w:t>per metus augo 16</w:t>
      </w:r>
      <w:r w:rsidR="00060AA0">
        <w:t xml:space="preserve"> proc.</w:t>
      </w:r>
      <w:r w:rsidRPr="00CB7B29">
        <w:t xml:space="preserve"> ir 2023 m. siekė 326 mln. Eur. „Macbook</w:t>
      </w:r>
      <w:r w:rsidR="00060AA0">
        <w:t>“</w:t>
      </w:r>
      <w:r w:rsidRPr="00CB7B29">
        <w:t xml:space="preserve"> nešiojamieji kompiuteriai </w:t>
      </w:r>
      <w:r w:rsidR="00060AA0">
        <w:t xml:space="preserve">taip pat </w:t>
      </w:r>
      <w:r w:rsidRPr="00CB7B29">
        <w:t>stiprino savo pozicijas Baltijos šalyse</w:t>
      </w:r>
      <w:r w:rsidR="00203688" w:rsidRPr="00CB7B29">
        <w:t>:</w:t>
      </w:r>
      <w:r w:rsidRPr="00CB7B29">
        <w:t xml:space="preserve"> rinkos dalis vienetais ūgtelėjo nuo 17</w:t>
      </w:r>
      <w:r w:rsidR="00115F2E">
        <w:t xml:space="preserve"> </w:t>
      </w:r>
      <w:r w:rsidR="00060AA0">
        <w:t>proc. 2022 m.</w:t>
      </w:r>
      <w:r w:rsidRPr="00CB7B29">
        <w:t xml:space="preserve"> iki 20 proc. </w:t>
      </w:r>
      <w:r w:rsidR="00060AA0">
        <w:t xml:space="preserve">pernai. Metai buvo sėkmingi ir </w:t>
      </w:r>
      <w:r w:rsidRPr="00CB7B29">
        <w:t xml:space="preserve">„Apple Watch” išmaniųjų laikrodžių </w:t>
      </w:r>
      <w:r w:rsidR="00060AA0">
        <w:t xml:space="preserve">kategorijoje – ji </w:t>
      </w:r>
      <w:r w:rsidRPr="00CB7B29">
        <w:t>pasiekė 47</w:t>
      </w:r>
      <w:r w:rsidR="00060AA0">
        <w:t xml:space="preserve"> proc.</w:t>
      </w:r>
      <w:r w:rsidRPr="00CB7B29">
        <w:t xml:space="preserve"> rinkos dalį verte išmaniųjų laikrodžių kategorijoje.</w:t>
      </w:r>
    </w:p>
    <w:p w14:paraId="74DFA08D" w14:textId="18447572" w:rsidR="00B44ABB" w:rsidRPr="00CB7B29" w:rsidRDefault="00312DF6" w:rsidP="00E80DBD">
      <w:pPr>
        <w:spacing w:after="120"/>
        <w:jc w:val="both"/>
        <w:rPr>
          <w:b/>
          <w:bCs/>
        </w:rPr>
      </w:pPr>
      <w:r>
        <w:rPr>
          <w:b/>
          <w:bCs/>
        </w:rPr>
        <w:t>Prekyba technologiniais įrenginiais nestojo</w:t>
      </w:r>
    </w:p>
    <w:p w14:paraId="78D310A1" w14:textId="6FA55534" w:rsidR="00D43C9E" w:rsidRPr="00786A90" w:rsidRDefault="00D43C9E" w:rsidP="00E80DBD">
      <w:pPr>
        <w:spacing w:after="120"/>
        <w:jc w:val="both"/>
        <w:rPr>
          <w:color w:val="000000" w:themeColor="text1"/>
        </w:rPr>
      </w:pPr>
      <w:r>
        <w:rPr>
          <w:color w:val="000000"/>
          <w:shd w:val="clear" w:color="auto" w:fill="FFFFFF"/>
        </w:rPr>
        <w:t xml:space="preserve">Pasak S. Artemiuk, nors </w:t>
      </w:r>
      <w:r w:rsidR="00B44ABB" w:rsidRPr="00CB7B29">
        <w:rPr>
          <w:color w:val="000000"/>
          <w:shd w:val="clear" w:color="auto" w:fill="FFFFFF"/>
        </w:rPr>
        <w:t>2023 m</w:t>
      </w:r>
      <w:r>
        <w:rPr>
          <w:color w:val="000000"/>
          <w:shd w:val="clear" w:color="auto" w:fill="FFFFFF"/>
        </w:rPr>
        <w:t>.</w:t>
      </w:r>
      <w:r w:rsidR="00B44ABB" w:rsidRPr="00CB7B29">
        <w:rPr>
          <w:color w:val="000000"/>
          <w:shd w:val="clear" w:color="auto" w:fill="FFFFFF"/>
        </w:rPr>
        <w:t xml:space="preserve"> technologinių įrenginių rinka Baltijos šalyse patyrė paklausos sumažėjimą, </w:t>
      </w:r>
      <w:r>
        <w:rPr>
          <w:color w:val="000000"/>
          <w:shd w:val="clear" w:color="auto" w:fill="FFFFFF"/>
        </w:rPr>
        <w:t>v</w:t>
      </w:r>
      <w:r w:rsidRPr="00CB7B29">
        <w:rPr>
          <w:color w:val="000000"/>
          <w:shd w:val="clear" w:color="auto" w:fill="FFFFFF"/>
        </w:rPr>
        <w:t xml:space="preserve">iena stambiausių Baltijos šalyse didmenine prekyba technologiniais įrenginiais užsiimanti </w:t>
      </w:r>
      <w:r>
        <w:rPr>
          <w:color w:val="000000"/>
          <w:shd w:val="clear" w:color="auto" w:fill="FFFFFF"/>
        </w:rPr>
        <w:t xml:space="preserve">grupės bendrovė </w:t>
      </w:r>
      <w:r w:rsidR="00B44ABB" w:rsidRPr="00CB7B29">
        <w:rPr>
          <w:color w:val="000000"/>
          <w:shd w:val="clear" w:color="auto" w:fill="FFFFFF"/>
        </w:rPr>
        <w:t xml:space="preserve">„ACC Distribution“ </w:t>
      </w:r>
      <w:r w:rsidR="00F63012">
        <w:t>augo ar išlaikė pajamų augimą</w:t>
      </w:r>
      <w:r w:rsidR="00B44ABB" w:rsidRPr="00CB7B29">
        <w:rPr>
          <w:color w:val="000000"/>
          <w:shd w:val="clear" w:color="auto" w:fill="FFFFFF"/>
        </w:rPr>
        <w:t xml:space="preserve">, augino naujų technologinių įrenginių kategorijas ir intensyviai efektyvino procesus. </w:t>
      </w:r>
      <w:r>
        <w:rPr>
          <w:color w:val="000000"/>
          <w:shd w:val="clear" w:color="auto" w:fill="FFFFFF"/>
        </w:rPr>
        <w:t>B</w:t>
      </w:r>
      <w:r w:rsidRPr="00CB7B29">
        <w:rPr>
          <w:color w:val="000000"/>
          <w:shd w:val="clear" w:color="auto" w:fill="FFFFFF"/>
        </w:rPr>
        <w:t>endrov</w:t>
      </w:r>
      <w:r>
        <w:rPr>
          <w:color w:val="000000"/>
          <w:shd w:val="clear" w:color="auto" w:fill="FFFFFF"/>
        </w:rPr>
        <w:t xml:space="preserve">ės konsoliduotos </w:t>
      </w:r>
      <w:r w:rsidRPr="00786A90">
        <w:rPr>
          <w:color w:val="000000" w:themeColor="text1"/>
          <w:shd w:val="clear" w:color="auto" w:fill="FFFFFF"/>
        </w:rPr>
        <w:t>pajamos 2023 m. augo 8,7 proc. iki 304,6 mln. Eur (2022 m. – 2</w:t>
      </w:r>
      <w:r w:rsidR="00F63012">
        <w:rPr>
          <w:color w:val="000000" w:themeColor="text1"/>
          <w:shd w:val="clear" w:color="auto" w:fill="FFFFFF"/>
          <w:lang w:val="en-US"/>
        </w:rPr>
        <w:t>80</w:t>
      </w:r>
      <w:r>
        <w:rPr>
          <w:color w:val="000000" w:themeColor="text1"/>
          <w:shd w:val="clear" w:color="auto" w:fill="FFFFFF"/>
          <w:lang w:val="en-US"/>
        </w:rPr>
        <w:t xml:space="preserve"> </w:t>
      </w:r>
      <w:r w:rsidRPr="00786A90">
        <w:rPr>
          <w:color w:val="000000" w:themeColor="text1"/>
          <w:shd w:val="clear" w:color="auto" w:fill="FFFFFF"/>
        </w:rPr>
        <w:t>mln. Eur).</w:t>
      </w:r>
    </w:p>
    <w:p w14:paraId="3175DFAE" w14:textId="5FF29740" w:rsidR="15CF1649" w:rsidRPr="00786A90" w:rsidRDefault="15CF1649" w:rsidP="00786A90">
      <w:pPr>
        <w:jc w:val="both"/>
        <w:rPr>
          <w:rFonts w:eastAsia="Calibri"/>
          <w:color w:val="000000" w:themeColor="text1"/>
          <w:lang w:val="lt"/>
        </w:rPr>
      </w:pPr>
      <w:r w:rsidRPr="1E4B6B93">
        <w:rPr>
          <w:rFonts w:eastAsia="Calibri"/>
          <w:color w:val="000000" w:themeColor="text1"/>
          <w:lang w:val="lt"/>
        </w:rPr>
        <w:t xml:space="preserve">2023 metais daugiau nei 16% visų pajamų </w:t>
      </w:r>
      <w:r w:rsidR="009670DE" w:rsidRPr="1E4B6B93">
        <w:rPr>
          <w:rFonts w:eastAsia="Calibri"/>
          <w:color w:val="000000" w:themeColor="text1"/>
          <w:lang w:val="lt"/>
        </w:rPr>
        <w:t>sudar</w:t>
      </w:r>
      <w:r w:rsidR="009670DE" w:rsidRPr="1E4B6B93">
        <w:rPr>
          <w:rFonts w:eastAsia="Calibri"/>
          <w:color w:val="000000" w:themeColor="text1"/>
        </w:rPr>
        <w:t>ė</w:t>
      </w:r>
      <w:r w:rsidR="00792CD9">
        <w:rPr>
          <w:rFonts w:eastAsia="Calibri"/>
          <w:color w:val="000000" w:themeColor="text1"/>
        </w:rPr>
        <w:t xml:space="preserve"> pajamos</w:t>
      </w:r>
      <w:r w:rsidRPr="1E4B6B93">
        <w:rPr>
          <w:rFonts w:eastAsia="Calibri"/>
          <w:color w:val="000000" w:themeColor="text1"/>
          <w:lang w:val="lt"/>
        </w:rPr>
        <w:t xml:space="preserve"> iš naujų technologinių įrenginių prekės ženklų ar prekių kategorijų. O prieš metus atliktos investicijos į atsargų ir sandėlio valdymo sistemas bei analitikos įrankių stiprinimą 2023 metais davė grąžą geriau tenkinant partnerių poreikius, efektyvinant procesus ir apyvartinio kapitalo valdymą.</w:t>
      </w:r>
    </w:p>
    <w:p w14:paraId="5EAF827D" w14:textId="6B93137B" w:rsidR="207BFF03" w:rsidRPr="00786A90" w:rsidRDefault="207BFF03" w:rsidP="207BFF03">
      <w:pPr>
        <w:pStyle w:val="paragraph"/>
        <w:spacing w:before="0" w:beforeAutospacing="0" w:after="120" w:afterAutospacing="0"/>
        <w:jc w:val="both"/>
        <w:rPr>
          <w:rStyle w:val="eop"/>
          <w:color w:val="000000" w:themeColor="text1"/>
        </w:rPr>
      </w:pPr>
    </w:p>
    <w:p w14:paraId="1D9B3A0E" w14:textId="0B4B6A58" w:rsidR="00786A90" w:rsidRDefault="003642E6" w:rsidP="00E75829">
      <w:pPr>
        <w:spacing w:after="120"/>
        <w:jc w:val="both"/>
        <w:rPr>
          <w:b/>
          <w:bCs/>
        </w:rPr>
      </w:pPr>
      <w:r>
        <w:rPr>
          <w:rFonts w:eastAsia="Calibri"/>
          <w:color w:val="000000" w:themeColor="text1"/>
          <w:lang w:val="lt"/>
        </w:rPr>
        <w:lastRenderedPageBreak/>
        <w:t>V</w:t>
      </w:r>
      <w:r w:rsidR="001500A4" w:rsidRPr="00786A90">
        <w:rPr>
          <w:rFonts w:eastAsia="Calibri"/>
          <w:color w:val="000000" w:themeColor="text1"/>
          <w:lang w:val="lt"/>
        </w:rPr>
        <w:t xml:space="preserve">is didesnę „ACC Distribution“ krepšelio dalį užima </w:t>
      </w:r>
      <w:r w:rsidR="009670DE">
        <w:rPr>
          <w:rFonts w:eastAsia="Calibri"/>
          <w:color w:val="000000" w:themeColor="text1"/>
          <w:lang w:val="lt"/>
        </w:rPr>
        <w:t>atsinaujinančios</w:t>
      </w:r>
      <w:r w:rsidR="66C7C77B" w:rsidRPr="00786A90">
        <w:rPr>
          <w:rFonts w:eastAsia="Calibri"/>
          <w:color w:val="000000" w:themeColor="text1"/>
          <w:lang w:val="lt"/>
        </w:rPr>
        <w:t xml:space="preserve"> energetikos </w:t>
      </w:r>
      <w:r w:rsidR="001500A4">
        <w:rPr>
          <w:rFonts w:eastAsia="Calibri"/>
          <w:color w:val="000000" w:themeColor="text1"/>
          <w:lang w:val="lt"/>
        </w:rPr>
        <w:t xml:space="preserve">įrenginių </w:t>
      </w:r>
      <w:r w:rsidR="66C7C77B" w:rsidRPr="00786A90">
        <w:rPr>
          <w:rFonts w:eastAsia="Calibri"/>
          <w:color w:val="000000" w:themeColor="text1"/>
          <w:lang w:val="lt"/>
        </w:rPr>
        <w:t>pardavimai. 2023 m. šios produkcijos pardavimai augo daugiau nei 2 kartus. Pernai bendrovių grupė sėkmingai plėtojo veiklą drauge su tokiais tvarios energetikos prekės ženklais, kaip saulės panelės „TrinaSolar“, inverteriai ir energijos kaupyklos „Sungrow“ ir „Huawei“, elektromobilių krovimo stotelės „Wallbox“ ir kitais šios kategorijos prekės ženklais</w:t>
      </w:r>
      <w:r w:rsidR="001F62EE">
        <w:rPr>
          <w:rFonts w:eastAsia="Calibri"/>
          <w:color w:val="000000" w:themeColor="text1"/>
          <w:lang w:val="lt"/>
        </w:rPr>
        <w:t>.</w:t>
      </w:r>
    </w:p>
    <w:p w14:paraId="37EBA067" w14:textId="6BF39839" w:rsidR="00E75829" w:rsidRPr="00CB7B29" w:rsidRDefault="00E75829" w:rsidP="00E75829">
      <w:pPr>
        <w:spacing w:after="120"/>
        <w:jc w:val="both"/>
        <w:rPr>
          <w:b/>
          <w:bCs/>
        </w:rPr>
      </w:pPr>
      <w:r>
        <w:rPr>
          <w:b/>
          <w:bCs/>
        </w:rPr>
        <w:t>Saulės ir vėjo parkų veikla generavo pajamas</w:t>
      </w:r>
      <w:r w:rsidRPr="3E9DEE0F">
        <w:rPr>
          <w:b/>
          <w:bCs/>
        </w:rPr>
        <w:t xml:space="preserve"> </w:t>
      </w:r>
    </w:p>
    <w:p w14:paraId="6575619D" w14:textId="0AD0C82C" w:rsidR="00E75829" w:rsidRPr="00CB7B29" w:rsidRDefault="00E75829" w:rsidP="00E75829">
      <w:pPr>
        <w:spacing w:after="120"/>
        <w:jc w:val="both"/>
      </w:pPr>
      <w:r w:rsidRPr="00CB7B29">
        <w:t>Saulės ir vėjo jėgainių park</w:t>
      </w:r>
      <w:r>
        <w:t>us</w:t>
      </w:r>
      <w:r w:rsidRPr="00CB7B29">
        <w:t xml:space="preserve"> vystan</w:t>
      </w:r>
      <w:r>
        <w:t>čios</w:t>
      </w:r>
      <w:r w:rsidRPr="00CB7B29">
        <w:t xml:space="preserve"> bendrovių grupė</w:t>
      </w:r>
      <w:r>
        <w:t>s</w:t>
      </w:r>
      <w:r w:rsidRPr="00CB7B29">
        <w:t xml:space="preserve"> „</w:t>
      </w:r>
      <w:r>
        <w:t>Acme</w:t>
      </w:r>
      <w:r w:rsidRPr="00CB7B29">
        <w:t xml:space="preserve"> Solar Group“ veikla pernai </w:t>
      </w:r>
      <w:r w:rsidR="00C23DEA">
        <w:t xml:space="preserve">sparčiai </w:t>
      </w:r>
      <w:r w:rsidRPr="00CB7B29">
        <w:t>plėtėsi. „</w:t>
      </w:r>
      <w:r>
        <w:t>Acme</w:t>
      </w:r>
      <w:r w:rsidRPr="00CB7B29">
        <w:t xml:space="preserve"> Solar Group“, kurią sudaro 10 bendrovių, augino konsoliduotas pajamas beveik 6 kartus</w:t>
      </w:r>
      <w:r>
        <w:t>, iki</w:t>
      </w:r>
      <w:r w:rsidRPr="00CB7B29">
        <w:t xml:space="preserve"> 9,6 mln. Eur</w:t>
      </w:r>
      <w:r>
        <w:t>, kai 2022 m.</w:t>
      </w:r>
      <w:r w:rsidRPr="00CB7B29">
        <w:t xml:space="preserve"> pajamos siekė 1,7 mln. Eur. Daugiausiai </w:t>
      </w:r>
      <w:r>
        <w:t xml:space="preserve">tokį pajamų </w:t>
      </w:r>
      <w:r w:rsidRPr="00CB7B29">
        <w:t>augimą lėmė 2023 metais įrengti ir nutolusiems gaminantiems vartotojams parduoti trys saulės parkai</w:t>
      </w:r>
      <w:r>
        <w:t xml:space="preserve">, kurių bendra galia siekia </w:t>
      </w:r>
      <w:r w:rsidRPr="00CB7B29">
        <w:t>7</w:t>
      </w:r>
      <w:r>
        <w:t>,</w:t>
      </w:r>
      <w:r w:rsidRPr="00CB7B29">
        <w:t xml:space="preserve">7 MW. </w:t>
      </w:r>
      <w:r>
        <w:t xml:space="preserve">Pardavus šiuos parkus „Acme Solar Group“ toliau užtikrins šių parkų priežiūrą bei administravimą. Šių parkų generuojamą elektros energiją dabar naudoja daugiau nei 1 tūkst. klientų. </w:t>
      </w:r>
    </w:p>
    <w:p w14:paraId="1C3AF84A" w14:textId="79D0738D" w:rsidR="00E75829" w:rsidRPr="00CB7B29" w:rsidRDefault="00E75829" w:rsidP="00EB2D93">
      <w:pPr>
        <w:spacing w:after="120"/>
        <w:jc w:val="both"/>
      </w:pPr>
      <w:r>
        <w:t>„</w:t>
      </w:r>
      <w:r w:rsidR="34E8F602">
        <w:t>Ateinantys trys</w:t>
      </w:r>
      <w:r>
        <w:t xml:space="preserve"> veiklos metai „Acme Solar Group“ bendrovių grupei </w:t>
      </w:r>
      <w:r w:rsidR="004959B0">
        <w:t>bus</w:t>
      </w:r>
      <w:r>
        <w:t xml:space="preserve"> intensyvaus augimo periodas, per kurį bus visiškai įgyvendinti šiuo metu 170 MW bendros galios statomi saulės ir vėjo projektai: 118 MW saulės panelių ir 53 MW vėjo jėgainių parkai.</w:t>
      </w:r>
      <w:r w:rsidRPr="00CB7B29">
        <w:t>“,</w:t>
      </w:r>
      <w:r>
        <w:t xml:space="preserve"> – teigia S. Artemiuk.</w:t>
      </w:r>
    </w:p>
    <w:p w14:paraId="5A89D6AD" w14:textId="37A9DB2E" w:rsidR="00E80DC0" w:rsidRPr="0056725B" w:rsidRDefault="0056725B" w:rsidP="007E496C">
      <w:pPr>
        <w:spacing w:after="120"/>
        <w:jc w:val="both"/>
        <w:rPr>
          <w:b/>
          <w:bCs/>
        </w:rPr>
      </w:pPr>
      <w:r w:rsidRPr="0056725B">
        <w:rPr>
          <w:b/>
          <w:bCs/>
        </w:rPr>
        <w:t>Stebi pozityvias tendencijas kino industrijoje</w:t>
      </w:r>
    </w:p>
    <w:p w14:paraId="1E034F80" w14:textId="0E66FBAD" w:rsidR="0056725B" w:rsidRDefault="0056725B" w:rsidP="000C70F3">
      <w:pPr>
        <w:jc w:val="both"/>
      </w:pPr>
      <w:r>
        <w:t>„</w:t>
      </w:r>
      <w:r w:rsidR="008D1C45">
        <w:t>ACME</w:t>
      </w:r>
      <w:r w:rsidRPr="00CB7B29">
        <w:t xml:space="preserve"> </w:t>
      </w:r>
      <w:r w:rsidRPr="00626FD1">
        <w:t xml:space="preserve">Film“ grupės pajamos 2023 m. augo 42 proc. ir sudarė </w:t>
      </w:r>
      <w:r w:rsidR="00F86FAA" w:rsidRPr="00626FD1">
        <w:t>beveik 9 mln.</w:t>
      </w:r>
      <w:r w:rsidRPr="00626FD1">
        <w:t xml:space="preserve"> Eur. </w:t>
      </w:r>
      <w:r w:rsidRPr="007E496C">
        <w:t>Lietuvos kino teatruose „</w:t>
      </w:r>
      <w:r w:rsidR="008D1C45" w:rsidRPr="007E496C">
        <w:t>ACME</w:t>
      </w:r>
      <w:r w:rsidRPr="008934B6">
        <w:t xml:space="preserve"> Film</w:t>
      </w:r>
      <w:r w:rsidRPr="000C70F3">
        <w:t xml:space="preserve">“ parodė 63 filmus, kai 2019 m. buvo parodyti 75 filmai. </w:t>
      </w:r>
    </w:p>
    <w:p w14:paraId="30E4ED85" w14:textId="77777777" w:rsidR="007E496C" w:rsidRPr="007E496C" w:rsidRDefault="007E496C" w:rsidP="000C70F3">
      <w:pPr>
        <w:jc w:val="both"/>
      </w:pPr>
    </w:p>
    <w:p w14:paraId="5CD74619" w14:textId="6115E1D9" w:rsidR="00E80DC0" w:rsidRPr="000C70F3" w:rsidRDefault="0056725B" w:rsidP="000C70F3">
      <w:pPr>
        <w:jc w:val="both"/>
      </w:pPr>
      <w:r w:rsidRPr="007E496C">
        <w:t xml:space="preserve">„Apskritai 2023 m. buvo fiksuojamos pozityvios </w:t>
      </w:r>
      <w:r w:rsidR="00EC19CA" w:rsidRPr="008934B6">
        <w:t>kino industrijos tendencij</w:t>
      </w:r>
      <w:r w:rsidRPr="000C70F3">
        <w:t xml:space="preserve">os, kino filmų ir jų parodymų skaičiai artėja prie priešpandeminio lygio, </w:t>
      </w:r>
      <w:r w:rsidR="00EC19CA" w:rsidRPr="000C70F3">
        <w:t>žiūrovai sugrįžo į kino teatrus</w:t>
      </w:r>
      <w:r w:rsidR="00953258" w:rsidRPr="000C70F3">
        <w:t xml:space="preserve"> ir vis dažniau renkasi žiūrėti ACME Film </w:t>
      </w:r>
      <w:r w:rsidR="00D86672" w:rsidRPr="000C70F3">
        <w:t>siūlomus kino filmus</w:t>
      </w:r>
      <w:r w:rsidR="00EC19CA" w:rsidRPr="000C70F3">
        <w:t xml:space="preserve">. </w:t>
      </w:r>
      <w:r w:rsidR="00DC16D2" w:rsidRPr="000C70F3">
        <w:t>Bendr</w:t>
      </w:r>
      <w:r w:rsidRPr="000C70F3">
        <w:t>os</w:t>
      </w:r>
      <w:r w:rsidR="00DC16D2" w:rsidRPr="000C70F3">
        <w:t xml:space="preserve"> </w:t>
      </w:r>
      <w:r w:rsidR="00EC19CA" w:rsidRPr="000C70F3">
        <w:t>Lietuvos</w:t>
      </w:r>
      <w:r w:rsidR="00E80DC0" w:rsidRPr="000C70F3">
        <w:t xml:space="preserve"> kino industrij</w:t>
      </w:r>
      <w:r w:rsidR="00EC19CA" w:rsidRPr="000C70F3">
        <w:t>os</w:t>
      </w:r>
      <w:r w:rsidR="00E80DC0" w:rsidRPr="000C70F3">
        <w:t xml:space="preserve"> pajamos augo 18</w:t>
      </w:r>
      <w:r w:rsidRPr="000C70F3">
        <w:t xml:space="preserve"> proc</w:t>
      </w:r>
      <w:r w:rsidR="00EC19CA" w:rsidRPr="000C70F3">
        <w:t xml:space="preserve">. </w:t>
      </w:r>
      <w:r w:rsidRPr="000C70F3">
        <w:t xml:space="preserve">Tikimasi, kad </w:t>
      </w:r>
      <w:r w:rsidR="00E80DC0" w:rsidRPr="000C70F3">
        <w:t>2024 m</w:t>
      </w:r>
      <w:r w:rsidRPr="000C70F3">
        <w:t>.</w:t>
      </w:r>
      <w:r w:rsidR="00E80DC0" w:rsidRPr="000C70F3">
        <w:t xml:space="preserve"> L</w:t>
      </w:r>
      <w:r w:rsidR="00EC19CA" w:rsidRPr="000C70F3">
        <w:t>ietuvos</w:t>
      </w:r>
      <w:r w:rsidR="00E80DC0" w:rsidRPr="000C70F3">
        <w:t xml:space="preserve"> kino </w:t>
      </w:r>
      <w:r w:rsidR="00A91827" w:rsidRPr="000C70F3">
        <w:t>rinka</w:t>
      </w:r>
      <w:r w:rsidR="00E80DC0" w:rsidRPr="000C70F3">
        <w:t xml:space="preserve"> au</w:t>
      </w:r>
      <w:r w:rsidR="00A91827" w:rsidRPr="000C70F3">
        <w:t>gs</w:t>
      </w:r>
      <w:r w:rsidR="00E80DC0" w:rsidRPr="000C70F3">
        <w:t xml:space="preserve"> </w:t>
      </w:r>
      <w:r w:rsidR="00A91827" w:rsidRPr="000C70F3">
        <w:t>4</w:t>
      </w:r>
      <w:r w:rsidRPr="000C70F3">
        <w:t xml:space="preserve"> proc.“, – teigia grupės vadovas.</w:t>
      </w:r>
    </w:p>
    <w:p w14:paraId="17DC3DD3" w14:textId="14B2825C" w:rsidR="00B8097F" w:rsidRDefault="007D0A76" w:rsidP="007E496C">
      <w:pPr>
        <w:jc w:val="both"/>
      </w:pPr>
      <w:r w:rsidRPr="000C70F3">
        <w:t xml:space="preserve">Praėjusiais metais daugiausiai žiūrovų </w:t>
      </w:r>
      <w:r w:rsidR="00CF1138" w:rsidRPr="000C70F3">
        <w:t xml:space="preserve">pritraukė tokie kino filmai, kaip „Barbie“ ir </w:t>
      </w:r>
      <w:r w:rsidR="00626FD1" w:rsidRPr="000C70F3">
        <w:t>„John Wick: Chapter 4“.</w:t>
      </w:r>
    </w:p>
    <w:p w14:paraId="4D87C04E" w14:textId="77777777" w:rsidR="007E496C" w:rsidRPr="00CB7B29" w:rsidRDefault="007E496C" w:rsidP="000C70F3">
      <w:pPr>
        <w:jc w:val="both"/>
      </w:pPr>
    </w:p>
    <w:p w14:paraId="56B0CE88" w14:textId="670D44A9" w:rsidR="00A91827" w:rsidRPr="00CB7B29" w:rsidRDefault="00D06275" w:rsidP="00E80DBD">
      <w:pPr>
        <w:spacing w:after="120"/>
        <w:jc w:val="both"/>
        <w:rPr>
          <w:b/>
          <w:bCs/>
        </w:rPr>
      </w:pPr>
      <w:r>
        <w:rPr>
          <w:b/>
          <w:bCs/>
        </w:rPr>
        <w:t xml:space="preserve">Augo elektroninių įrenginių remonto paslaugos </w:t>
      </w:r>
    </w:p>
    <w:p w14:paraId="39B42E50" w14:textId="21D7A7C0" w:rsidR="00A91827" w:rsidRPr="00CB7B29" w:rsidRDefault="007961AA" w:rsidP="00E80DBD">
      <w:pPr>
        <w:spacing w:after="120"/>
        <w:jc w:val="both"/>
      </w:pPr>
      <w:r>
        <w:t>Elektroninių įrenginių priežiūra ir remontu užsiiman</w:t>
      </w:r>
      <w:r w:rsidR="00D06275">
        <w:t>čios</w:t>
      </w:r>
      <w:r>
        <w:t xml:space="preserve"> </w:t>
      </w:r>
      <w:r w:rsidR="00FD4697">
        <w:t>„</w:t>
      </w:r>
      <w:r w:rsidR="008D1C45">
        <w:t>A</w:t>
      </w:r>
      <w:r w:rsidR="0017275F">
        <w:t>cme</w:t>
      </w:r>
      <w:r w:rsidR="00D06275">
        <w:t xml:space="preserve"> </w:t>
      </w:r>
      <w:r w:rsidR="00FD4697">
        <w:t>Grupės“ bendrovė</w:t>
      </w:r>
      <w:r w:rsidR="00D06275">
        <w:t>s</w:t>
      </w:r>
      <w:r w:rsidR="00FD4697">
        <w:t xml:space="preserve"> „</w:t>
      </w:r>
      <w:r w:rsidR="00A91827">
        <w:t>Servisa ICT</w:t>
      </w:r>
      <w:r w:rsidR="00FD4697">
        <w:t>“</w:t>
      </w:r>
      <w:r w:rsidR="00A91827">
        <w:t xml:space="preserve"> pajamos </w:t>
      </w:r>
      <w:r>
        <w:t xml:space="preserve">pernai </w:t>
      </w:r>
      <w:r w:rsidR="00A91827">
        <w:t>augo 40</w:t>
      </w:r>
      <w:r w:rsidR="00D06275">
        <w:t xml:space="preserve"> proc.</w:t>
      </w:r>
      <w:r w:rsidR="00A91827">
        <w:t> iki 4,5 mln. Eur. </w:t>
      </w:r>
    </w:p>
    <w:p w14:paraId="506198E4" w14:textId="07F30DBF" w:rsidR="00A91827" w:rsidRPr="00CB7B29" w:rsidRDefault="00A91827" w:rsidP="00E80DBD">
      <w:pPr>
        <w:spacing w:after="120"/>
        <w:jc w:val="both"/>
      </w:pPr>
      <w:r w:rsidRPr="00CB7B29">
        <w:t xml:space="preserve">Paslaugų pajamas augino </w:t>
      </w:r>
      <w:r w:rsidR="007961AA" w:rsidRPr="00CB7B29">
        <w:t>naujos partnerystės su tokiais prekės ženklais, kaip</w:t>
      </w:r>
      <w:r w:rsidRPr="00CB7B29">
        <w:t xml:space="preserve"> </w:t>
      </w:r>
      <w:r w:rsidR="005A451A" w:rsidRPr="00CB7B29">
        <w:t>„</w:t>
      </w:r>
      <w:r w:rsidRPr="00CB7B29">
        <w:t>Xiaomi</w:t>
      </w:r>
      <w:r w:rsidR="005A451A" w:rsidRPr="00CB7B29">
        <w:t>“</w:t>
      </w:r>
      <w:r w:rsidRPr="00CB7B29">
        <w:t xml:space="preserve">, </w:t>
      </w:r>
      <w:r w:rsidR="005A451A" w:rsidRPr="00CB7B29">
        <w:t>„</w:t>
      </w:r>
      <w:r w:rsidRPr="00CB7B29">
        <w:t>Motorola</w:t>
      </w:r>
      <w:r w:rsidR="005A451A" w:rsidRPr="00CB7B29">
        <w:t>“</w:t>
      </w:r>
      <w:r w:rsidRPr="00CB7B29">
        <w:t>, </w:t>
      </w:r>
      <w:r w:rsidR="005A451A" w:rsidRPr="00CB7B29">
        <w:t>„</w:t>
      </w:r>
      <w:r w:rsidRPr="00CB7B29">
        <w:t>GigaByte</w:t>
      </w:r>
      <w:r w:rsidR="005A451A" w:rsidRPr="00CB7B29">
        <w:t>“,</w:t>
      </w:r>
      <w:r w:rsidRPr="00CB7B29">
        <w:t> </w:t>
      </w:r>
      <w:r w:rsidR="005A451A" w:rsidRPr="00CB7B29">
        <w:t>„</w:t>
      </w:r>
      <w:r w:rsidRPr="00CB7B29">
        <w:t>Electrolux</w:t>
      </w:r>
      <w:r w:rsidR="005A451A" w:rsidRPr="00CB7B29">
        <w:t>“</w:t>
      </w:r>
      <w:r w:rsidRPr="00CB7B29">
        <w:t xml:space="preserve">, </w:t>
      </w:r>
      <w:r w:rsidR="005A451A" w:rsidRPr="00CB7B29">
        <w:t>„</w:t>
      </w:r>
      <w:r w:rsidRPr="00CB7B29">
        <w:t>AEG</w:t>
      </w:r>
      <w:r w:rsidR="005A451A" w:rsidRPr="00CB7B29">
        <w:t>“</w:t>
      </w:r>
      <w:r w:rsidRPr="00CB7B29">
        <w:t xml:space="preserve"> ir </w:t>
      </w:r>
      <w:r w:rsidR="007961AA" w:rsidRPr="00CB7B29">
        <w:t>nekontraktini</w:t>
      </w:r>
      <w:r w:rsidR="006B4D59">
        <w:t>o</w:t>
      </w:r>
      <w:r w:rsidRPr="00CB7B29">
        <w:t xml:space="preserve"> </w:t>
      </w:r>
      <w:r w:rsidR="005A451A" w:rsidRPr="00CB7B29">
        <w:t xml:space="preserve">elektroninių įrenginių </w:t>
      </w:r>
      <w:r w:rsidRPr="00CB7B29">
        <w:t>remont</w:t>
      </w:r>
      <w:r w:rsidR="006B4D59">
        <w:t>o apimčių</w:t>
      </w:r>
      <w:r w:rsidRPr="00CB7B29">
        <w:t xml:space="preserve"> augimas. </w:t>
      </w:r>
    </w:p>
    <w:p w14:paraId="4B3336E6" w14:textId="5A66A33B" w:rsidR="00A91827" w:rsidRDefault="005A451A" w:rsidP="00E80DBD">
      <w:pPr>
        <w:spacing w:after="120"/>
        <w:jc w:val="both"/>
      </w:pPr>
      <w:r w:rsidRPr="00CB7B29">
        <w:t xml:space="preserve">„Kompiuterinių ir kitų IT įrenginių </w:t>
      </w:r>
      <w:r w:rsidR="00A91827" w:rsidRPr="00CB7B29">
        <w:t xml:space="preserve">rinka stabili ir </w:t>
      </w:r>
      <w:r w:rsidRPr="00CB7B29">
        <w:t>auga gana nuosaikiai,</w:t>
      </w:r>
      <w:r w:rsidR="00A91827" w:rsidRPr="00CB7B29">
        <w:t xml:space="preserve"> todėl </w:t>
      </w:r>
      <w:r w:rsidR="006B4D59">
        <w:t>pernai</w:t>
      </w:r>
      <w:r w:rsidRPr="00CB7B29">
        <w:t xml:space="preserve"> </w:t>
      </w:r>
      <w:r w:rsidR="006B4D59">
        <w:t>dėmesį</w:t>
      </w:r>
      <w:r w:rsidR="00A91827" w:rsidRPr="00CB7B29">
        <w:t xml:space="preserve"> sk</w:t>
      </w:r>
      <w:r w:rsidR="006B4D59">
        <w:t>yrėme</w:t>
      </w:r>
      <w:r w:rsidR="00A91827" w:rsidRPr="00CB7B29">
        <w:t xml:space="preserve"> </w:t>
      </w:r>
      <w:r w:rsidRPr="00CB7B29">
        <w:t>„</w:t>
      </w:r>
      <w:r w:rsidR="00A91827" w:rsidRPr="00CB7B29">
        <w:t>Servisa ICT</w:t>
      </w:r>
      <w:r w:rsidRPr="00CB7B29">
        <w:t>“</w:t>
      </w:r>
      <w:r w:rsidR="00A91827" w:rsidRPr="00CB7B29">
        <w:t xml:space="preserve"> </w:t>
      </w:r>
      <w:r w:rsidRPr="00CB7B29">
        <w:t>paslaug</w:t>
      </w:r>
      <w:r w:rsidR="006B4D59">
        <w:t>oms</w:t>
      </w:r>
      <w:r w:rsidRPr="00CB7B29">
        <w:t xml:space="preserve"> </w:t>
      </w:r>
      <w:r w:rsidR="00A91827" w:rsidRPr="00CB7B29">
        <w:t>stambios buitinės technikos</w:t>
      </w:r>
      <w:r w:rsidR="00FD4697" w:rsidRPr="00CB7B29">
        <w:t xml:space="preserve"> </w:t>
      </w:r>
      <w:r w:rsidR="00A91827" w:rsidRPr="00CB7B29">
        <w:t xml:space="preserve">ir buitinės elektronikos </w:t>
      </w:r>
      <w:r w:rsidRPr="00CB7B29">
        <w:t xml:space="preserve">remonto rinkoje. Šiemet bendrovė yra numačiusi </w:t>
      </w:r>
      <w:r w:rsidR="006B4D59">
        <w:t>a</w:t>
      </w:r>
      <w:r w:rsidRPr="00CB7B29">
        <w:t xml:space="preserve">tidaryti klientų aptarnavimo vietą Klaipėdoje. Iki šiol bendrovė turėjo klientų aptarnavimo vietas Kaune ir Vilniuje“, </w:t>
      </w:r>
      <w:r w:rsidR="006B4D59">
        <w:t>–</w:t>
      </w:r>
      <w:r w:rsidRPr="00CB7B29">
        <w:t xml:space="preserve"> teigia S</w:t>
      </w:r>
      <w:r w:rsidR="006B4D59">
        <w:t>.</w:t>
      </w:r>
      <w:r w:rsidRPr="00CB7B29">
        <w:t xml:space="preserve"> Ar</w:t>
      </w:r>
      <w:r w:rsidR="00F701C5">
        <w:t>t</w:t>
      </w:r>
      <w:r w:rsidRPr="00CB7B29">
        <w:t xml:space="preserve">emiuk. </w:t>
      </w:r>
    </w:p>
    <w:p w14:paraId="076B0CE9" w14:textId="77777777" w:rsidR="00E80DBD" w:rsidRPr="00CB7B29" w:rsidRDefault="00E80DBD" w:rsidP="00E80DBD">
      <w:pPr>
        <w:spacing w:after="120"/>
        <w:jc w:val="both"/>
      </w:pPr>
      <w:r>
        <w:rPr>
          <w:b/>
          <w:bCs/>
        </w:rPr>
        <w:t>Nekilnojamojo turto projektų plėtra</w:t>
      </w:r>
    </w:p>
    <w:p w14:paraId="4B75F5FF" w14:textId="72CF5ED3" w:rsidR="00E80DBD" w:rsidRDefault="00E80DBD" w:rsidP="00E80DBD">
      <w:pPr>
        <w:spacing w:after="120"/>
        <w:jc w:val="both"/>
      </w:pPr>
      <w:r>
        <w:t xml:space="preserve">„Acme Grupės“ nekilnojamo turto (NT) priežiūros ir administravimo </w:t>
      </w:r>
      <w:r w:rsidR="00405027">
        <w:t>įmonių grupė</w:t>
      </w:r>
      <w:r w:rsidR="009A0F41">
        <w:t xml:space="preserve"> </w:t>
      </w:r>
      <w:r>
        <w:t xml:space="preserve">„ACME NT“ praėjusiais metais konsoliduotas pajamas augino 15,5 proc. iki 1 mln. Eur. Pajamų nuosaikų augimą lėmė administruojamų NT paslaugų ir objektų plėtra: bendrovė pradėjo administruoti </w:t>
      </w:r>
      <w:r>
        <w:lastRenderedPageBreak/>
        <w:t>„Acme Grupės“ biurą sostinėje, baigė rengti ir tolesniam plėtojimui paruošė NT objekto projektą pajūryje.</w:t>
      </w:r>
    </w:p>
    <w:p w14:paraId="1CC9C29F" w14:textId="3232516C" w:rsidR="00E37DDB" w:rsidRPr="00E37DDB" w:rsidRDefault="00E37DDB" w:rsidP="00E80DBD">
      <w:pPr>
        <w:spacing w:after="120"/>
        <w:jc w:val="both"/>
        <w:rPr>
          <w:b/>
          <w:bCs/>
        </w:rPr>
      </w:pPr>
      <w:r w:rsidRPr="00E37DDB">
        <w:rPr>
          <w:b/>
          <w:bCs/>
        </w:rPr>
        <w:t>Keičiama verslo valdymo sistema</w:t>
      </w:r>
    </w:p>
    <w:p w14:paraId="1BC7A213" w14:textId="1849789D" w:rsidR="00E37DDB" w:rsidRPr="00E37DDB" w:rsidRDefault="00E37DDB" w:rsidP="00E80DBD">
      <w:pPr>
        <w:spacing w:after="120"/>
        <w:jc w:val="both"/>
      </w:pPr>
      <w:r w:rsidRPr="00E37DDB">
        <w:t>Šiemet g</w:t>
      </w:r>
      <w:r w:rsidR="00987DE8" w:rsidRPr="00E37DDB">
        <w:t xml:space="preserve">rupės didelis dėmesys bus skiriamas </w:t>
      </w:r>
      <w:r w:rsidRPr="00E37DDB">
        <w:t xml:space="preserve">jau pradėtam </w:t>
      </w:r>
      <w:r w:rsidRPr="00E37DDB">
        <w:rPr>
          <w:color w:val="222222"/>
          <w:shd w:val="clear" w:color="auto" w:fill="FFFFFF"/>
        </w:rPr>
        <w:t>įgyvendinti technologiniam projektui – keičiamai verslo valdymo sistemai (</w:t>
      </w:r>
      <w:r w:rsidRPr="00E37DDB">
        <w:rPr>
          <w:rStyle w:val="Emphasis"/>
          <w:color w:val="222222"/>
          <w:shd w:val="clear" w:color="auto" w:fill="FFFFFF"/>
        </w:rPr>
        <w:t>ERP, angl. Enterprise Resource Planning</w:t>
      </w:r>
      <w:r w:rsidRPr="00E37DDB">
        <w:rPr>
          <w:color w:val="222222"/>
          <w:shd w:val="clear" w:color="auto" w:fill="FFFFFF"/>
        </w:rPr>
        <w:t>).</w:t>
      </w:r>
      <w:r w:rsidR="00987DE8" w:rsidRPr="00E37DDB">
        <w:t xml:space="preserve"> Manoma, kad šis projektas bus įgyvendinamas apie tr</w:t>
      </w:r>
      <w:r w:rsidRPr="00E37DDB">
        <w:t>ejus</w:t>
      </w:r>
      <w:r w:rsidR="00987DE8" w:rsidRPr="00E37DDB">
        <w:t xml:space="preserve"> metus. </w:t>
      </w:r>
    </w:p>
    <w:p w14:paraId="0BD0FE7D" w14:textId="692C0493" w:rsidR="00987DE8" w:rsidRPr="00CB7B29" w:rsidRDefault="00987DE8" w:rsidP="00E80DBD">
      <w:pPr>
        <w:spacing w:after="120"/>
        <w:jc w:val="both"/>
      </w:pPr>
      <w:r w:rsidRPr="00CB7B29">
        <w:t xml:space="preserve">Nemažiau dėmesio </w:t>
      </w:r>
      <w:r w:rsidR="00E37DDB">
        <w:t>„</w:t>
      </w:r>
      <w:r w:rsidR="008D1C45">
        <w:t>A</w:t>
      </w:r>
      <w:r w:rsidR="00E80DBD">
        <w:t>cme</w:t>
      </w:r>
      <w:r w:rsidRPr="00CB7B29">
        <w:t xml:space="preserve"> </w:t>
      </w:r>
      <w:r w:rsidR="00E37DDB">
        <w:t>G</w:t>
      </w:r>
      <w:r w:rsidRPr="00CB7B29">
        <w:t>rupė</w:t>
      </w:r>
      <w:r w:rsidR="00E37DDB">
        <w:t>“</w:t>
      </w:r>
      <w:r w:rsidRPr="00CB7B29">
        <w:t xml:space="preserve"> pernai skyrė verslo rizikų valdymui ir reguliacinės atitikties užtikrinimui, konkurencinės teisės, antikorupcijos nuostatų įgyvendinimui, taip pat verslo partnerių bei sankcijų atitikties rizikos valdymui. Tęsiam</w:t>
      </w:r>
      <w:r w:rsidR="00E37DDB">
        <w:t xml:space="preserve">i ir sisteminiai pokyčiai </w:t>
      </w:r>
      <w:r w:rsidRPr="00CB7B29">
        <w:t xml:space="preserve">tvarumo </w:t>
      </w:r>
      <w:r w:rsidR="00E37DDB">
        <w:t xml:space="preserve">srityje – 2023 m. </w:t>
      </w:r>
      <w:r w:rsidRPr="00CB7B29">
        <w:t>buvo patvirtinta tvarumo įgyvendinimo strategija, jau renkami duomenys tvarumo rodikliams užtikrinti.</w:t>
      </w:r>
    </w:p>
    <w:p w14:paraId="06CDE7C1" w14:textId="6688DA33" w:rsidR="00A91827" w:rsidRPr="00CB7B29" w:rsidRDefault="00987DE8" w:rsidP="00E80DBD">
      <w:pPr>
        <w:spacing w:after="120"/>
        <w:jc w:val="both"/>
      </w:pPr>
      <w:r w:rsidRPr="00CB7B29">
        <w:t>2023 m</w:t>
      </w:r>
      <w:r w:rsidR="00E80DBD">
        <w:t>etus</w:t>
      </w:r>
      <w:r w:rsidRPr="00CB7B29">
        <w:t xml:space="preserve"> </w:t>
      </w:r>
      <w:r w:rsidR="00E37DDB">
        <w:t>„</w:t>
      </w:r>
      <w:r w:rsidR="008D1C45">
        <w:t>A</w:t>
      </w:r>
      <w:r w:rsidR="00E80DBD">
        <w:t>cme</w:t>
      </w:r>
      <w:r w:rsidR="008934B6">
        <w:t xml:space="preserve"> </w:t>
      </w:r>
      <w:r w:rsidRPr="00CB7B29">
        <w:t>Grupė</w:t>
      </w:r>
      <w:r w:rsidR="00E37DDB">
        <w:t>“</w:t>
      </w:r>
      <w:r w:rsidRPr="00CB7B29">
        <w:t xml:space="preserve"> </w:t>
      </w:r>
      <w:r w:rsidR="00E37DDB">
        <w:t xml:space="preserve">baigė su </w:t>
      </w:r>
      <w:r w:rsidRPr="00CB7B29">
        <w:t xml:space="preserve">atnaujintu prekės ženklu ir vizualiniu identitetu. </w:t>
      </w:r>
      <w:r w:rsidR="00E37DDB">
        <w:t>„</w:t>
      </w:r>
      <w:r w:rsidR="008D1C45">
        <w:t>A</w:t>
      </w:r>
      <w:r w:rsidR="00E80DBD">
        <w:t>cme</w:t>
      </w:r>
      <w:r w:rsidRPr="00CB7B29">
        <w:t xml:space="preserve"> Grupė</w:t>
      </w:r>
      <w:r w:rsidR="00E37DDB">
        <w:t>“ save pozicionuoja kaip</w:t>
      </w:r>
      <w:r w:rsidRPr="00CB7B29">
        <w:t xml:space="preserve"> tarptautin</w:t>
      </w:r>
      <w:r w:rsidR="00E37DDB">
        <w:t>ę</w:t>
      </w:r>
      <w:r w:rsidRPr="00CB7B29">
        <w:t xml:space="preserve"> partnerysčių erdv</w:t>
      </w:r>
      <w:r w:rsidR="00E37DDB">
        <w:t>ę</w:t>
      </w:r>
      <w:r w:rsidRPr="00CB7B29">
        <w:t>, kurioje užsimezga ir auga skirtingos verslo partnerystės, partnerystės su socialiniais partneriais, t</w:t>
      </w:r>
      <w:r w:rsidR="00E37DDB">
        <w:t>aip pat</w:t>
      </w:r>
      <w:r w:rsidRPr="00CB7B29">
        <w:t xml:space="preserve"> partnerystė tarp grupės bendrovių ir komandos narių.</w:t>
      </w:r>
    </w:p>
    <w:p w14:paraId="28C2908F" w14:textId="77777777" w:rsidR="00A91827" w:rsidRPr="00CB7B29" w:rsidRDefault="00A91827" w:rsidP="009D1C47">
      <w:pPr>
        <w:jc w:val="both"/>
      </w:pPr>
    </w:p>
    <w:p w14:paraId="214AAD5F" w14:textId="48E9C89D" w:rsidR="00EA6F99" w:rsidRPr="00CB7B29" w:rsidRDefault="00EA6F99" w:rsidP="00E80DBD">
      <w:pPr>
        <w:spacing w:after="120"/>
        <w:jc w:val="both"/>
      </w:pPr>
    </w:p>
    <w:p w14:paraId="415BDD55" w14:textId="7C46E1E3" w:rsidR="003B268B" w:rsidRPr="00CB7B29" w:rsidRDefault="003B268B" w:rsidP="00E80DBD">
      <w:pPr>
        <w:spacing w:after="120"/>
        <w:jc w:val="both"/>
      </w:pPr>
    </w:p>
    <w:p w14:paraId="7F24BD63" w14:textId="77D57DA5" w:rsidR="001D5101" w:rsidRPr="00CB7B29" w:rsidRDefault="001D5101" w:rsidP="00E80DBD">
      <w:pPr>
        <w:spacing w:after="120"/>
        <w:jc w:val="both"/>
      </w:pPr>
    </w:p>
    <w:sectPr w:rsidR="001D5101" w:rsidRPr="00CB7B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66D52"/>
    <w:multiLevelType w:val="hybridMultilevel"/>
    <w:tmpl w:val="6B8085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AF50AC2"/>
    <w:multiLevelType w:val="hybridMultilevel"/>
    <w:tmpl w:val="BEA0BB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F3C63A0"/>
    <w:multiLevelType w:val="hybridMultilevel"/>
    <w:tmpl w:val="8456611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895307994">
    <w:abstractNumId w:val="2"/>
  </w:num>
  <w:num w:numId="2" w16cid:durableId="1479150747">
    <w:abstractNumId w:val="1"/>
  </w:num>
  <w:num w:numId="3" w16cid:durableId="938877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B63"/>
    <w:rsid w:val="00023DBF"/>
    <w:rsid w:val="0003317D"/>
    <w:rsid w:val="00046AE2"/>
    <w:rsid w:val="00060AA0"/>
    <w:rsid w:val="00061D9B"/>
    <w:rsid w:val="00062392"/>
    <w:rsid w:val="00080BE5"/>
    <w:rsid w:val="00084725"/>
    <w:rsid w:val="00096C37"/>
    <w:rsid w:val="000C2E97"/>
    <w:rsid w:val="000C6B83"/>
    <w:rsid w:val="000C70F3"/>
    <w:rsid w:val="000C7BD1"/>
    <w:rsid w:val="00101E32"/>
    <w:rsid w:val="00115F2E"/>
    <w:rsid w:val="00122B67"/>
    <w:rsid w:val="001338B9"/>
    <w:rsid w:val="001500A4"/>
    <w:rsid w:val="00150E91"/>
    <w:rsid w:val="001715F4"/>
    <w:rsid w:val="0017215C"/>
    <w:rsid w:val="0017275F"/>
    <w:rsid w:val="001A5604"/>
    <w:rsid w:val="001A701B"/>
    <w:rsid w:val="001C348F"/>
    <w:rsid w:val="001D47FB"/>
    <w:rsid w:val="001D5101"/>
    <w:rsid w:val="001E25CD"/>
    <w:rsid w:val="001F62EE"/>
    <w:rsid w:val="00203688"/>
    <w:rsid w:val="00210774"/>
    <w:rsid w:val="002D6AC2"/>
    <w:rsid w:val="002F17DB"/>
    <w:rsid w:val="002F64DD"/>
    <w:rsid w:val="00312DF6"/>
    <w:rsid w:val="0033546C"/>
    <w:rsid w:val="00340DAD"/>
    <w:rsid w:val="003642E6"/>
    <w:rsid w:val="00373E20"/>
    <w:rsid w:val="003B268B"/>
    <w:rsid w:val="003C2FF6"/>
    <w:rsid w:val="00405027"/>
    <w:rsid w:val="00456E37"/>
    <w:rsid w:val="004650CF"/>
    <w:rsid w:val="004959B0"/>
    <w:rsid w:val="004B5B42"/>
    <w:rsid w:val="004C7D9D"/>
    <w:rsid w:val="00530A57"/>
    <w:rsid w:val="005466AF"/>
    <w:rsid w:val="0056725B"/>
    <w:rsid w:val="005933D6"/>
    <w:rsid w:val="005A0C6D"/>
    <w:rsid w:val="005A451A"/>
    <w:rsid w:val="0062381B"/>
    <w:rsid w:val="00626FD1"/>
    <w:rsid w:val="00637B82"/>
    <w:rsid w:val="0064546D"/>
    <w:rsid w:val="006531B7"/>
    <w:rsid w:val="00656625"/>
    <w:rsid w:val="0066379E"/>
    <w:rsid w:val="0066512D"/>
    <w:rsid w:val="00673023"/>
    <w:rsid w:val="006A18E9"/>
    <w:rsid w:val="006A4B75"/>
    <w:rsid w:val="006B2BF5"/>
    <w:rsid w:val="006B4D59"/>
    <w:rsid w:val="006E1BF2"/>
    <w:rsid w:val="007137F1"/>
    <w:rsid w:val="00737ABE"/>
    <w:rsid w:val="00756513"/>
    <w:rsid w:val="00786A90"/>
    <w:rsid w:val="00792CD9"/>
    <w:rsid w:val="007961AA"/>
    <w:rsid w:val="007A1733"/>
    <w:rsid w:val="007C1FE3"/>
    <w:rsid w:val="007D0A76"/>
    <w:rsid w:val="007E496C"/>
    <w:rsid w:val="007E5450"/>
    <w:rsid w:val="007E564A"/>
    <w:rsid w:val="0081DF76"/>
    <w:rsid w:val="00822F06"/>
    <w:rsid w:val="0085166E"/>
    <w:rsid w:val="00874E77"/>
    <w:rsid w:val="008934B6"/>
    <w:rsid w:val="008C680F"/>
    <w:rsid w:val="008D1C45"/>
    <w:rsid w:val="008E29A7"/>
    <w:rsid w:val="00904D0A"/>
    <w:rsid w:val="00931644"/>
    <w:rsid w:val="00946D35"/>
    <w:rsid w:val="00953258"/>
    <w:rsid w:val="00956BB1"/>
    <w:rsid w:val="009670DE"/>
    <w:rsid w:val="009823C6"/>
    <w:rsid w:val="00987DE8"/>
    <w:rsid w:val="00990442"/>
    <w:rsid w:val="00995E38"/>
    <w:rsid w:val="009A0F41"/>
    <w:rsid w:val="009A719B"/>
    <w:rsid w:val="009D1C47"/>
    <w:rsid w:val="00A00A9A"/>
    <w:rsid w:val="00A33523"/>
    <w:rsid w:val="00A5261F"/>
    <w:rsid w:val="00A90AA5"/>
    <w:rsid w:val="00A91827"/>
    <w:rsid w:val="00AB123C"/>
    <w:rsid w:val="00AE14E7"/>
    <w:rsid w:val="00B125EC"/>
    <w:rsid w:val="00B44ABB"/>
    <w:rsid w:val="00B568F3"/>
    <w:rsid w:val="00B8097F"/>
    <w:rsid w:val="00B921B7"/>
    <w:rsid w:val="00C0141B"/>
    <w:rsid w:val="00C23DEA"/>
    <w:rsid w:val="00C25CC8"/>
    <w:rsid w:val="00C50FD1"/>
    <w:rsid w:val="00C83893"/>
    <w:rsid w:val="00C847E9"/>
    <w:rsid w:val="00CB0B63"/>
    <w:rsid w:val="00CB7B29"/>
    <w:rsid w:val="00CD30E3"/>
    <w:rsid w:val="00CE1851"/>
    <w:rsid w:val="00CF1138"/>
    <w:rsid w:val="00D06275"/>
    <w:rsid w:val="00D24A95"/>
    <w:rsid w:val="00D43C9E"/>
    <w:rsid w:val="00D86672"/>
    <w:rsid w:val="00D95DDA"/>
    <w:rsid w:val="00DA6296"/>
    <w:rsid w:val="00DC16D2"/>
    <w:rsid w:val="00DF1137"/>
    <w:rsid w:val="00E04798"/>
    <w:rsid w:val="00E16EFA"/>
    <w:rsid w:val="00E21BE5"/>
    <w:rsid w:val="00E37DDB"/>
    <w:rsid w:val="00E56D6E"/>
    <w:rsid w:val="00E6005E"/>
    <w:rsid w:val="00E75829"/>
    <w:rsid w:val="00E80DBD"/>
    <w:rsid w:val="00E80DC0"/>
    <w:rsid w:val="00EA6F99"/>
    <w:rsid w:val="00EB06E5"/>
    <w:rsid w:val="00EB2D93"/>
    <w:rsid w:val="00EC19CA"/>
    <w:rsid w:val="00EE2E76"/>
    <w:rsid w:val="00EF0603"/>
    <w:rsid w:val="00F63012"/>
    <w:rsid w:val="00F701C5"/>
    <w:rsid w:val="00F77952"/>
    <w:rsid w:val="00F86FAA"/>
    <w:rsid w:val="00F97C3F"/>
    <w:rsid w:val="00FA16FA"/>
    <w:rsid w:val="00FD3B94"/>
    <w:rsid w:val="00FD4697"/>
    <w:rsid w:val="00FF6746"/>
    <w:rsid w:val="02E642E2"/>
    <w:rsid w:val="0472559C"/>
    <w:rsid w:val="07B9B405"/>
    <w:rsid w:val="08CEAF22"/>
    <w:rsid w:val="0944A82A"/>
    <w:rsid w:val="096EACC3"/>
    <w:rsid w:val="0A449C41"/>
    <w:rsid w:val="0C01E683"/>
    <w:rsid w:val="0D80E81B"/>
    <w:rsid w:val="13D70142"/>
    <w:rsid w:val="14DBFF0C"/>
    <w:rsid w:val="15CF1649"/>
    <w:rsid w:val="1E4B6B93"/>
    <w:rsid w:val="1EAA6ED1"/>
    <w:rsid w:val="207BFF03"/>
    <w:rsid w:val="2345179E"/>
    <w:rsid w:val="24064D69"/>
    <w:rsid w:val="2588F56D"/>
    <w:rsid w:val="264F1CF6"/>
    <w:rsid w:val="272CB354"/>
    <w:rsid w:val="2B502983"/>
    <w:rsid w:val="2C002477"/>
    <w:rsid w:val="2F37C539"/>
    <w:rsid w:val="319431CF"/>
    <w:rsid w:val="3299088A"/>
    <w:rsid w:val="34E8F602"/>
    <w:rsid w:val="3742D71E"/>
    <w:rsid w:val="39CA7CEC"/>
    <w:rsid w:val="3E9DEE0F"/>
    <w:rsid w:val="3F94C42E"/>
    <w:rsid w:val="41170A0C"/>
    <w:rsid w:val="42842ADD"/>
    <w:rsid w:val="440F3482"/>
    <w:rsid w:val="444DB514"/>
    <w:rsid w:val="461A69A4"/>
    <w:rsid w:val="49598868"/>
    <w:rsid w:val="4D0706A1"/>
    <w:rsid w:val="4D55F895"/>
    <w:rsid w:val="4F96352A"/>
    <w:rsid w:val="50906054"/>
    <w:rsid w:val="512A7CD0"/>
    <w:rsid w:val="5672C496"/>
    <w:rsid w:val="584F6B97"/>
    <w:rsid w:val="6245C634"/>
    <w:rsid w:val="625C5C44"/>
    <w:rsid w:val="6398BE2F"/>
    <w:rsid w:val="66C7C77B"/>
    <w:rsid w:val="689E237E"/>
    <w:rsid w:val="6D7AB1A0"/>
    <w:rsid w:val="6D8D8CF4"/>
    <w:rsid w:val="6F7AB2EA"/>
    <w:rsid w:val="6FA9B92C"/>
    <w:rsid w:val="70324644"/>
    <w:rsid w:val="7067E445"/>
    <w:rsid w:val="74E01568"/>
    <w:rsid w:val="7AD0B2C4"/>
    <w:rsid w:val="7BF1B11A"/>
    <w:rsid w:val="7FC7CA7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EE1EC"/>
  <w15:chartTrackingRefBased/>
  <w15:docId w15:val="{4C889EE5-18D9-4EE5-B602-C7C47E03A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66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B0B63"/>
  </w:style>
  <w:style w:type="character" w:styleId="Strong">
    <w:name w:val="Strong"/>
    <w:basedOn w:val="DefaultParagraphFont"/>
    <w:uiPriority w:val="22"/>
    <w:qFormat/>
    <w:rsid w:val="00737ABE"/>
    <w:rPr>
      <w:b/>
      <w:bCs/>
    </w:rPr>
  </w:style>
  <w:style w:type="paragraph" w:styleId="NormalWeb">
    <w:name w:val="Normal (Web)"/>
    <w:basedOn w:val="Normal"/>
    <w:uiPriority w:val="99"/>
    <w:unhideWhenUsed/>
    <w:rsid w:val="00B921B7"/>
    <w:pPr>
      <w:spacing w:before="100" w:beforeAutospacing="1" w:after="100" w:afterAutospacing="1"/>
    </w:pPr>
  </w:style>
  <w:style w:type="paragraph" w:styleId="ListParagraph">
    <w:name w:val="List Paragraph"/>
    <w:basedOn w:val="Normal"/>
    <w:uiPriority w:val="34"/>
    <w:qFormat/>
    <w:rsid w:val="00874E77"/>
    <w:pPr>
      <w:spacing w:after="160" w:line="278" w:lineRule="auto"/>
      <w:ind w:left="720"/>
      <w:contextualSpacing/>
    </w:pPr>
    <w:rPr>
      <w:rFonts w:asciiTheme="minorHAnsi" w:eastAsiaTheme="minorHAnsi" w:hAnsiTheme="minorHAnsi" w:cstheme="minorBidi"/>
      <w:kern w:val="2"/>
      <w14:ligatures w14:val="standardContextual"/>
    </w:rPr>
  </w:style>
  <w:style w:type="character" w:styleId="Emphasis">
    <w:name w:val="Emphasis"/>
    <w:basedOn w:val="DefaultParagraphFont"/>
    <w:uiPriority w:val="20"/>
    <w:qFormat/>
    <w:rsid w:val="00E6005E"/>
    <w:rPr>
      <w:i/>
      <w:iCs/>
    </w:rPr>
  </w:style>
  <w:style w:type="character" w:customStyle="1" w:styleId="normaltextrun">
    <w:name w:val="normaltextrun"/>
    <w:basedOn w:val="DefaultParagraphFont"/>
    <w:rsid w:val="00B44ABB"/>
  </w:style>
  <w:style w:type="paragraph" w:customStyle="1" w:styleId="paragraph">
    <w:name w:val="paragraph"/>
    <w:basedOn w:val="Normal"/>
    <w:rsid w:val="00B44ABB"/>
    <w:pPr>
      <w:spacing w:before="100" w:beforeAutospacing="1" w:after="100" w:afterAutospacing="1"/>
    </w:pPr>
  </w:style>
  <w:style w:type="character" w:customStyle="1" w:styleId="eop">
    <w:name w:val="eop"/>
    <w:basedOn w:val="DefaultParagraphFont"/>
    <w:rsid w:val="00B44ABB"/>
  </w:style>
  <w:style w:type="paragraph" w:styleId="Revision">
    <w:name w:val="Revision"/>
    <w:hidden/>
    <w:uiPriority w:val="99"/>
    <w:semiHidden/>
    <w:rsid w:val="00987DE8"/>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CE1851"/>
    <w:rPr>
      <w:sz w:val="16"/>
      <w:szCs w:val="16"/>
    </w:rPr>
  </w:style>
  <w:style w:type="paragraph" w:styleId="CommentText">
    <w:name w:val="annotation text"/>
    <w:basedOn w:val="Normal"/>
    <w:link w:val="CommentTextChar"/>
    <w:uiPriority w:val="99"/>
    <w:unhideWhenUsed/>
    <w:rsid w:val="00CE1851"/>
    <w:rPr>
      <w:sz w:val="20"/>
      <w:szCs w:val="20"/>
    </w:rPr>
  </w:style>
  <w:style w:type="character" w:customStyle="1" w:styleId="CommentTextChar">
    <w:name w:val="Comment Text Char"/>
    <w:basedOn w:val="DefaultParagraphFont"/>
    <w:link w:val="CommentText"/>
    <w:uiPriority w:val="99"/>
    <w:rsid w:val="00CE185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E1851"/>
    <w:rPr>
      <w:b/>
      <w:bCs/>
    </w:rPr>
  </w:style>
  <w:style w:type="character" w:customStyle="1" w:styleId="CommentSubjectChar">
    <w:name w:val="Comment Subject Char"/>
    <w:basedOn w:val="CommentTextChar"/>
    <w:link w:val="CommentSubject"/>
    <w:uiPriority w:val="99"/>
    <w:semiHidden/>
    <w:rsid w:val="00CE1851"/>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FA16FA"/>
    <w:rPr>
      <w:color w:val="0563C1" w:themeColor="hyperlink"/>
      <w:u w:val="single"/>
    </w:rPr>
  </w:style>
  <w:style w:type="character" w:styleId="UnresolvedMention">
    <w:name w:val="Unresolved Mention"/>
    <w:basedOn w:val="DefaultParagraphFont"/>
    <w:uiPriority w:val="99"/>
    <w:semiHidden/>
    <w:unhideWhenUsed/>
    <w:rsid w:val="00FA1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23896">
      <w:bodyDiv w:val="1"/>
      <w:marLeft w:val="0"/>
      <w:marRight w:val="0"/>
      <w:marTop w:val="0"/>
      <w:marBottom w:val="0"/>
      <w:divBdr>
        <w:top w:val="none" w:sz="0" w:space="0" w:color="auto"/>
        <w:left w:val="none" w:sz="0" w:space="0" w:color="auto"/>
        <w:bottom w:val="none" w:sz="0" w:space="0" w:color="auto"/>
        <w:right w:val="none" w:sz="0" w:space="0" w:color="auto"/>
      </w:divBdr>
    </w:div>
    <w:div w:id="411465396">
      <w:bodyDiv w:val="1"/>
      <w:marLeft w:val="0"/>
      <w:marRight w:val="0"/>
      <w:marTop w:val="0"/>
      <w:marBottom w:val="0"/>
      <w:divBdr>
        <w:top w:val="none" w:sz="0" w:space="0" w:color="auto"/>
        <w:left w:val="none" w:sz="0" w:space="0" w:color="auto"/>
        <w:bottom w:val="none" w:sz="0" w:space="0" w:color="auto"/>
        <w:right w:val="none" w:sz="0" w:space="0" w:color="auto"/>
      </w:divBdr>
    </w:div>
    <w:div w:id="806625453">
      <w:bodyDiv w:val="1"/>
      <w:marLeft w:val="0"/>
      <w:marRight w:val="0"/>
      <w:marTop w:val="0"/>
      <w:marBottom w:val="0"/>
      <w:divBdr>
        <w:top w:val="none" w:sz="0" w:space="0" w:color="auto"/>
        <w:left w:val="none" w:sz="0" w:space="0" w:color="auto"/>
        <w:bottom w:val="none" w:sz="0" w:space="0" w:color="auto"/>
        <w:right w:val="none" w:sz="0" w:space="0" w:color="auto"/>
      </w:divBdr>
    </w:div>
    <w:div w:id="1175340068">
      <w:bodyDiv w:val="1"/>
      <w:marLeft w:val="0"/>
      <w:marRight w:val="0"/>
      <w:marTop w:val="0"/>
      <w:marBottom w:val="0"/>
      <w:divBdr>
        <w:top w:val="none" w:sz="0" w:space="0" w:color="auto"/>
        <w:left w:val="none" w:sz="0" w:space="0" w:color="auto"/>
        <w:bottom w:val="none" w:sz="0" w:space="0" w:color="auto"/>
        <w:right w:val="none" w:sz="0" w:space="0" w:color="auto"/>
      </w:divBdr>
    </w:div>
    <w:div w:id="1242983064">
      <w:bodyDiv w:val="1"/>
      <w:marLeft w:val="0"/>
      <w:marRight w:val="0"/>
      <w:marTop w:val="0"/>
      <w:marBottom w:val="0"/>
      <w:divBdr>
        <w:top w:val="none" w:sz="0" w:space="0" w:color="auto"/>
        <w:left w:val="none" w:sz="0" w:space="0" w:color="auto"/>
        <w:bottom w:val="none" w:sz="0" w:space="0" w:color="auto"/>
        <w:right w:val="none" w:sz="0" w:space="0" w:color="auto"/>
      </w:divBdr>
    </w:div>
    <w:div w:id="1306352463">
      <w:bodyDiv w:val="1"/>
      <w:marLeft w:val="0"/>
      <w:marRight w:val="0"/>
      <w:marTop w:val="0"/>
      <w:marBottom w:val="0"/>
      <w:divBdr>
        <w:top w:val="none" w:sz="0" w:space="0" w:color="auto"/>
        <w:left w:val="none" w:sz="0" w:space="0" w:color="auto"/>
        <w:bottom w:val="none" w:sz="0" w:space="0" w:color="auto"/>
        <w:right w:val="none" w:sz="0" w:space="0" w:color="auto"/>
      </w:divBdr>
    </w:div>
    <w:div w:id="1454906293">
      <w:bodyDiv w:val="1"/>
      <w:marLeft w:val="0"/>
      <w:marRight w:val="0"/>
      <w:marTop w:val="0"/>
      <w:marBottom w:val="0"/>
      <w:divBdr>
        <w:top w:val="none" w:sz="0" w:space="0" w:color="auto"/>
        <w:left w:val="none" w:sz="0" w:space="0" w:color="auto"/>
        <w:bottom w:val="none" w:sz="0" w:space="0" w:color="auto"/>
        <w:right w:val="none" w:sz="0" w:space="0" w:color="auto"/>
      </w:divBdr>
    </w:div>
    <w:div w:id="1510561033">
      <w:bodyDiv w:val="1"/>
      <w:marLeft w:val="0"/>
      <w:marRight w:val="0"/>
      <w:marTop w:val="0"/>
      <w:marBottom w:val="0"/>
      <w:divBdr>
        <w:top w:val="none" w:sz="0" w:space="0" w:color="auto"/>
        <w:left w:val="none" w:sz="0" w:space="0" w:color="auto"/>
        <w:bottom w:val="none" w:sz="0" w:space="0" w:color="auto"/>
        <w:right w:val="none" w:sz="0" w:space="0" w:color="auto"/>
      </w:divBdr>
    </w:div>
    <w:div w:id="1519537382">
      <w:bodyDiv w:val="1"/>
      <w:marLeft w:val="0"/>
      <w:marRight w:val="0"/>
      <w:marTop w:val="0"/>
      <w:marBottom w:val="0"/>
      <w:divBdr>
        <w:top w:val="none" w:sz="0" w:space="0" w:color="auto"/>
        <w:left w:val="none" w:sz="0" w:space="0" w:color="auto"/>
        <w:bottom w:val="none" w:sz="0" w:space="0" w:color="auto"/>
        <w:right w:val="none" w:sz="0" w:space="0" w:color="auto"/>
      </w:divBdr>
    </w:div>
    <w:div w:id="1582988694">
      <w:bodyDiv w:val="1"/>
      <w:marLeft w:val="0"/>
      <w:marRight w:val="0"/>
      <w:marTop w:val="0"/>
      <w:marBottom w:val="0"/>
      <w:divBdr>
        <w:top w:val="none" w:sz="0" w:space="0" w:color="auto"/>
        <w:left w:val="none" w:sz="0" w:space="0" w:color="auto"/>
        <w:bottom w:val="none" w:sz="0" w:space="0" w:color="auto"/>
        <w:right w:val="none" w:sz="0" w:space="0" w:color="auto"/>
      </w:divBdr>
    </w:div>
    <w:div w:id="1619409026">
      <w:bodyDiv w:val="1"/>
      <w:marLeft w:val="0"/>
      <w:marRight w:val="0"/>
      <w:marTop w:val="0"/>
      <w:marBottom w:val="0"/>
      <w:divBdr>
        <w:top w:val="none" w:sz="0" w:space="0" w:color="auto"/>
        <w:left w:val="none" w:sz="0" w:space="0" w:color="auto"/>
        <w:bottom w:val="none" w:sz="0" w:space="0" w:color="auto"/>
        <w:right w:val="none" w:sz="0" w:space="0" w:color="auto"/>
      </w:divBdr>
    </w:div>
    <w:div w:id="1773012983">
      <w:bodyDiv w:val="1"/>
      <w:marLeft w:val="0"/>
      <w:marRight w:val="0"/>
      <w:marTop w:val="0"/>
      <w:marBottom w:val="0"/>
      <w:divBdr>
        <w:top w:val="none" w:sz="0" w:space="0" w:color="auto"/>
        <w:left w:val="none" w:sz="0" w:space="0" w:color="auto"/>
        <w:bottom w:val="none" w:sz="0" w:space="0" w:color="auto"/>
        <w:right w:val="none" w:sz="0" w:space="0" w:color="auto"/>
      </w:divBdr>
    </w:div>
    <w:div w:id="1887063529">
      <w:bodyDiv w:val="1"/>
      <w:marLeft w:val="0"/>
      <w:marRight w:val="0"/>
      <w:marTop w:val="0"/>
      <w:marBottom w:val="0"/>
      <w:divBdr>
        <w:top w:val="none" w:sz="0" w:space="0" w:color="auto"/>
        <w:left w:val="none" w:sz="0" w:space="0" w:color="auto"/>
        <w:bottom w:val="none" w:sz="0" w:space="0" w:color="auto"/>
        <w:right w:val="none" w:sz="0" w:space="0" w:color="auto"/>
      </w:divBdr>
    </w:div>
    <w:div w:id="1964775222">
      <w:bodyDiv w:val="1"/>
      <w:marLeft w:val="0"/>
      <w:marRight w:val="0"/>
      <w:marTop w:val="0"/>
      <w:marBottom w:val="0"/>
      <w:divBdr>
        <w:top w:val="none" w:sz="0" w:space="0" w:color="auto"/>
        <w:left w:val="none" w:sz="0" w:space="0" w:color="auto"/>
        <w:bottom w:val="none" w:sz="0" w:space="0" w:color="auto"/>
        <w:right w:val="none" w:sz="0" w:space="0" w:color="auto"/>
      </w:divBdr>
    </w:div>
    <w:div w:id="1976183413">
      <w:bodyDiv w:val="1"/>
      <w:marLeft w:val="0"/>
      <w:marRight w:val="0"/>
      <w:marTop w:val="0"/>
      <w:marBottom w:val="0"/>
      <w:divBdr>
        <w:top w:val="none" w:sz="0" w:space="0" w:color="auto"/>
        <w:left w:val="none" w:sz="0" w:space="0" w:color="auto"/>
        <w:bottom w:val="none" w:sz="0" w:space="0" w:color="auto"/>
        <w:right w:val="none" w:sz="0" w:space="0" w:color="auto"/>
      </w:divBdr>
      <w:divsChild>
        <w:div w:id="646326838">
          <w:marLeft w:val="0"/>
          <w:marRight w:val="0"/>
          <w:marTop w:val="0"/>
          <w:marBottom w:val="0"/>
          <w:divBdr>
            <w:top w:val="none" w:sz="0" w:space="0" w:color="auto"/>
            <w:left w:val="none" w:sz="0" w:space="0" w:color="auto"/>
            <w:bottom w:val="none" w:sz="0" w:space="0" w:color="auto"/>
            <w:right w:val="none" w:sz="0" w:space="0" w:color="auto"/>
          </w:divBdr>
        </w:div>
        <w:div w:id="1085346812">
          <w:marLeft w:val="0"/>
          <w:marRight w:val="0"/>
          <w:marTop w:val="0"/>
          <w:marBottom w:val="0"/>
          <w:divBdr>
            <w:top w:val="none" w:sz="0" w:space="0" w:color="auto"/>
            <w:left w:val="none" w:sz="0" w:space="0" w:color="auto"/>
            <w:bottom w:val="none" w:sz="0" w:space="0" w:color="auto"/>
            <w:right w:val="none" w:sz="0" w:space="0" w:color="auto"/>
          </w:divBdr>
        </w:div>
      </w:divsChild>
    </w:div>
    <w:div w:id="203136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1105</Words>
  <Characters>6300</Characters>
  <Application>Microsoft Office Word</Application>
  <DocSecurity>0</DocSecurity>
  <Lines>52</Lines>
  <Paragraphs>14</Paragraphs>
  <ScaleCrop>false</ScaleCrop>
  <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Masalskienė</dc:creator>
  <cp:keywords/>
  <dc:description/>
  <cp:lastModifiedBy>Eligija Rukšytė</cp:lastModifiedBy>
  <cp:revision>9</cp:revision>
  <dcterms:created xsi:type="dcterms:W3CDTF">2024-06-10T06:54:00Z</dcterms:created>
  <dcterms:modified xsi:type="dcterms:W3CDTF">2024-06-24T14:21:00Z</dcterms:modified>
</cp:coreProperties>
</file>