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6C1C8B" w14:textId="5CC8B122" w:rsidR="000622E3" w:rsidRPr="00145095" w:rsidRDefault="000622E3" w:rsidP="00145095">
      <w:pPr>
        <w:pStyle w:val="NormalWeb"/>
        <w:spacing w:before="0" w:beforeAutospacing="0" w:after="0" w:afterAutospacing="0"/>
        <w:jc w:val="both"/>
        <w:rPr>
          <w:rFonts w:ascii="Calibri" w:hAnsi="Calibri" w:cs="Calibri"/>
          <w:color w:val="212121"/>
          <w:lang w:val="lt-LT"/>
        </w:rPr>
      </w:pPr>
      <w:r w:rsidRPr="00145095">
        <w:rPr>
          <w:rFonts w:ascii="Calibri" w:hAnsi="Calibri" w:cs="Calibri"/>
          <w:b/>
          <w:bCs/>
          <w:color w:val="0D0D0D"/>
          <w:lang w:val="lt-LT"/>
        </w:rPr>
        <w:t xml:space="preserve">Programinė įranga – kaip paslauga: ką apie sparčiai populiarėjantį modelį sako tarptautinė mokesčių teisė </w:t>
      </w:r>
    </w:p>
    <w:p w14:paraId="3E770BDC" w14:textId="77777777" w:rsidR="00145095" w:rsidRDefault="00145095" w:rsidP="00145095">
      <w:pPr>
        <w:pStyle w:val="NormalWeb"/>
        <w:spacing w:before="0" w:beforeAutospacing="0" w:after="0" w:afterAutospacing="0"/>
        <w:jc w:val="both"/>
        <w:rPr>
          <w:rFonts w:ascii="Calibri" w:hAnsi="Calibri" w:cs="Calibri"/>
          <w:color w:val="0D0D0D"/>
          <w:sz w:val="22"/>
          <w:szCs w:val="22"/>
          <w:shd w:val="clear" w:color="auto" w:fill="FFFFFF"/>
          <w:lang w:val="lt-LT"/>
        </w:rPr>
      </w:pPr>
    </w:p>
    <w:p w14:paraId="6F1BC899" w14:textId="084AF3C9" w:rsidR="000622E3" w:rsidRPr="00145095" w:rsidRDefault="000622E3" w:rsidP="00145095">
      <w:pPr>
        <w:pStyle w:val="NormalWeb"/>
        <w:spacing w:before="0" w:beforeAutospacing="0" w:after="0" w:afterAutospacing="0"/>
        <w:jc w:val="both"/>
        <w:rPr>
          <w:rFonts w:ascii="Calibri" w:hAnsi="Calibri" w:cs="Calibri"/>
          <w:color w:val="0D0D0D"/>
          <w:sz w:val="22"/>
          <w:szCs w:val="22"/>
          <w:shd w:val="clear" w:color="auto" w:fill="FFFFFF"/>
          <w:lang w:val="lt-LT"/>
        </w:rPr>
      </w:pPr>
      <w:r w:rsidRPr="00145095">
        <w:rPr>
          <w:rFonts w:ascii="Calibri" w:hAnsi="Calibri" w:cs="Calibri"/>
          <w:color w:val="0D0D0D"/>
          <w:sz w:val="22"/>
          <w:szCs w:val="22"/>
          <w:shd w:val="clear" w:color="auto" w:fill="FFFFFF"/>
          <w:lang w:val="lt-LT"/>
        </w:rPr>
        <w:t>Pastarąjį dešimtmetį sparčiai vystantis debesų kompiuterijai, programinės įrangos bendrovės atsisako tradicinių programinės įrangos diegimo modelių ir vis dažniau siūlo programinės įrangos kaip paslaugos (</w:t>
      </w:r>
      <w:proofErr w:type="spellStart"/>
      <w:r w:rsidRPr="00145095">
        <w:rPr>
          <w:rFonts w:ascii="Calibri" w:hAnsi="Calibri" w:cs="Calibri"/>
          <w:color w:val="0D0D0D"/>
          <w:sz w:val="22"/>
          <w:szCs w:val="22"/>
          <w:shd w:val="clear" w:color="auto" w:fill="FFFFFF"/>
          <w:lang w:val="lt-LT"/>
        </w:rPr>
        <w:t>ang</w:t>
      </w:r>
      <w:proofErr w:type="spellEnd"/>
      <w:r w:rsidRPr="00145095">
        <w:rPr>
          <w:rFonts w:ascii="Calibri" w:hAnsi="Calibri" w:cs="Calibri"/>
          <w:color w:val="0D0D0D"/>
          <w:sz w:val="22"/>
          <w:szCs w:val="22"/>
          <w:shd w:val="clear" w:color="auto" w:fill="FFFFFF"/>
          <w:lang w:val="lt-LT"/>
        </w:rPr>
        <w:t xml:space="preserve">. </w:t>
      </w:r>
      <w:proofErr w:type="spellStart"/>
      <w:r w:rsidRPr="00145095">
        <w:rPr>
          <w:rFonts w:ascii="Calibri" w:hAnsi="Calibri" w:cs="Calibri"/>
          <w:color w:val="0D0D0D"/>
          <w:sz w:val="22"/>
          <w:szCs w:val="22"/>
          <w:shd w:val="clear" w:color="auto" w:fill="FFFFFF"/>
          <w:lang w:val="lt-LT"/>
        </w:rPr>
        <w:t>Software</w:t>
      </w:r>
      <w:proofErr w:type="spellEnd"/>
      <w:r w:rsidRPr="00145095">
        <w:rPr>
          <w:rFonts w:ascii="Calibri" w:hAnsi="Calibri" w:cs="Calibri"/>
          <w:color w:val="0D0D0D"/>
          <w:sz w:val="22"/>
          <w:szCs w:val="22"/>
          <w:shd w:val="clear" w:color="auto" w:fill="FFFFFF"/>
          <w:lang w:val="lt-LT"/>
        </w:rPr>
        <w:t xml:space="preserve"> </w:t>
      </w:r>
      <w:proofErr w:type="spellStart"/>
      <w:r w:rsidRPr="00145095">
        <w:rPr>
          <w:rFonts w:ascii="Calibri" w:hAnsi="Calibri" w:cs="Calibri"/>
          <w:color w:val="0D0D0D"/>
          <w:sz w:val="22"/>
          <w:szCs w:val="22"/>
          <w:shd w:val="clear" w:color="auto" w:fill="FFFFFF"/>
          <w:lang w:val="lt-LT"/>
        </w:rPr>
        <w:t>as</w:t>
      </w:r>
      <w:proofErr w:type="spellEnd"/>
      <w:r w:rsidRPr="00145095">
        <w:rPr>
          <w:rFonts w:ascii="Calibri" w:hAnsi="Calibri" w:cs="Calibri"/>
          <w:color w:val="0D0D0D"/>
          <w:sz w:val="22"/>
          <w:szCs w:val="22"/>
          <w:shd w:val="clear" w:color="auto" w:fill="FFFFFF"/>
          <w:lang w:val="lt-LT"/>
        </w:rPr>
        <w:t xml:space="preserve"> a Service arba </w:t>
      </w:r>
      <w:proofErr w:type="spellStart"/>
      <w:r w:rsidRPr="00145095">
        <w:rPr>
          <w:rFonts w:ascii="Calibri" w:hAnsi="Calibri" w:cs="Calibri"/>
          <w:color w:val="0D0D0D"/>
          <w:sz w:val="22"/>
          <w:szCs w:val="22"/>
          <w:shd w:val="clear" w:color="auto" w:fill="FFFFFF"/>
          <w:lang w:val="lt-LT"/>
        </w:rPr>
        <w:t>SaaS</w:t>
      </w:r>
      <w:proofErr w:type="spellEnd"/>
      <w:r w:rsidRPr="00145095">
        <w:rPr>
          <w:rFonts w:ascii="Calibri" w:hAnsi="Calibri" w:cs="Calibri"/>
          <w:color w:val="0D0D0D"/>
          <w:sz w:val="22"/>
          <w:szCs w:val="22"/>
          <w:shd w:val="clear" w:color="auto" w:fill="FFFFFF"/>
          <w:lang w:val="lt-LT"/>
        </w:rPr>
        <w:t xml:space="preserve">) modelį. Šis modelis verslui gali suteikti žymiai daugiau lankstumo ir efektyvumo, tačiau svarbu atkreipti dėmesį į niuansus, susijusius su mokestiniu reguliavimu. </w:t>
      </w:r>
    </w:p>
    <w:p w14:paraId="11AF2C80" w14:textId="77777777" w:rsidR="00145095" w:rsidRDefault="00145095" w:rsidP="00145095">
      <w:pPr>
        <w:pStyle w:val="NormalWeb"/>
        <w:spacing w:before="0" w:beforeAutospacing="0" w:after="0" w:afterAutospacing="0"/>
        <w:jc w:val="both"/>
        <w:rPr>
          <w:rFonts w:ascii="Calibri" w:hAnsi="Calibri" w:cs="Calibri"/>
          <w:color w:val="0D0D0D"/>
          <w:sz w:val="22"/>
          <w:szCs w:val="22"/>
          <w:shd w:val="clear" w:color="auto" w:fill="FFFFFF"/>
          <w:lang w:val="lt-LT"/>
        </w:rPr>
      </w:pPr>
    </w:p>
    <w:p w14:paraId="0B1C2095" w14:textId="39E49830" w:rsidR="000622E3" w:rsidRPr="00145095" w:rsidRDefault="000622E3" w:rsidP="00145095">
      <w:pPr>
        <w:pStyle w:val="NormalWeb"/>
        <w:spacing w:before="0" w:beforeAutospacing="0" w:after="0" w:afterAutospacing="0"/>
        <w:jc w:val="both"/>
        <w:rPr>
          <w:rFonts w:ascii="Calibri" w:hAnsi="Calibri" w:cs="Calibri"/>
          <w:color w:val="0D0D0D"/>
          <w:sz w:val="22"/>
          <w:szCs w:val="22"/>
          <w:shd w:val="clear" w:color="auto" w:fill="FFFFFF"/>
          <w:lang w:val="lt-LT"/>
        </w:rPr>
      </w:pPr>
      <w:r w:rsidRPr="00145095">
        <w:rPr>
          <w:rFonts w:ascii="Calibri" w:hAnsi="Calibri" w:cs="Calibri"/>
          <w:color w:val="0D0D0D"/>
          <w:sz w:val="22"/>
          <w:szCs w:val="22"/>
          <w:shd w:val="clear" w:color="auto" w:fill="FFFFFF"/>
          <w:lang w:val="lt-LT"/>
        </w:rPr>
        <w:t xml:space="preserve">Populiariausias </w:t>
      </w:r>
      <w:proofErr w:type="spellStart"/>
      <w:r w:rsidRPr="00145095">
        <w:rPr>
          <w:rFonts w:ascii="Calibri" w:hAnsi="Calibri" w:cs="Calibri"/>
          <w:color w:val="0D0D0D"/>
          <w:sz w:val="22"/>
          <w:szCs w:val="22"/>
          <w:shd w:val="clear" w:color="auto" w:fill="FFFFFF"/>
          <w:lang w:val="lt-LT"/>
        </w:rPr>
        <w:t>SaaS</w:t>
      </w:r>
      <w:proofErr w:type="spellEnd"/>
      <w:r w:rsidRPr="00145095">
        <w:rPr>
          <w:rFonts w:ascii="Calibri" w:hAnsi="Calibri" w:cs="Calibri"/>
          <w:color w:val="0D0D0D"/>
          <w:sz w:val="22"/>
          <w:szCs w:val="22"/>
          <w:shd w:val="clear" w:color="auto" w:fill="FFFFFF"/>
          <w:lang w:val="lt-LT"/>
        </w:rPr>
        <w:t xml:space="preserve"> modelio pavyzdys yra debesijos prenumeratos sutartis, kuomet vartotojams internetu suteikiama prieiga prie nuotoliniame serveryje esančių programų. Tokiu būdu programinę įrangą galima pasiekti iš bet kurio įrenginio, turinčio interneto ryšį, jos nereikia diegti ir prižiūrėti vietiniuose kompiuteriuose. Įmonėms tai leidžia sumažinti programinės įrangos licencijų ir priežiūros kaštus, taupyti išteklius, kuriuos tektų skirti IT sistemų administravimui. Be to, </w:t>
      </w:r>
      <w:proofErr w:type="spellStart"/>
      <w:r w:rsidRPr="00145095">
        <w:rPr>
          <w:rFonts w:ascii="Calibri" w:hAnsi="Calibri" w:cs="Calibri"/>
          <w:color w:val="0D0D0D"/>
          <w:sz w:val="22"/>
          <w:szCs w:val="22"/>
          <w:shd w:val="clear" w:color="auto" w:fill="FFFFFF"/>
          <w:lang w:val="lt-LT"/>
        </w:rPr>
        <w:t>SaaS</w:t>
      </w:r>
      <w:proofErr w:type="spellEnd"/>
      <w:r w:rsidRPr="00145095">
        <w:rPr>
          <w:rFonts w:ascii="Calibri" w:hAnsi="Calibri" w:cs="Calibri"/>
          <w:color w:val="0D0D0D"/>
          <w:sz w:val="22"/>
          <w:szCs w:val="22"/>
          <w:shd w:val="clear" w:color="auto" w:fill="FFFFFF"/>
          <w:lang w:val="lt-LT"/>
        </w:rPr>
        <w:t xml:space="preserve"> pagrindu veikiančios programos dažnu atveju yra saugesnės, nes jos patalpintos saugiame serveryje ir yra reguliariai atnaujinamos. </w:t>
      </w:r>
    </w:p>
    <w:p w14:paraId="7EE88934" w14:textId="77777777" w:rsidR="00145095" w:rsidRDefault="00145095" w:rsidP="00145095">
      <w:pPr>
        <w:pStyle w:val="NormalWeb"/>
        <w:spacing w:before="0" w:beforeAutospacing="0" w:after="0" w:afterAutospacing="0"/>
        <w:jc w:val="both"/>
        <w:rPr>
          <w:rFonts w:ascii="Calibri" w:hAnsi="Calibri" w:cs="Calibri"/>
          <w:color w:val="0D0D0D"/>
          <w:sz w:val="22"/>
          <w:szCs w:val="22"/>
          <w:shd w:val="clear" w:color="auto" w:fill="FFFFFF"/>
          <w:lang w:val="lt-LT"/>
        </w:rPr>
      </w:pPr>
    </w:p>
    <w:p w14:paraId="4866F0BE" w14:textId="21CE3589" w:rsidR="000622E3" w:rsidRPr="00145095" w:rsidRDefault="000622E3" w:rsidP="00145095">
      <w:pPr>
        <w:pStyle w:val="NormalWeb"/>
        <w:spacing w:before="0" w:beforeAutospacing="0" w:after="0" w:afterAutospacing="0"/>
        <w:jc w:val="both"/>
        <w:rPr>
          <w:rFonts w:ascii="Calibri" w:hAnsi="Calibri" w:cs="Calibri"/>
          <w:color w:val="0D0D0D"/>
          <w:sz w:val="22"/>
          <w:szCs w:val="22"/>
          <w:shd w:val="clear" w:color="auto" w:fill="FFFFFF"/>
          <w:lang w:val="lt-LT"/>
        </w:rPr>
      </w:pPr>
      <w:r w:rsidRPr="00145095">
        <w:rPr>
          <w:rFonts w:ascii="Calibri" w:hAnsi="Calibri" w:cs="Calibri"/>
          <w:color w:val="0D0D0D"/>
          <w:sz w:val="22"/>
          <w:szCs w:val="22"/>
          <w:shd w:val="clear" w:color="auto" w:fill="FFFFFF"/>
          <w:lang w:val="lt-LT"/>
        </w:rPr>
        <w:t>Rinkos tyrimų bendrovės „</w:t>
      </w:r>
      <w:proofErr w:type="spellStart"/>
      <w:r w:rsidRPr="00145095">
        <w:rPr>
          <w:rFonts w:ascii="Calibri" w:hAnsi="Calibri" w:cs="Calibri"/>
          <w:color w:val="0D0D0D"/>
          <w:sz w:val="22"/>
          <w:szCs w:val="22"/>
          <w:shd w:val="clear" w:color="auto" w:fill="FFFFFF"/>
          <w:lang w:val="lt-LT"/>
        </w:rPr>
        <w:t>Fortune</w:t>
      </w:r>
      <w:proofErr w:type="spellEnd"/>
      <w:r w:rsidRPr="00145095">
        <w:rPr>
          <w:rFonts w:ascii="Calibri" w:hAnsi="Calibri" w:cs="Calibri"/>
          <w:color w:val="0D0D0D"/>
          <w:sz w:val="22"/>
          <w:szCs w:val="22"/>
          <w:shd w:val="clear" w:color="auto" w:fill="FFFFFF"/>
          <w:lang w:val="lt-LT"/>
        </w:rPr>
        <w:t xml:space="preserve"> </w:t>
      </w:r>
      <w:proofErr w:type="spellStart"/>
      <w:r w:rsidRPr="00145095">
        <w:rPr>
          <w:rFonts w:ascii="Calibri" w:hAnsi="Calibri" w:cs="Calibri"/>
          <w:color w:val="0D0D0D"/>
          <w:sz w:val="22"/>
          <w:szCs w:val="22"/>
          <w:shd w:val="clear" w:color="auto" w:fill="FFFFFF"/>
          <w:lang w:val="lt-LT"/>
        </w:rPr>
        <w:t>Business</w:t>
      </w:r>
      <w:proofErr w:type="spellEnd"/>
      <w:r w:rsidRPr="00145095">
        <w:rPr>
          <w:rFonts w:ascii="Calibri" w:hAnsi="Calibri" w:cs="Calibri"/>
          <w:color w:val="0D0D0D"/>
          <w:sz w:val="22"/>
          <w:szCs w:val="22"/>
          <w:shd w:val="clear" w:color="auto" w:fill="FFFFFF"/>
          <w:lang w:val="lt-LT"/>
        </w:rPr>
        <w:t xml:space="preserve"> </w:t>
      </w:r>
      <w:proofErr w:type="spellStart"/>
      <w:r w:rsidRPr="00145095">
        <w:rPr>
          <w:rFonts w:ascii="Calibri" w:hAnsi="Calibri" w:cs="Calibri"/>
          <w:color w:val="0D0D0D"/>
          <w:sz w:val="22"/>
          <w:szCs w:val="22"/>
          <w:shd w:val="clear" w:color="auto" w:fill="FFFFFF"/>
          <w:lang w:val="lt-LT"/>
        </w:rPr>
        <w:t>Insights</w:t>
      </w:r>
      <w:proofErr w:type="spellEnd"/>
      <w:r w:rsidRPr="00145095">
        <w:rPr>
          <w:rFonts w:ascii="Calibri" w:hAnsi="Calibri" w:cs="Calibri"/>
          <w:color w:val="0D0D0D"/>
          <w:sz w:val="22"/>
          <w:szCs w:val="22"/>
          <w:shd w:val="clear" w:color="auto" w:fill="FFFFFF"/>
          <w:lang w:val="lt-LT"/>
        </w:rPr>
        <w:t xml:space="preserve">“ duomenimis, pasaulinės </w:t>
      </w:r>
      <w:proofErr w:type="spellStart"/>
      <w:r w:rsidRPr="00145095">
        <w:rPr>
          <w:rFonts w:ascii="Calibri" w:hAnsi="Calibri" w:cs="Calibri"/>
          <w:color w:val="0D0D0D"/>
          <w:sz w:val="22"/>
          <w:szCs w:val="22"/>
          <w:shd w:val="clear" w:color="auto" w:fill="FFFFFF"/>
          <w:lang w:val="lt-LT"/>
        </w:rPr>
        <w:t>SaaS</w:t>
      </w:r>
      <w:proofErr w:type="spellEnd"/>
      <w:r w:rsidRPr="00145095">
        <w:rPr>
          <w:rFonts w:ascii="Calibri" w:hAnsi="Calibri" w:cs="Calibri"/>
          <w:color w:val="0D0D0D"/>
          <w:sz w:val="22"/>
          <w:szCs w:val="22"/>
          <w:shd w:val="clear" w:color="auto" w:fill="FFFFFF"/>
          <w:lang w:val="lt-LT"/>
        </w:rPr>
        <w:t xml:space="preserve"> rinkos vertė 20</w:t>
      </w:r>
      <w:r w:rsidRPr="00145095">
        <w:rPr>
          <w:rFonts w:ascii="Calibri" w:hAnsi="Calibri" w:cs="Calibri"/>
          <w:color w:val="0D0D0D"/>
          <w:sz w:val="22"/>
          <w:szCs w:val="22"/>
          <w:shd w:val="clear" w:color="auto" w:fill="FFFFFF"/>
        </w:rPr>
        <w:t>23</w:t>
      </w:r>
      <w:r w:rsidRPr="00145095">
        <w:rPr>
          <w:rFonts w:ascii="Calibri" w:hAnsi="Calibri" w:cs="Calibri"/>
          <w:color w:val="0D0D0D"/>
          <w:sz w:val="22"/>
          <w:szCs w:val="22"/>
          <w:shd w:val="clear" w:color="auto" w:fill="FFFFFF"/>
          <w:lang w:val="lt-LT"/>
        </w:rPr>
        <w:t xml:space="preserve"> m. sudarė 237 mlrd. JAV dolerių. Prognozuojama, kad kasmetinis jos augimas vidutiniškai sieks daugiau kaip 18 proc., o 2023 m. rinkos vertė priartės prie 1 </w:t>
      </w:r>
      <w:proofErr w:type="spellStart"/>
      <w:r w:rsidRPr="00145095">
        <w:rPr>
          <w:rFonts w:ascii="Calibri" w:hAnsi="Calibri" w:cs="Calibri"/>
          <w:color w:val="0D0D0D"/>
          <w:sz w:val="22"/>
          <w:szCs w:val="22"/>
          <w:shd w:val="clear" w:color="auto" w:fill="FFFFFF"/>
          <w:lang w:val="lt-LT"/>
        </w:rPr>
        <w:t>trln</w:t>
      </w:r>
      <w:proofErr w:type="spellEnd"/>
      <w:r w:rsidRPr="00145095">
        <w:rPr>
          <w:rFonts w:ascii="Calibri" w:hAnsi="Calibri" w:cs="Calibri"/>
          <w:color w:val="0D0D0D"/>
          <w:sz w:val="22"/>
          <w:szCs w:val="22"/>
          <w:shd w:val="clear" w:color="auto" w:fill="FFFFFF"/>
          <w:lang w:val="lt-LT"/>
        </w:rPr>
        <w:t xml:space="preserve">. JAV dolerių. </w:t>
      </w:r>
    </w:p>
    <w:p w14:paraId="18F8F4A6" w14:textId="77777777" w:rsidR="00145095" w:rsidRDefault="00145095" w:rsidP="00145095">
      <w:pPr>
        <w:pStyle w:val="NormalWeb"/>
        <w:spacing w:before="0" w:beforeAutospacing="0" w:after="0" w:afterAutospacing="0"/>
        <w:jc w:val="both"/>
        <w:rPr>
          <w:rFonts w:ascii="Calibri" w:hAnsi="Calibri" w:cs="Calibri"/>
          <w:color w:val="0D0D0D"/>
          <w:sz w:val="22"/>
          <w:szCs w:val="22"/>
          <w:shd w:val="clear" w:color="auto" w:fill="FFFFFF"/>
          <w:lang w:val="lt-LT"/>
        </w:rPr>
      </w:pPr>
    </w:p>
    <w:p w14:paraId="511AA090" w14:textId="0918D6E6" w:rsidR="000622E3" w:rsidRPr="00145095" w:rsidRDefault="000622E3" w:rsidP="00145095">
      <w:pPr>
        <w:pStyle w:val="NormalWeb"/>
        <w:spacing w:before="0" w:beforeAutospacing="0" w:after="0" w:afterAutospacing="0"/>
        <w:jc w:val="both"/>
        <w:rPr>
          <w:rFonts w:ascii="Calibri" w:hAnsi="Calibri" w:cs="Calibri"/>
          <w:color w:val="0D0D0D"/>
          <w:sz w:val="22"/>
          <w:szCs w:val="22"/>
          <w:shd w:val="clear" w:color="auto" w:fill="FFFFFF"/>
          <w:lang w:val="lt-LT"/>
        </w:rPr>
      </w:pPr>
      <w:r w:rsidRPr="00145095">
        <w:rPr>
          <w:rFonts w:ascii="Calibri" w:hAnsi="Calibri" w:cs="Calibri"/>
          <w:color w:val="0D0D0D"/>
          <w:sz w:val="22"/>
          <w:szCs w:val="22"/>
          <w:shd w:val="clear" w:color="auto" w:fill="FFFFFF"/>
          <w:lang w:val="lt-LT"/>
        </w:rPr>
        <w:t xml:space="preserve">Visgi, kaip pastebi </w:t>
      </w:r>
      <w:bookmarkStart w:id="0" w:name="_Hlk169852328"/>
      <w:r w:rsidRPr="00145095">
        <w:rPr>
          <w:rFonts w:ascii="Calibri" w:hAnsi="Calibri" w:cs="Calibri"/>
          <w:color w:val="0D0D0D"/>
          <w:sz w:val="22"/>
          <w:szCs w:val="22"/>
          <w:shd w:val="clear" w:color="auto" w:fill="FFFFFF"/>
          <w:lang w:val="lt-LT"/>
        </w:rPr>
        <w:t xml:space="preserve">advokatų kontoros NOOR </w:t>
      </w:r>
      <w:bookmarkEnd w:id="0"/>
      <w:r w:rsidRPr="00145095">
        <w:rPr>
          <w:rFonts w:ascii="Calibri" w:hAnsi="Calibri" w:cs="Calibri"/>
          <w:color w:val="0D0D0D"/>
          <w:sz w:val="22"/>
          <w:szCs w:val="22"/>
          <w:shd w:val="clear" w:color="auto" w:fill="FFFFFF"/>
          <w:lang w:val="lt-LT"/>
        </w:rPr>
        <w:t xml:space="preserve">teisininkas </w:t>
      </w:r>
      <w:proofErr w:type="spellStart"/>
      <w:r w:rsidRPr="00145095">
        <w:rPr>
          <w:rFonts w:ascii="Calibri" w:hAnsi="Calibri" w:cs="Calibri"/>
          <w:color w:val="0D0D0D"/>
          <w:sz w:val="22"/>
          <w:szCs w:val="22"/>
          <w:shd w:val="clear" w:color="auto" w:fill="FFFFFF"/>
          <w:lang w:val="lt-LT"/>
        </w:rPr>
        <w:t>Raimond</w:t>
      </w:r>
      <w:proofErr w:type="spellEnd"/>
      <w:r w:rsidRPr="00145095">
        <w:rPr>
          <w:rFonts w:ascii="Calibri" w:hAnsi="Calibri" w:cs="Calibri"/>
          <w:color w:val="0D0D0D"/>
          <w:sz w:val="22"/>
          <w:szCs w:val="22"/>
          <w:shd w:val="clear" w:color="auto" w:fill="FFFFFF"/>
          <w:lang w:val="lt-LT"/>
        </w:rPr>
        <w:t xml:space="preserve"> </w:t>
      </w:r>
      <w:proofErr w:type="spellStart"/>
      <w:r w:rsidRPr="00145095">
        <w:rPr>
          <w:rFonts w:ascii="Calibri" w:hAnsi="Calibri" w:cs="Calibri"/>
          <w:color w:val="0D0D0D"/>
          <w:sz w:val="22"/>
          <w:szCs w:val="22"/>
          <w:shd w:val="clear" w:color="auto" w:fill="FFFFFF"/>
          <w:lang w:val="lt-LT"/>
        </w:rPr>
        <w:t>Seniut</w:t>
      </w:r>
      <w:proofErr w:type="spellEnd"/>
      <w:r w:rsidRPr="00145095">
        <w:rPr>
          <w:rFonts w:ascii="Calibri" w:hAnsi="Calibri" w:cs="Calibri"/>
          <w:color w:val="0D0D0D"/>
          <w:sz w:val="22"/>
          <w:szCs w:val="22"/>
          <w:shd w:val="clear" w:color="auto" w:fill="FFFFFF"/>
          <w:lang w:val="lt-LT"/>
        </w:rPr>
        <w:t xml:space="preserve">, </w:t>
      </w:r>
      <w:proofErr w:type="spellStart"/>
      <w:r w:rsidRPr="00145095">
        <w:rPr>
          <w:rFonts w:ascii="Calibri" w:hAnsi="Calibri" w:cs="Calibri"/>
          <w:color w:val="0D0D0D"/>
          <w:sz w:val="22"/>
          <w:szCs w:val="22"/>
          <w:shd w:val="clear" w:color="auto" w:fill="FFFFFF"/>
          <w:lang w:val="lt-LT"/>
        </w:rPr>
        <w:t>SaaS</w:t>
      </w:r>
      <w:proofErr w:type="spellEnd"/>
      <w:r w:rsidRPr="00145095">
        <w:rPr>
          <w:rFonts w:ascii="Calibri" w:hAnsi="Calibri" w:cs="Calibri"/>
          <w:color w:val="0D0D0D"/>
          <w:sz w:val="22"/>
          <w:szCs w:val="22"/>
          <w:shd w:val="clear" w:color="auto" w:fill="FFFFFF"/>
          <w:lang w:val="lt-LT"/>
        </w:rPr>
        <w:t xml:space="preserve"> sutarčių populiarėjimo tendencija tiek programinės įrangos tiekėjams, tiek pirkėjams kelia nemažai klausimų, susijusių su tarptautiniais mokesčiais. Vienas iš pagrindinių klausimų – mokėjimų, gaunamų pagal </w:t>
      </w:r>
      <w:proofErr w:type="spellStart"/>
      <w:r w:rsidRPr="00145095">
        <w:rPr>
          <w:rFonts w:ascii="Calibri" w:hAnsi="Calibri" w:cs="Calibri"/>
          <w:color w:val="0D0D0D"/>
          <w:sz w:val="22"/>
          <w:szCs w:val="22"/>
          <w:shd w:val="clear" w:color="auto" w:fill="FFFFFF"/>
          <w:lang w:val="lt-LT"/>
        </w:rPr>
        <w:t>SaaS</w:t>
      </w:r>
      <w:proofErr w:type="spellEnd"/>
      <w:r w:rsidRPr="00145095">
        <w:rPr>
          <w:rFonts w:ascii="Calibri" w:hAnsi="Calibri" w:cs="Calibri"/>
          <w:color w:val="0D0D0D"/>
          <w:sz w:val="22"/>
          <w:szCs w:val="22"/>
          <w:shd w:val="clear" w:color="auto" w:fill="FFFFFF"/>
          <w:lang w:val="lt-LT"/>
        </w:rPr>
        <w:t xml:space="preserve"> sutartį, pobūdis. Tai svarbu, nes nuo to priklauso, kaip apmokestinamos iš </w:t>
      </w:r>
      <w:proofErr w:type="spellStart"/>
      <w:r w:rsidRPr="00145095">
        <w:rPr>
          <w:rFonts w:ascii="Calibri" w:hAnsi="Calibri" w:cs="Calibri"/>
          <w:color w:val="0D0D0D"/>
          <w:sz w:val="22"/>
          <w:szCs w:val="22"/>
          <w:shd w:val="clear" w:color="auto" w:fill="FFFFFF"/>
          <w:lang w:val="lt-LT"/>
        </w:rPr>
        <w:t>SaaS</w:t>
      </w:r>
      <w:proofErr w:type="spellEnd"/>
      <w:r w:rsidRPr="00145095">
        <w:rPr>
          <w:rFonts w:ascii="Calibri" w:hAnsi="Calibri" w:cs="Calibri"/>
          <w:color w:val="0D0D0D"/>
          <w:sz w:val="22"/>
          <w:szCs w:val="22"/>
          <w:shd w:val="clear" w:color="auto" w:fill="FFFFFF"/>
          <w:lang w:val="lt-LT"/>
        </w:rPr>
        <w:t xml:space="preserve"> sutarties gautos pajamos ir ar tokiems mokėjimams turėtų būti taikomas pajamų mokestis prie šaltinio (</w:t>
      </w:r>
      <w:proofErr w:type="spellStart"/>
      <w:r w:rsidRPr="00145095">
        <w:rPr>
          <w:rFonts w:ascii="Calibri" w:hAnsi="Calibri" w:cs="Calibri"/>
          <w:color w:val="0D0D0D"/>
          <w:sz w:val="22"/>
          <w:szCs w:val="22"/>
          <w:shd w:val="clear" w:color="auto" w:fill="FFFFFF"/>
          <w:lang w:val="lt-LT"/>
        </w:rPr>
        <w:t>ang</w:t>
      </w:r>
      <w:proofErr w:type="spellEnd"/>
      <w:r w:rsidRPr="00145095">
        <w:rPr>
          <w:rFonts w:ascii="Calibri" w:hAnsi="Calibri" w:cs="Calibri"/>
          <w:color w:val="0D0D0D"/>
          <w:sz w:val="22"/>
          <w:szCs w:val="22"/>
          <w:shd w:val="clear" w:color="auto" w:fill="FFFFFF"/>
          <w:lang w:val="lt-LT"/>
        </w:rPr>
        <w:t xml:space="preserve">. </w:t>
      </w:r>
      <w:proofErr w:type="spellStart"/>
      <w:r w:rsidRPr="00145095">
        <w:rPr>
          <w:rFonts w:ascii="Calibri" w:hAnsi="Calibri" w:cs="Calibri"/>
          <w:color w:val="0D0D0D"/>
          <w:sz w:val="22"/>
          <w:szCs w:val="22"/>
          <w:shd w:val="clear" w:color="auto" w:fill="FFFFFF"/>
          <w:lang w:val="lt-LT"/>
        </w:rPr>
        <w:t>Withholding</w:t>
      </w:r>
      <w:proofErr w:type="spellEnd"/>
      <w:r w:rsidRPr="00145095">
        <w:rPr>
          <w:rFonts w:ascii="Calibri" w:hAnsi="Calibri" w:cs="Calibri"/>
          <w:color w:val="0D0D0D"/>
          <w:sz w:val="22"/>
          <w:szCs w:val="22"/>
          <w:shd w:val="clear" w:color="auto" w:fill="FFFFFF"/>
          <w:lang w:val="lt-LT"/>
        </w:rPr>
        <w:t xml:space="preserve"> </w:t>
      </w:r>
      <w:proofErr w:type="spellStart"/>
      <w:r w:rsidRPr="00145095">
        <w:rPr>
          <w:rFonts w:ascii="Calibri" w:hAnsi="Calibri" w:cs="Calibri"/>
          <w:color w:val="0D0D0D"/>
          <w:sz w:val="22"/>
          <w:szCs w:val="22"/>
          <w:shd w:val="clear" w:color="auto" w:fill="FFFFFF"/>
          <w:lang w:val="lt-LT"/>
        </w:rPr>
        <w:t>tax</w:t>
      </w:r>
      <w:proofErr w:type="spellEnd"/>
      <w:r w:rsidRPr="00145095">
        <w:rPr>
          <w:rFonts w:ascii="Calibri" w:hAnsi="Calibri" w:cs="Calibri"/>
          <w:color w:val="0D0D0D"/>
          <w:sz w:val="22"/>
          <w:szCs w:val="22"/>
          <w:shd w:val="clear" w:color="auto" w:fill="FFFFFF"/>
          <w:lang w:val="lt-LT"/>
        </w:rPr>
        <w:t>).</w:t>
      </w:r>
    </w:p>
    <w:p w14:paraId="058E8324" w14:textId="77777777" w:rsidR="000622E3" w:rsidRPr="00145095" w:rsidRDefault="000622E3" w:rsidP="00145095">
      <w:pPr>
        <w:pStyle w:val="NormalWeb"/>
        <w:spacing w:before="0" w:beforeAutospacing="0" w:after="0" w:afterAutospacing="0"/>
        <w:jc w:val="both"/>
        <w:rPr>
          <w:rFonts w:ascii="Calibri" w:hAnsi="Calibri" w:cs="Calibri"/>
          <w:color w:val="212121"/>
          <w:sz w:val="22"/>
          <w:szCs w:val="22"/>
          <w:lang w:val="lt-LT"/>
        </w:rPr>
      </w:pPr>
      <w:r w:rsidRPr="00145095">
        <w:rPr>
          <w:rFonts w:ascii="Calibri" w:hAnsi="Calibri" w:cs="Calibri"/>
          <w:color w:val="0D0D0D"/>
          <w:sz w:val="22"/>
          <w:szCs w:val="22"/>
          <w:lang w:val="lt-LT"/>
        </w:rPr>
        <w:t> </w:t>
      </w:r>
    </w:p>
    <w:p w14:paraId="4749B2DA" w14:textId="77777777" w:rsidR="000622E3" w:rsidRPr="00145095" w:rsidRDefault="000622E3" w:rsidP="00145095">
      <w:pPr>
        <w:pStyle w:val="NormalWeb"/>
        <w:spacing w:before="0" w:beforeAutospacing="0" w:after="0" w:afterAutospacing="0"/>
        <w:jc w:val="both"/>
        <w:rPr>
          <w:rFonts w:ascii="Calibri" w:hAnsi="Calibri" w:cs="Calibri"/>
          <w:color w:val="212121"/>
          <w:sz w:val="22"/>
          <w:szCs w:val="22"/>
          <w:lang w:val="lt-LT"/>
        </w:rPr>
      </w:pPr>
      <w:r w:rsidRPr="00145095">
        <w:rPr>
          <w:rFonts w:ascii="Calibri" w:hAnsi="Calibri" w:cs="Calibri"/>
          <w:b/>
          <w:bCs/>
          <w:color w:val="0D0D0D"/>
          <w:sz w:val="22"/>
          <w:szCs w:val="22"/>
          <w:shd w:val="clear" w:color="auto" w:fill="FFFFFF"/>
          <w:lang w:val="lt-LT"/>
        </w:rPr>
        <w:t>Charakterizavimas: honoraras ar verslo pajamos?</w:t>
      </w:r>
    </w:p>
    <w:p w14:paraId="6A576C8E" w14:textId="3F855422" w:rsidR="000622E3" w:rsidRPr="00145095" w:rsidRDefault="000622E3" w:rsidP="00145095">
      <w:pPr>
        <w:pStyle w:val="NormalWeb"/>
        <w:spacing w:before="0" w:beforeAutospacing="0" w:after="0" w:afterAutospacing="0"/>
        <w:jc w:val="both"/>
        <w:rPr>
          <w:rFonts w:ascii="Calibri" w:hAnsi="Calibri" w:cs="Calibri"/>
          <w:color w:val="212121"/>
          <w:sz w:val="22"/>
          <w:szCs w:val="22"/>
          <w:lang w:val="lt-LT"/>
        </w:rPr>
      </w:pPr>
      <w:r w:rsidRPr="00145095">
        <w:rPr>
          <w:rFonts w:ascii="Calibri" w:hAnsi="Calibri" w:cs="Calibri"/>
          <w:color w:val="0D0D0D"/>
          <w:sz w:val="22"/>
          <w:szCs w:val="22"/>
          <w:shd w:val="clear" w:color="auto" w:fill="FFFFFF"/>
          <w:lang w:val="lt-LT"/>
        </w:rPr>
        <w:t xml:space="preserve">„Kalbant apie mokėjimus pagal </w:t>
      </w:r>
      <w:proofErr w:type="spellStart"/>
      <w:r w:rsidRPr="00145095">
        <w:rPr>
          <w:rFonts w:ascii="Calibri" w:hAnsi="Calibri" w:cs="Calibri"/>
          <w:color w:val="0D0D0D"/>
          <w:sz w:val="22"/>
          <w:szCs w:val="22"/>
          <w:shd w:val="clear" w:color="auto" w:fill="FFFFFF"/>
          <w:lang w:val="lt-LT"/>
        </w:rPr>
        <w:t>SaaS</w:t>
      </w:r>
      <w:proofErr w:type="spellEnd"/>
      <w:r w:rsidRPr="00145095">
        <w:rPr>
          <w:rFonts w:ascii="Calibri" w:hAnsi="Calibri" w:cs="Calibri"/>
          <w:color w:val="0D0D0D"/>
          <w:sz w:val="22"/>
          <w:szCs w:val="22"/>
          <w:shd w:val="clear" w:color="auto" w:fill="FFFFFF"/>
          <w:lang w:val="lt-LT"/>
        </w:rPr>
        <w:t xml:space="preserve"> sutartį, svarbiausias klausimas, į kurį reikia atsakyti, yra tas, ar mokėjimas priskiriamas autoriniam atlyginimui (t. y. mokėjimui už leidimą naudotis intelektinės nuosavybės teisėmis), ar pajamoms už paslaugas?</w:t>
      </w:r>
      <w:r w:rsidRPr="00145095">
        <w:rPr>
          <w:rStyle w:val="apple-converted-space"/>
          <w:rFonts w:ascii="Calibri" w:eastAsiaTheme="majorEastAsia" w:hAnsi="Calibri" w:cs="Calibri"/>
          <w:color w:val="0D0D0D"/>
          <w:sz w:val="22"/>
          <w:szCs w:val="22"/>
          <w:shd w:val="clear" w:color="auto" w:fill="FFFFFF"/>
          <w:lang w:val="lt-LT"/>
        </w:rPr>
        <w:t xml:space="preserve"> </w:t>
      </w:r>
      <w:r w:rsidRPr="00145095">
        <w:rPr>
          <w:rFonts w:ascii="Calibri" w:hAnsi="Calibri" w:cs="Calibri"/>
          <w:color w:val="0D0D0D"/>
          <w:sz w:val="22"/>
          <w:szCs w:val="22"/>
          <w:shd w:val="clear" w:color="auto" w:fill="FFFFFF"/>
          <w:lang w:val="lt-LT"/>
        </w:rPr>
        <w:t xml:space="preserve">Nors nustatyti mokėjimų už programinę įrangą pobūdį gali atrodyti paprasta, praktiškai tai gali būti sudėtinga dėl daugelio priežasčių. Aiškių gairių, kaip turėtų būti klasifikuojamos pajamos, gautos pagal programinės įrangos sutartį, daugumoje šalių, įskaitant Lietuvą, nėra, ypač jei tai yra </w:t>
      </w:r>
      <w:proofErr w:type="spellStart"/>
      <w:r w:rsidRPr="00145095">
        <w:rPr>
          <w:rFonts w:ascii="Calibri" w:hAnsi="Calibri" w:cs="Calibri"/>
          <w:color w:val="0D0D0D"/>
          <w:sz w:val="22"/>
          <w:szCs w:val="22"/>
          <w:shd w:val="clear" w:color="auto" w:fill="FFFFFF"/>
          <w:lang w:val="lt-LT"/>
        </w:rPr>
        <w:t>SaaS</w:t>
      </w:r>
      <w:proofErr w:type="spellEnd"/>
      <w:r w:rsidRPr="00145095">
        <w:rPr>
          <w:rFonts w:ascii="Calibri" w:hAnsi="Calibri" w:cs="Calibri"/>
          <w:color w:val="0D0D0D"/>
          <w:sz w:val="22"/>
          <w:szCs w:val="22"/>
          <w:shd w:val="clear" w:color="auto" w:fill="FFFFFF"/>
          <w:lang w:val="lt-LT"/>
        </w:rPr>
        <w:t xml:space="preserve"> sutartis“, – sako R. </w:t>
      </w:r>
      <w:proofErr w:type="spellStart"/>
      <w:r w:rsidRPr="00145095">
        <w:rPr>
          <w:rFonts w:ascii="Calibri" w:hAnsi="Calibri" w:cs="Calibri"/>
          <w:color w:val="0D0D0D"/>
          <w:sz w:val="22"/>
          <w:szCs w:val="22"/>
          <w:shd w:val="clear" w:color="auto" w:fill="FFFFFF"/>
          <w:lang w:val="lt-LT"/>
        </w:rPr>
        <w:t>Seniut</w:t>
      </w:r>
      <w:proofErr w:type="spellEnd"/>
      <w:r w:rsidRPr="00145095">
        <w:rPr>
          <w:rFonts w:ascii="Calibri" w:hAnsi="Calibri" w:cs="Calibri"/>
          <w:color w:val="0D0D0D"/>
          <w:sz w:val="22"/>
          <w:szCs w:val="22"/>
          <w:shd w:val="clear" w:color="auto" w:fill="FFFFFF"/>
          <w:lang w:val="lt-LT"/>
        </w:rPr>
        <w:t xml:space="preserve">. </w:t>
      </w:r>
    </w:p>
    <w:p w14:paraId="617CBAD8" w14:textId="77777777" w:rsidR="00145095" w:rsidRDefault="00145095" w:rsidP="00145095">
      <w:pPr>
        <w:pStyle w:val="NormalWeb"/>
        <w:spacing w:before="0" w:beforeAutospacing="0" w:after="0" w:afterAutospacing="0"/>
        <w:jc w:val="both"/>
        <w:rPr>
          <w:rFonts w:ascii="Calibri" w:hAnsi="Calibri" w:cs="Calibri"/>
          <w:color w:val="0D0D0D"/>
          <w:sz w:val="22"/>
          <w:szCs w:val="22"/>
          <w:shd w:val="clear" w:color="auto" w:fill="FFFFFF"/>
          <w:lang w:val="lt-LT"/>
        </w:rPr>
      </w:pPr>
    </w:p>
    <w:p w14:paraId="36EC625F" w14:textId="7C68F49A" w:rsidR="000622E3" w:rsidRPr="00145095" w:rsidRDefault="000622E3" w:rsidP="00145095">
      <w:pPr>
        <w:pStyle w:val="NormalWeb"/>
        <w:spacing w:before="0" w:beforeAutospacing="0" w:after="0" w:afterAutospacing="0"/>
        <w:jc w:val="both"/>
        <w:rPr>
          <w:rFonts w:ascii="Calibri" w:hAnsi="Calibri" w:cs="Calibri"/>
          <w:color w:val="212121"/>
          <w:sz w:val="22"/>
          <w:szCs w:val="22"/>
          <w:lang w:val="lt-LT"/>
        </w:rPr>
      </w:pPr>
      <w:r w:rsidRPr="00145095">
        <w:rPr>
          <w:rFonts w:ascii="Calibri" w:hAnsi="Calibri" w:cs="Calibri"/>
          <w:color w:val="0D0D0D"/>
          <w:sz w:val="22"/>
          <w:szCs w:val="22"/>
          <w:shd w:val="clear" w:color="auto" w:fill="FFFFFF"/>
          <w:lang w:val="lt-LT"/>
        </w:rPr>
        <w:t>Mūsų šalyje, kaip ir daugelyje kitų pasaulio valstybių, su kuriomis Lietuva yra sudariusi susitarimus dėl mokesčių, galioja Ekonominio bendradarbiavimo ir plėtros organizacijos (EBPO) pateiktas autorinių atlyginimų apibrėžimas.</w:t>
      </w:r>
      <w:r w:rsidRPr="00145095">
        <w:rPr>
          <w:rStyle w:val="apple-converted-space"/>
          <w:rFonts w:ascii="Calibri" w:eastAsiaTheme="majorEastAsia" w:hAnsi="Calibri" w:cs="Calibri"/>
          <w:color w:val="0D0D0D"/>
          <w:sz w:val="22"/>
          <w:szCs w:val="22"/>
          <w:shd w:val="clear" w:color="auto" w:fill="FFFFFF"/>
          <w:lang w:val="lt-LT"/>
        </w:rPr>
        <w:t> </w:t>
      </w:r>
    </w:p>
    <w:p w14:paraId="2D4648F0" w14:textId="77777777" w:rsidR="00145095" w:rsidRDefault="00145095" w:rsidP="00145095">
      <w:pPr>
        <w:pStyle w:val="NormalWeb"/>
        <w:spacing w:before="0" w:beforeAutospacing="0" w:after="0" w:afterAutospacing="0"/>
        <w:jc w:val="both"/>
        <w:rPr>
          <w:rFonts w:ascii="Calibri" w:hAnsi="Calibri" w:cs="Calibri"/>
          <w:color w:val="0D0D0D"/>
          <w:sz w:val="22"/>
          <w:szCs w:val="22"/>
          <w:shd w:val="clear" w:color="auto" w:fill="FFFFFF"/>
          <w:lang w:val="lt-LT"/>
        </w:rPr>
      </w:pPr>
    </w:p>
    <w:p w14:paraId="258D4E71" w14:textId="2409F69A" w:rsidR="000622E3" w:rsidRPr="00145095" w:rsidRDefault="000622E3" w:rsidP="00145095">
      <w:pPr>
        <w:pStyle w:val="NormalWeb"/>
        <w:spacing w:before="0" w:beforeAutospacing="0" w:after="0" w:afterAutospacing="0"/>
        <w:jc w:val="both"/>
        <w:rPr>
          <w:rFonts w:ascii="Calibri" w:hAnsi="Calibri" w:cs="Calibri"/>
          <w:color w:val="0D0D0D"/>
          <w:sz w:val="22"/>
          <w:szCs w:val="22"/>
          <w:shd w:val="clear" w:color="auto" w:fill="FFFFFF"/>
          <w:lang w:val="lt-LT"/>
        </w:rPr>
      </w:pPr>
      <w:r w:rsidRPr="00145095">
        <w:rPr>
          <w:rFonts w:ascii="Calibri" w:hAnsi="Calibri" w:cs="Calibri"/>
          <w:color w:val="0D0D0D"/>
          <w:sz w:val="22"/>
          <w:szCs w:val="22"/>
          <w:shd w:val="clear" w:color="auto" w:fill="FFFFFF"/>
          <w:lang w:val="lt-LT"/>
        </w:rPr>
        <w:t xml:space="preserve">Nors ši apibrėžtis apima daugybę mokėjimų, įstatyme konkrečiai nenurodoma „programinė įranga“, jau nekalbant apie mokėjimus pagal </w:t>
      </w:r>
      <w:proofErr w:type="spellStart"/>
      <w:r w:rsidRPr="00145095">
        <w:rPr>
          <w:rFonts w:ascii="Calibri" w:hAnsi="Calibri" w:cs="Calibri"/>
          <w:color w:val="0D0D0D"/>
          <w:sz w:val="22"/>
          <w:szCs w:val="22"/>
          <w:shd w:val="clear" w:color="auto" w:fill="FFFFFF"/>
          <w:lang w:val="lt-LT"/>
        </w:rPr>
        <w:t>SaaS</w:t>
      </w:r>
      <w:proofErr w:type="spellEnd"/>
      <w:r w:rsidRPr="00145095">
        <w:rPr>
          <w:rFonts w:ascii="Calibri" w:hAnsi="Calibri" w:cs="Calibri"/>
          <w:color w:val="0D0D0D"/>
          <w:sz w:val="22"/>
          <w:szCs w:val="22"/>
          <w:shd w:val="clear" w:color="auto" w:fill="FFFFFF"/>
          <w:lang w:val="lt-LT"/>
        </w:rPr>
        <w:t xml:space="preserve"> sutartį. </w:t>
      </w:r>
    </w:p>
    <w:p w14:paraId="5D15AFE6" w14:textId="77777777" w:rsidR="00145095" w:rsidRDefault="00145095" w:rsidP="00145095">
      <w:pPr>
        <w:pStyle w:val="NormalWeb"/>
        <w:spacing w:before="0" w:beforeAutospacing="0" w:after="0" w:afterAutospacing="0"/>
        <w:jc w:val="both"/>
        <w:rPr>
          <w:rFonts w:ascii="Calibri" w:hAnsi="Calibri" w:cs="Calibri"/>
          <w:color w:val="0D0D0D"/>
          <w:sz w:val="22"/>
          <w:szCs w:val="22"/>
          <w:shd w:val="clear" w:color="auto" w:fill="FFFFFF"/>
          <w:lang w:val="lt-LT"/>
        </w:rPr>
      </w:pPr>
    </w:p>
    <w:p w14:paraId="2586A7BC" w14:textId="2D1A17F4" w:rsidR="000622E3" w:rsidRPr="00145095" w:rsidRDefault="000622E3" w:rsidP="00145095">
      <w:pPr>
        <w:pStyle w:val="NormalWeb"/>
        <w:spacing w:before="0" w:beforeAutospacing="0" w:after="0" w:afterAutospacing="0"/>
        <w:jc w:val="both"/>
        <w:rPr>
          <w:rFonts w:ascii="Calibri" w:hAnsi="Calibri" w:cs="Calibri"/>
          <w:color w:val="212121"/>
          <w:sz w:val="22"/>
          <w:szCs w:val="22"/>
          <w:lang w:val="lt-LT"/>
        </w:rPr>
      </w:pPr>
      <w:r w:rsidRPr="00145095">
        <w:rPr>
          <w:rFonts w:ascii="Calibri" w:hAnsi="Calibri" w:cs="Calibri"/>
          <w:color w:val="0D0D0D"/>
          <w:sz w:val="22"/>
          <w:szCs w:val="22"/>
          <w:shd w:val="clear" w:color="auto" w:fill="FFFFFF"/>
          <w:lang w:val="lt-LT"/>
        </w:rPr>
        <w:t xml:space="preserve">„Siekdama padėti mokesčių mokėtojams šioje srityje, Lietuva pritaikė EBPO „teisėmis grindžiamo požiūrio“ modelį, pagal kurį mokėjimai už teisę naudotis autorių teisėmis yra autoriniai atlyginimai, o mokėjimai už autorių teisėmis saugomus produktus, pavyzdžiui, paruoštą naudoti programinę įrangą – pajamos iš paslaugų teikimo ar produktų pardavimo“, – akcentuoja NOOR teisininkas. </w:t>
      </w:r>
    </w:p>
    <w:p w14:paraId="39DDAD3E" w14:textId="77777777" w:rsidR="000622E3" w:rsidRPr="00145095" w:rsidRDefault="000622E3" w:rsidP="00145095">
      <w:pPr>
        <w:pStyle w:val="NormalWeb"/>
        <w:spacing w:before="0" w:beforeAutospacing="0" w:after="0" w:afterAutospacing="0"/>
        <w:jc w:val="both"/>
        <w:rPr>
          <w:rFonts w:ascii="Calibri" w:hAnsi="Calibri" w:cs="Calibri"/>
          <w:color w:val="212121"/>
          <w:sz w:val="22"/>
          <w:szCs w:val="22"/>
          <w:lang w:val="lt-LT"/>
        </w:rPr>
      </w:pPr>
      <w:r w:rsidRPr="00145095">
        <w:rPr>
          <w:rFonts w:ascii="Calibri" w:hAnsi="Calibri" w:cs="Calibri"/>
          <w:color w:val="0D0D0D"/>
          <w:sz w:val="22"/>
          <w:szCs w:val="22"/>
          <w:lang w:val="lt-LT"/>
        </w:rPr>
        <w:t> </w:t>
      </w:r>
    </w:p>
    <w:p w14:paraId="084BE41E" w14:textId="77777777" w:rsidR="000622E3" w:rsidRPr="00145095" w:rsidRDefault="000622E3" w:rsidP="00145095">
      <w:pPr>
        <w:pStyle w:val="NormalWeb"/>
        <w:spacing w:before="0" w:beforeAutospacing="0" w:after="0" w:afterAutospacing="0"/>
        <w:jc w:val="both"/>
        <w:rPr>
          <w:rFonts w:ascii="Calibri" w:hAnsi="Calibri" w:cs="Calibri"/>
          <w:color w:val="212121"/>
          <w:sz w:val="22"/>
          <w:szCs w:val="22"/>
          <w:lang w:val="lt-LT"/>
        </w:rPr>
      </w:pPr>
      <w:r w:rsidRPr="00145095">
        <w:rPr>
          <w:rFonts w:ascii="Calibri" w:hAnsi="Calibri" w:cs="Calibri"/>
          <w:b/>
          <w:bCs/>
          <w:color w:val="0D0D0D"/>
          <w:sz w:val="22"/>
          <w:szCs w:val="22"/>
          <w:shd w:val="clear" w:color="auto" w:fill="FFFFFF"/>
          <w:lang w:val="lt-LT"/>
        </w:rPr>
        <w:t>Mokesčių pasekmės</w:t>
      </w:r>
    </w:p>
    <w:p w14:paraId="223DBEBE" w14:textId="77777777" w:rsidR="000622E3" w:rsidRPr="00145095" w:rsidRDefault="000622E3" w:rsidP="00145095">
      <w:pPr>
        <w:pStyle w:val="NormalWeb"/>
        <w:spacing w:before="0" w:beforeAutospacing="0" w:after="0" w:afterAutospacing="0"/>
        <w:jc w:val="both"/>
        <w:rPr>
          <w:rFonts w:ascii="Calibri" w:hAnsi="Calibri" w:cs="Calibri"/>
          <w:color w:val="212121"/>
          <w:sz w:val="22"/>
          <w:szCs w:val="22"/>
          <w:lang w:val="lt-LT"/>
        </w:rPr>
      </w:pPr>
      <w:r w:rsidRPr="00145095">
        <w:rPr>
          <w:rFonts w:ascii="Calibri" w:hAnsi="Calibri" w:cs="Calibri"/>
          <w:color w:val="0D0D0D"/>
          <w:sz w:val="22"/>
          <w:szCs w:val="22"/>
          <w:shd w:val="clear" w:color="auto" w:fill="FFFFFF"/>
          <w:lang w:val="lt-LT"/>
        </w:rPr>
        <w:lastRenderedPageBreak/>
        <w:t>Lietuvoje autoriniai atlyginimai apmokestinami 10 proc. dydžio  mokesčiu prie šaltinio, t. y. autorinio atlyginimo mokėtojas privalo į Lietuvos biudžetą sumokėti 10 proc. autorinio atlyginimo sumos. Tačiau pagal pasirašytas ir taikomas dvigubo apmokestinimo išvengimo sutartis šio mokesčio prie šaltinio suma gali būti sumažinta.  </w:t>
      </w:r>
      <w:r w:rsidRPr="00145095">
        <w:rPr>
          <w:rStyle w:val="apple-converted-space"/>
          <w:rFonts w:ascii="Calibri" w:eastAsiaTheme="majorEastAsia" w:hAnsi="Calibri" w:cs="Calibri"/>
          <w:color w:val="0D0D0D"/>
          <w:sz w:val="22"/>
          <w:szCs w:val="22"/>
          <w:shd w:val="clear" w:color="auto" w:fill="FFFFFF"/>
          <w:lang w:val="lt-LT"/>
        </w:rPr>
        <w:t> </w:t>
      </w:r>
    </w:p>
    <w:p w14:paraId="7A4B12B8" w14:textId="77777777" w:rsidR="00145095" w:rsidRDefault="00145095" w:rsidP="00145095">
      <w:pPr>
        <w:pStyle w:val="NormalWeb"/>
        <w:spacing w:before="0" w:beforeAutospacing="0" w:after="0" w:afterAutospacing="0"/>
        <w:jc w:val="both"/>
        <w:rPr>
          <w:rFonts w:ascii="Calibri" w:hAnsi="Calibri" w:cs="Calibri"/>
          <w:color w:val="0D0D0D"/>
          <w:sz w:val="22"/>
          <w:szCs w:val="22"/>
          <w:shd w:val="clear" w:color="auto" w:fill="FFFFFF"/>
          <w:lang w:val="lt-LT"/>
        </w:rPr>
      </w:pPr>
    </w:p>
    <w:p w14:paraId="35CB4216" w14:textId="44012090" w:rsidR="000622E3" w:rsidRPr="00145095" w:rsidRDefault="000622E3" w:rsidP="00145095">
      <w:pPr>
        <w:pStyle w:val="NormalWeb"/>
        <w:spacing w:before="0" w:beforeAutospacing="0" w:after="0" w:afterAutospacing="0"/>
        <w:jc w:val="both"/>
        <w:rPr>
          <w:rFonts w:ascii="Calibri" w:hAnsi="Calibri" w:cs="Calibri"/>
          <w:color w:val="212121"/>
          <w:sz w:val="22"/>
          <w:szCs w:val="22"/>
          <w:lang w:val="lt-LT"/>
        </w:rPr>
      </w:pPr>
      <w:r w:rsidRPr="00145095">
        <w:rPr>
          <w:rFonts w:ascii="Calibri" w:hAnsi="Calibri" w:cs="Calibri"/>
          <w:color w:val="0D0D0D"/>
          <w:sz w:val="22"/>
          <w:szCs w:val="22"/>
          <w:shd w:val="clear" w:color="auto" w:fill="FFFFFF"/>
          <w:lang w:val="lt-LT"/>
        </w:rPr>
        <w:t xml:space="preserve">„Kita vertus, jei pajamos priskiriamos paslaugų teikimo ar produktų pardavimo pajamoms, jos būtų apmokestinamos Lietuvoje tik tuo atveju, jei pardavėjas turi nuolatinę buveinę Lietuvoje. Taigi, jei tiekėjas neturi nuolatinės buveinės Lietuvoje, tokios pajamos nebus apmokestinamos Lietuvoje ir nebus apmokestinamos mokesčiu prie pajamų šaltinio“, – aiškina R. </w:t>
      </w:r>
      <w:proofErr w:type="spellStart"/>
      <w:r w:rsidRPr="00145095">
        <w:rPr>
          <w:rFonts w:ascii="Calibri" w:hAnsi="Calibri" w:cs="Calibri"/>
          <w:color w:val="0D0D0D"/>
          <w:sz w:val="22"/>
          <w:szCs w:val="22"/>
          <w:shd w:val="clear" w:color="auto" w:fill="FFFFFF"/>
          <w:lang w:val="lt-LT"/>
        </w:rPr>
        <w:t>Seniut</w:t>
      </w:r>
      <w:proofErr w:type="spellEnd"/>
      <w:r w:rsidRPr="00145095">
        <w:rPr>
          <w:rFonts w:ascii="Calibri" w:hAnsi="Calibri" w:cs="Calibri"/>
          <w:color w:val="0D0D0D"/>
          <w:sz w:val="22"/>
          <w:szCs w:val="22"/>
          <w:shd w:val="clear" w:color="auto" w:fill="FFFFFF"/>
          <w:lang w:val="lt-LT"/>
        </w:rPr>
        <w:t xml:space="preserve"> </w:t>
      </w:r>
    </w:p>
    <w:p w14:paraId="104862C0" w14:textId="77777777" w:rsidR="00145095" w:rsidRDefault="00145095" w:rsidP="00145095">
      <w:pPr>
        <w:pStyle w:val="NormalWeb"/>
        <w:spacing w:before="0" w:beforeAutospacing="0" w:after="0" w:afterAutospacing="0"/>
        <w:jc w:val="both"/>
        <w:rPr>
          <w:rFonts w:ascii="Calibri" w:hAnsi="Calibri" w:cs="Calibri"/>
          <w:color w:val="0D0D0D"/>
          <w:sz w:val="22"/>
          <w:szCs w:val="22"/>
          <w:lang w:val="lt-LT"/>
        </w:rPr>
      </w:pPr>
    </w:p>
    <w:p w14:paraId="51B30F45" w14:textId="0F1769F4" w:rsidR="000622E3" w:rsidRDefault="000622E3" w:rsidP="00145095">
      <w:pPr>
        <w:pStyle w:val="NormalWeb"/>
        <w:spacing w:before="0" w:beforeAutospacing="0" w:after="0" w:afterAutospacing="0"/>
        <w:jc w:val="both"/>
        <w:rPr>
          <w:rFonts w:ascii="Calibri" w:hAnsi="Calibri" w:cs="Calibri"/>
          <w:color w:val="0D0D0D"/>
          <w:sz w:val="22"/>
          <w:szCs w:val="22"/>
          <w:lang w:val="lt-LT"/>
        </w:rPr>
      </w:pPr>
      <w:r w:rsidRPr="00145095">
        <w:rPr>
          <w:rFonts w:ascii="Calibri" w:hAnsi="Calibri" w:cs="Calibri"/>
          <w:color w:val="0D0D0D"/>
          <w:sz w:val="22"/>
          <w:szCs w:val="22"/>
          <w:lang w:val="lt-LT"/>
        </w:rPr>
        <w:t>Jis pabrėžia, kad jei programinės įrangos pirkėjas netinkamai taiko su mokesčiu prie šaltinio susijusias taisykles, atsakomybė už nesumokėtą mokestį tenka pirkėjui, o ne pardavėjui. Tokiu atveju pirkėjas taip pat galėtų būti baudžiamas už pavėluotą mokesčio sumokėjimą ir už pavėluotą atitinkamų deklaracijų pateikimą (negalėdamas reikalauti žalos atlyginimo iš pardavėjo). Dėl šios priežasties programinės įrangos pirkėjui gali kilti pagunda visus mokėjimus pagal programinės įrangos sutartis laikyti autoriniais atlyginimais ir taikyti mokestį prie šaltinio, nepaisant to, kad tokie mokėjimai gali būti laikomi pajamomis iš paslaugų teikimo ar produktų pardavimo.</w:t>
      </w:r>
    </w:p>
    <w:p w14:paraId="350EAD34" w14:textId="77777777" w:rsidR="00145095" w:rsidRPr="00145095" w:rsidRDefault="00145095" w:rsidP="00145095">
      <w:pPr>
        <w:pStyle w:val="NormalWeb"/>
        <w:spacing w:before="0" w:beforeAutospacing="0" w:after="0" w:afterAutospacing="0"/>
        <w:jc w:val="both"/>
        <w:rPr>
          <w:rFonts w:ascii="Calibri" w:hAnsi="Calibri" w:cs="Calibri"/>
          <w:color w:val="212121"/>
          <w:sz w:val="22"/>
          <w:szCs w:val="22"/>
          <w:lang w:val="lt-LT"/>
        </w:rPr>
      </w:pPr>
    </w:p>
    <w:p w14:paraId="5D5DBCA1" w14:textId="12B40E40" w:rsidR="000622E3" w:rsidRPr="00145095" w:rsidRDefault="000622E3" w:rsidP="00145095">
      <w:pPr>
        <w:pStyle w:val="NormalWeb"/>
        <w:spacing w:before="0" w:beforeAutospacing="0" w:after="0" w:afterAutospacing="0"/>
        <w:jc w:val="both"/>
        <w:rPr>
          <w:rFonts w:ascii="Calibri" w:hAnsi="Calibri" w:cs="Calibri"/>
          <w:color w:val="212121"/>
          <w:sz w:val="22"/>
          <w:szCs w:val="22"/>
          <w:lang w:val="lt-LT"/>
        </w:rPr>
      </w:pPr>
      <w:r w:rsidRPr="00145095">
        <w:rPr>
          <w:rFonts w:ascii="Calibri" w:hAnsi="Calibri" w:cs="Calibri"/>
          <w:color w:val="0D0D0D"/>
          <w:sz w:val="22"/>
          <w:szCs w:val="22"/>
          <w:lang w:val="lt-LT"/>
        </w:rPr>
        <w:t>„Kita vertus, dėl to, kad programinės įrangos pardavėjai neteisingai kvalifikuoja mokėjimus kaip autorinius atlyginimus, nėra pagrindo taikyti mokesčio prie šaltinio nuostatas. Neteisingai išskaičiuoto mokesčio susigrąžinimo procesas dažnai yra ilgas ir brangus.</w:t>
      </w:r>
      <w:r w:rsidRPr="00145095">
        <w:rPr>
          <w:rStyle w:val="apple-converted-space"/>
          <w:rFonts w:ascii="Calibri" w:eastAsiaTheme="majorEastAsia" w:hAnsi="Calibri" w:cs="Calibri"/>
          <w:color w:val="212121"/>
          <w:sz w:val="22"/>
          <w:szCs w:val="22"/>
          <w:lang w:val="lt-LT"/>
        </w:rPr>
        <w:t> </w:t>
      </w:r>
      <w:r w:rsidRPr="00145095">
        <w:rPr>
          <w:rFonts w:ascii="Calibri" w:hAnsi="Calibri" w:cs="Calibri"/>
          <w:color w:val="0D0D0D"/>
          <w:sz w:val="22"/>
          <w:szCs w:val="22"/>
          <w:lang w:val="lt-LT"/>
        </w:rPr>
        <w:t xml:space="preserve">Taip pat kyla dvigubo apmokestinimo pavojus, jei pardavėjo buveinės šalyje mokėjimas priskiriamas pajamoms, gautoms iš paslaugų teikimo ar produktų pardavimo, ir neleidžiama užskaityti užsienyje mokamo mokesčio prie šaltinio“, </w:t>
      </w:r>
      <w:r w:rsidRPr="00145095">
        <w:rPr>
          <w:rFonts w:ascii="Calibri" w:hAnsi="Calibri" w:cs="Calibri"/>
          <w:color w:val="0D0D0D"/>
          <w:sz w:val="22"/>
          <w:szCs w:val="22"/>
          <w:shd w:val="clear" w:color="auto" w:fill="FFFFFF"/>
          <w:lang w:val="lt-LT"/>
        </w:rPr>
        <w:t xml:space="preserve">– sako R. </w:t>
      </w:r>
      <w:proofErr w:type="spellStart"/>
      <w:r w:rsidRPr="00145095">
        <w:rPr>
          <w:rFonts w:ascii="Calibri" w:hAnsi="Calibri" w:cs="Calibri"/>
          <w:color w:val="0D0D0D"/>
          <w:sz w:val="22"/>
          <w:szCs w:val="22"/>
          <w:shd w:val="clear" w:color="auto" w:fill="FFFFFF"/>
          <w:lang w:val="lt-LT"/>
        </w:rPr>
        <w:t>Seniut</w:t>
      </w:r>
      <w:proofErr w:type="spellEnd"/>
      <w:r w:rsidRPr="00145095">
        <w:rPr>
          <w:rFonts w:ascii="Calibri" w:hAnsi="Calibri" w:cs="Calibri"/>
          <w:color w:val="0D0D0D"/>
          <w:sz w:val="22"/>
          <w:szCs w:val="22"/>
          <w:shd w:val="clear" w:color="auto" w:fill="FFFFFF"/>
          <w:lang w:val="lt-LT"/>
        </w:rPr>
        <w:t xml:space="preserve">. </w:t>
      </w:r>
    </w:p>
    <w:p w14:paraId="701A6246" w14:textId="77777777" w:rsidR="000622E3" w:rsidRPr="00145095" w:rsidRDefault="000622E3" w:rsidP="00145095">
      <w:pPr>
        <w:pStyle w:val="NormalWeb"/>
        <w:spacing w:before="0" w:beforeAutospacing="0" w:after="0" w:afterAutospacing="0"/>
        <w:jc w:val="both"/>
        <w:rPr>
          <w:rFonts w:ascii="Calibri" w:hAnsi="Calibri" w:cs="Calibri"/>
          <w:color w:val="212121"/>
          <w:sz w:val="22"/>
          <w:szCs w:val="22"/>
          <w:lang w:val="lt-LT"/>
        </w:rPr>
      </w:pPr>
      <w:r w:rsidRPr="00145095">
        <w:rPr>
          <w:rFonts w:ascii="Calibri" w:hAnsi="Calibri" w:cs="Calibri"/>
          <w:color w:val="0D0D0D"/>
          <w:sz w:val="22"/>
          <w:szCs w:val="22"/>
          <w:lang w:val="lt-LT"/>
        </w:rPr>
        <w:t> </w:t>
      </w:r>
    </w:p>
    <w:p w14:paraId="3F3905F3" w14:textId="77777777" w:rsidR="000622E3" w:rsidRPr="00145095" w:rsidRDefault="000622E3" w:rsidP="00145095">
      <w:pPr>
        <w:pStyle w:val="NormalWeb"/>
        <w:spacing w:before="0" w:beforeAutospacing="0" w:after="0" w:afterAutospacing="0"/>
        <w:jc w:val="both"/>
        <w:rPr>
          <w:rFonts w:ascii="Calibri" w:hAnsi="Calibri" w:cs="Calibri"/>
          <w:color w:val="212121"/>
          <w:sz w:val="22"/>
          <w:szCs w:val="22"/>
          <w:lang w:val="lt-LT"/>
        </w:rPr>
      </w:pPr>
      <w:r w:rsidRPr="00145095">
        <w:rPr>
          <w:rFonts w:ascii="Calibri" w:hAnsi="Calibri" w:cs="Calibri"/>
          <w:b/>
          <w:bCs/>
          <w:color w:val="0D0D0D"/>
          <w:sz w:val="22"/>
          <w:szCs w:val="22"/>
          <w:shd w:val="clear" w:color="auto" w:fill="FFFFFF"/>
          <w:lang w:val="lt-LT"/>
        </w:rPr>
        <w:t>Kaip valdyti pajamų mokesčio prie šaltinio riziką</w:t>
      </w:r>
    </w:p>
    <w:p w14:paraId="4311F6BE" w14:textId="2F8E5547" w:rsidR="000622E3" w:rsidRDefault="000622E3" w:rsidP="00145095">
      <w:pPr>
        <w:pStyle w:val="NormalWeb"/>
        <w:spacing w:before="0" w:beforeAutospacing="0" w:after="0" w:afterAutospacing="0"/>
        <w:jc w:val="both"/>
        <w:rPr>
          <w:rFonts w:ascii="Calibri" w:hAnsi="Calibri" w:cs="Calibri"/>
          <w:color w:val="0D0D0D"/>
          <w:sz w:val="22"/>
          <w:szCs w:val="22"/>
          <w:shd w:val="clear" w:color="auto" w:fill="FFFFFF"/>
          <w:lang w:val="lt-LT"/>
        </w:rPr>
      </w:pPr>
      <w:r w:rsidRPr="00145095">
        <w:rPr>
          <w:rFonts w:ascii="Calibri" w:hAnsi="Calibri" w:cs="Calibri"/>
          <w:color w:val="0D0D0D"/>
          <w:sz w:val="22"/>
          <w:szCs w:val="22"/>
          <w:shd w:val="clear" w:color="auto" w:fill="FFFFFF"/>
          <w:lang w:val="lt-LT"/>
        </w:rPr>
        <w:t xml:space="preserve">Advokatų kontoros NOOR teisininkas pažymi, kad sudarant </w:t>
      </w:r>
      <w:proofErr w:type="spellStart"/>
      <w:r w:rsidRPr="00145095">
        <w:rPr>
          <w:rFonts w:ascii="Calibri" w:hAnsi="Calibri" w:cs="Calibri"/>
          <w:color w:val="0D0D0D"/>
          <w:sz w:val="22"/>
          <w:szCs w:val="22"/>
          <w:shd w:val="clear" w:color="auto" w:fill="FFFFFF"/>
          <w:lang w:val="lt-LT"/>
        </w:rPr>
        <w:t>SaaS</w:t>
      </w:r>
      <w:proofErr w:type="spellEnd"/>
      <w:r w:rsidRPr="00145095">
        <w:rPr>
          <w:rFonts w:ascii="Calibri" w:hAnsi="Calibri" w:cs="Calibri"/>
          <w:color w:val="0D0D0D"/>
          <w:sz w:val="22"/>
          <w:szCs w:val="22"/>
          <w:shd w:val="clear" w:color="auto" w:fill="FFFFFF"/>
          <w:lang w:val="lt-LT"/>
        </w:rPr>
        <w:t xml:space="preserve"> sutartis svarbu išsamiai aptarti ir išdėstyti svarbiausias sutarties nuostatas, ypač sąlygas, susijusias su suteikiamomis teisėmis į programinę įrangą, pristatymo būdais (elektroninis ar kita), pritaikymo galimybėmis, papildomomis paslaugomis ir mokėjimo sąlygomis.</w:t>
      </w:r>
    </w:p>
    <w:p w14:paraId="6BB40D07" w14:textId="77777777" w:rsidR="00145095" w:rsidRPr="00145095" w:rsidRDefault="00145095" w:rsidP="00145095">
      <w:pPr>
        <w:pStyle w:val="NormalWeb"/>
        <w:spacing w:before="0" w:beforeAutospacing="0" w:after="0" w:afterAutospacing="0"/>
        <w:jc w:val="both"/>
        <w:rPr>
          <w:rFonts w:ascii="Calibri" w:hAnsi="Calibri" w:cs="Calibri"/>
          <w:color w:val="0D0D0D"/>
          <w:sz w:val="22"/>
          <w:szCs w:val="22"/>
          <w:shd w:val="clear" w:color="auto" w:fill="FFFFFF"/>
          <w:lang w:val="lt-LT"/>
        </w:rPr>
      </w:pPr>
    </w:p>
    <w:p w14:paraId="2333BBCE" w14:textId="54376BBF" w:rsidR="000622E3" w:rsidRPr="00145095" w:rsidRDefault="000622E3" w:rsidP="00145095">
      <w:pPr>
        <w:pStyle w:val="NormalWeb"/>
        <w:spacing w:before="0" w:beforeAutospacing="0" w:after="0" w:afterAutospacing="0"/>
        <w:jc w:val="both"/>
        <w:rPr>
          <w:rFonts w:ascii="Calibri" w:hAnsi="Calibri" w:cs="Calibri"/>
          <w:color w:val="212121"/>
          <w:sz w:val="22"/>
          <w:szCs w:val="22"/>
          <w:lang w:val="lt-LT"/>
        </w:rPr>
      </w:pPr>
      <w:r w:rsidRPr="00145095">
        <w:rPr>
          <w:rFonts w:ascii="Calibri" w:hAnsi="Calibri" w:cs="Calibri"/>
          <w:color w:val="0D0D0D"/>
          <w:sz w:val="22"/>
          <w:szCs w:val="22"/>
          <w:shd w:val="clear" w:color="auto" w:fill="FFFFFF"/>
          <w:lang w:val="lt-LT"/>
        </w:rPr>
        <w:t xml:space="preserve">„Neabejotina, kad programinės įrangos mokėjimų apibūdinimas dažnai būna sudėtingas ir komplikuotas. Norint sumažinti riziką, jam reikia skirti ypatingą dėmesį ir atlikti teisinį vertinimą. Tiek derybų dėl sutarties etape, tiek tada, kai kyla abejonių dėl atskirų mokėjimų klasifikavimo. Šiuo atveju svarbu tinkamai struktūrizuoti programinės įrangos tiekimo sutarties nuostatas ir įvertinti, kokiai pajamų rūšiai priskiriami mokėjimai pagal tokią sutartį“, – teigia R. </w:t>
      </w:r>
      <w:proofErr w:type="spellStart"/>
      <w:r w:rsidRPr="00145095">
        <w:rPr>
          <w:rFonts w:ascii="Calibri" w:hAnsi="Calibri" w:cs="Calibri"/>
          <w:color w:val="0D0D0D"/>
          <w:sz w:val="22"/>
          <w:szCs w:val="22"/>
          <w:shd w:val="clear" w:color="auto" w:fill="FFFFFF"/>
          <w:lang w:val="lt-LT"/>
        </w:rPr>
        <w:t>Seniut</w:t>
      </w:r>
      <w:proofErr w:type="spellEnd"/>
      <w:r w:rsidRPr="00145095">
        <w:rPr>
          <w:rFonts w:ascii="Calibri" w:hAnsi="Calibri" w:cs="Calibri"/>
          <w:color w:val="0D0D0D"/>
          <w:sz w:val="22"/>
          <w:szCs w:val="22"/>
          <w:shd w:val="clear" w:color="auto" w:fill="FFFFFF"/>
          <w:lang w:val="lt-LT"/>
        </w:rPr>
        <w:t xml:space="preserve">. </w:t>
      </w:r>
    </w:p>
    <w:p w14:paraId="12B88D14" w14:textId="35BE0C48" w:rsidR="000622E3" w:rsidRPr="00145095" w:rsidRDefault="000622E3" w:rsidP="00145095">
      <w:pPr>
        <w:pStyle w:val="xmsonormal"/>
        <w:spacing w:before="0" w:beforeAutospacing="0" w:after="0" w:afterAutospacing="0"/>
        <w:rPr>
          <w:rFonts w:ascii="Calibri" w:hAnsi="Calibri" w:cs="Calibri"/>
          <w:color w:val="212121"/>
          <w:sz w:val="22"/>
          <w:szCs w:val="22"/>
          <w:lang w:val="lt-LT"/>
        </w:rPr>
      </w:pPr>
    </w:p>
    <w:p w14:paraId="43A73646" w14:textId="047B9582" w:rsidR="005160C5" w:rsidRPr="00145095" w:rsidRDefault="009D6374" w:rsidP="00145095">
      <w:pPr>
        <w:rPr>
          <w:rFonts w:ascii="Calibri" w:hAnsi="Calibri" w:cs="Calibri"/>
          <w:b/>
          <w:bCs/>
          <w:sz w:val="22"/>
          <w:szCs w:val="22"/>
        </w:rPr>
      </w:pPr>
      <w:r w:rsidRPr="00145095">
        <w:rPr>
          <w:rFonts w:ascii="Calibri" w:hAnsi="Calibri" w:cs="Calibri"/>
          <w:b/>
          <w:bCs/>
          <w:sz w:val="22"/>
          <w:szCs w:val="22"/>
        </w:rPr>
        <w:t>Daugiau informacijos:</w:t>
      </w:r>
    </w:p>
    <w:p w14:paraId="71252649" w14:textId="2CBD10C1" w:rsidR="009D6374" w:rsidRPr="00145095" w:rsidRDefault="009D6374" w:rsidP="00145095">
      <w:pPr>
        <w:rPr>
          <w:rFonts w:ascii="Calibri" w:hAnsi="Calibri" w:cs="Calibri"/>
          <w:sz w:val="22"/>
          <w:szCs w:val="22"/>
        </w:rPr>
      </w:pPr>
      <w:r w:rsidRPr="00145095">
        <w:rPr>
          <w:rFonts w:ascii="Calibri" w:hAnsi="Calibri" w:cs="Calibri"/>
          <w:sz w:val="22"/>
          <w:szCs w:val="22"/>
        </w:rPr>
        <w:t>Justina Karsokaitė</w:t>
      </w:r>
      <w:r w:rsidRPr="00145095">
        <w:rPr>
          <w:rFonts w:ascii="Calibri" w:hAnsi="Calibri" w:cs="Calibri"/>
          <w:sz w:val="22"/>
          <w:szCs w:val="22"/>
        </w:rPr>
        <w:t xml:space="preserve">, </w:t>
      </w:r>
      <w:r w:rsidRPr="00145095">
        <w:rPr>
          <w:rFonts w:ascii="Calibri" w:hAnsi="Calibri" w:cs="Calibri"/>
          <w:sz w:val="22"/>
          <w:szCs w:val="22"/>
        </w:rPr>
        <w:t>advokatų kontoros NOOR</w:t>
      </w:r>
      <w:r w:rsidRPr="00145095">
        <w:rPr>
          <w:rFonts w:ascii="Calibri" w:hAnsi="Calibri" w:cs="Calibri"/>
          <w:sz w:val="22"/>
          <w:szCs w:val="22"/>
        </w:rPr>
        <w:t xml:space="preserve"> k</w:t>
      </w:r>
      <w:r w:rsidRPr="00145095">
        <w:rPr>
          <w:rFonts w:ascii="Calibri" w:hAnsi="Calibri" w:cs="Calibri"/>
          <w:sz w:val="22"/>
          <w:szCs w:val="22"/>
        </w:rPr>
        <w:t>omunikacijos vadovė</w:t>
      </w:r>
    </w:p>
    <w:p w14:paraId="1B601B35" w14:textId="0A719DB5" w:rsidR="009D6374" w:rsidRPr="00145095" w:rsidRDefault="009D6374" w:rsidP="00145095">
      <w:pPr>
        <w:rPr>
          <w:rFonts w:ascii="Calibri" w:hAnsi="Calibri" w:cs="Calibri"/>
          <w:sz w:val="22"/>
          <w:szCs w:val="22"/>
        </w:rPr>
      </w:pPr>
      <w:r w:rsidRPr="00145095">
        <w:rPr>
          <w:rFonts w:ascii="Calibri" w:hAnsi="Calibri" w:cs="Calibri"/>
          <w:sz w:val="22"/>
          <w:szCs w:val="22"/>
        </w:rPr>
        <w:t xml:space="preserve">+370 616 30170   /   </w:t>
      </w:r>
      <w:hyperlink r:id="rId4" w:history="1">
        <w:r w:rsidRPr="00145095">
          <w:rPr>
            <w:rStyle w:val="Hyperlink"/>
            <w:rFonts w:ascii="Calibri" w:hAnsi="Calibri" w:cs="Calibri"/>
            <w:sz w:val="22"/>
            <w:szCs w:val="22"/>
          </w:rPr>
          <w:t>justina.karsokaite@noor.lt</w:t>
        </w:r>
      </w:hyperlink>
      <w:r w:rsidRPr="00145095">
        <w:rPr>
          <w:rFonts w:ascii="Calibri" w:hAnsi="Calibri" w:cs="Calibri"/>
          <w:sz w:val="22"/>
          <w:szCs w:val="22"/>
        </w:rPr>
        <w:t xml:space="preserve">   /   </w:t>
      </w:r>
      <w:hyperlink r:id="rId5" w:history="1">
        <w:proofErr w:type="spellStart"/>
        <w:r w:rsidRPr="00145095">
          <w:rPr>
            <w:rStyle w:val="Hyperlink"/>
            <w:rFonts w:ascii="Calibri" w:hAnsi="Calibri" w:cs="Calibri"/>
            <w:sz w:val="22"/>
            <w:szCs w:val="22"/>
          </w:rPr>
          <w:t>noor.l</w:t>
        </w:r>
        <w:r w:rsidRPr="00145095">
          <w:rPr>
            <w:rStyle w:val="Hyperlink"/>
            <w:rFonts w:ascii="Calibri" w:hAnsi="Calibri" w:cs="Calibri"/>
            <w:sz w:val="22"/>
            <w:szCs w:val="22"/>
          </w:rPr>
          <w:t>t</w:t>
        </w:r>
        <w:proofErr w:type="spellEnd"/>
      </w:hyperlink>
    </w:p>
    <w:sectPr w:rsidR="009D6374" w:rsidRPr="001450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2E3"/>
    <w:rsid w:val="000251B9"/>
    <w:rsid w:val="000622E3"/>
    <w:rsid w:val="00145095"/>
    <w:rsid w:val="005160C5"/>
    <w:rsid w:val="005A3E9E"/>
    <w:rsid w:val="009D6374"/>
    <w:rsid w:val="00A569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5C8F3"/>
  <w15:chartTrackingRefBased/>
  <w15:docId w15:val="{B16D318A-1CC6-0743-8834-12CACA594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0622E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622E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622E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622E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622E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622E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622E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622E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622E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22E3"/>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0622E3"/>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0622E3"/>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0622E3"/>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0622E3"/>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0622E3"/>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0622E3"/>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0622E3"/>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0622E3"/>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0622E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22E3"/>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0622E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622E3"/>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0622E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622E3"/>
    <w:rPr>
      <w:i/>
      <w:iCs/>
      <w:color w:val="404040" w:themeColor="text1" w:themeTint="BF"/>
      <w:lang w:val="lt-LT"/>
    </w:rPr>
  </w:style>
  <w:style w:type="paragraph" w:styleId="ListParagraph">
    <w:name w:val="List Paragraph"/>
    <w:basedOn w:val="Normal"/>
    <w:uiPriority w:val="34"/>
    <w:qFormat/>
    <w:rsid w:val="000622E3"/>
    <w:pPr>
      <w:ind w:left="720"/>
      <w:contextualSpacing/>
    </w:pPr>
  </w:style>
  <w:style w:type="character" w:styleId="IntenseEmphasis">
    <w:name w:val="Intense Emphasis"/>
    <w:basedOn w:val="DefaultParagraphFont"/>
    <w:uiPriority w:val="21"/>
    <w:qFormat/>
    <w:rsid w:val="000622E3"/>
    <w:rPr>
      <w:i/>
      <w:iCs/>
      <w:color w:val="0F4761" w:themeColor="accent1" w:themeShade="BF"/>
    </w:rPr>
  </w:style>
  <w:style w:type="paragraph" w:styleId="IntenseQuote">
    <w:name w:val="Intense Quote"/>
    <w:basedOn w:val="Normal"/>
    <w:next w:val="Normal"/>
    <w:link w:val="IntenseQuoteChar"/>
    <w:uiPriority w:val="30"/>
    <w:qFormat/>
    <w:rsid w:val="000622E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622E3"/>
    <w:rPr>
      <w:i/>
      <w:iCs/>
      <w:color w:val="0F4761" w:themeColor="accent1" w:themeShade="BF"/>
      <w:lang w:val="lt-LT"/>
    </w:rPr>
  </w:style>
  <w:style w:type="character" w:styleId="IntenseReference">
    <w:name w:val="Intense Reference"/>
    <w:basedOn w:val="DefaultParagraphFont"/>
    <w:uiPriority w:val="32"/>
    <w:qFormat/>
    <w:rsid w:val="000622E3"/>
    <w:rPr>
      <w:b/>
      <w:bCs/>
      <w:smallCaps/>
      <w:color w:val="0F4761" w:themeColor="accent1" w:themeShade="BF"/>
      <w:spacing w:val="5"/>
    </w:rPr>
  </w:style>
  <w:style w:type="paragraph" w:styleId="NormalWeb">
    <w:name w:val="Normal (Web)"/>
    <w:basedOn w:val="Normal"/>
    <w:uiPriority w:val="99"/>
    <w:semiHidden/>
    <w:unhideWhenUsed/>
    <w:rsid w:val="000622E3"/>
    <w:pPr>
      <w:spacing w:before="100" w:beforeAutospacing="1" w:after="100" w:afterAutospacing="1"/>
    </w:pPr>
    <w:rPr>
      <w:rFonts w:ascii="Times New Roman" w:eastAsia="Times New Roman" w:hAnsi="Times New Roman" w:cs="Times New Roman"/>
      <w:kern w:val="0"/>
      <w:lang w:val="en-US"/>
      <w14:ligatures w14:val="none"/>
    </w:rPr>
  </w:style>
  <w:style w:type="character" w:customStyle="1" w:styleId="apple-converted-space">
    <w:name w:val="apple-converted-space"/>
    <w:basedOn w:val="DefaultParagraphFont"/>
    <w:rsid w:val="000622E3"/>
  </w:style>
  <w:style w:type="paragraph" w:customStyle="1" w:styleId="xmsonormal">
    <w:name w:val="xmsonormal"/>
    <w:basedOn w:val="Normal"/>
    <w:rsid w:val="000622E3"/>
    <w:pPr>
      <w:spacing w:before="100" w:beforeAutospacing="1" w:after="100" w:afterAutospacing="1"/>
    </w:pPr>
    <w:rPr>
      <w:rFonts w:ascii="Times New Roman" w:eastAsia="Times New Roman" w:hAnsi="Times New Roman" w:cs="Times New Roman"/>
      <w:kern w:val="0"/>
      <w:lang w:val="en-US"/>
      <w14:ligatures w14:val="none"/>
    </w:rPr>
  </w:style>
  <w:style w:type="character" w:styleId="Hyperlink">
    <w:name w:val="Hyperlink"/>
    <w:basedOn w:val="DefaultParagraphFont"/>
    <w:uiPriority w:val="99"/>
    <w:unhideWhenUsed/>
    <w:rsid w:val="000622E3"/>
    <w:rPr>
      <w:color w:val="0000FF"/>
      <w:u w:val="single"/>
    </w:rPr>
  </w:style>
  <w:style w:type="character" w:styleId="UnresolvedMention">
    <w:name w:val="Unresolved Mention"/>
    <w:basedOn w:val="DefaultParagraphFont"/>
    <w:uiPriority w:val="99"/>
    <w:semiHidden/>
    <w:unhideWhenUsed/>
    <w:rsid w:val="009D6374"/>
    <w:rPr>
      <w:color w:val="605E5C"/>
      <w:shd w:val="clear" w:color="auto" w:fill="E1DFDD"/>
    </w:rPr>
  </w:style>
  <w:style w:type="character" w:styleId="FollowedHyperlink">
    <w:name w:val="FollowedHyperlink"/>
    <w:basedOn w:val="DefaultParagraphFont"/>
    <w:uiPriority w:val="99"/>
    <w:semiHidden/>
    <w:unhideWhenUsed/>
    <w:rsid w:val="009D637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9605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oor.lt" TargetMode="External"/><Relationship Id="rId4" Type="http://schemas.openxmlformats.org/officeDocument/2006/relationships/hyperlink" Target="mailto:justina.karsokaite@noor.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3998</Words>
  <Characters>2279</Characters>
  <Application>Microsoft Office Word</Application>
  <DocSecurity>0</DocSecurity>
  <Lines>18</Lines>
  <Paragraphs>12</Paragraphs>
  <ScaleCrop>false</ScaleCrop>
  <Company/>
  <LinksUpToDate>false</LinksUpToDate>
  <CharactersWithSpaces>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Miknevičius</dc:creator>
  <cp:keywords/>
  <dc:description/>
  <cp:lastModifiedBy>Maksimas Reznikovas</cp:lastModifiedBy>
  <cp:revision>3</cp:revision>
  <dcterms:created xsi:type="dcterms:W3CDTF">2024-06-21T05:53:00Z</dcterms:created>
  <dcterms:modified xsi:type="dcterms:W3CDTF">2024-06-21T05:54:00Z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2024-06-21T05:52:53Z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340b8d4f-ef0f-456c-be71-1ffb2da2cf8e</vt:lpwstr>
  </property>
  <property fmtid="{D5CDD505-2E9C-101B-9397-08002B2CF9AE}" pid="8" name="MSIP_Label_97c4f187-5e78-4ccc-ba06-bd72f8c5cc80_ContentBits">
    <vt:lpwstr>0</vt:lpwstr>
  </property>
</Properties>
</file>