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3C34" w14:textId="016D0ED2" w:rsidR="00F84452" w:rsidRPr="005E62DD" w:rsidRDefault="00F84452"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 xml:space="preserve">Kas vyksta finansų rinkose? </w:t>
      </w:r>
      <w:r w:rsidR="005C1D74">
        <w:rPr>
          <w:rFonts w:ascii="Arial" w:eastAsia="Arial" w:hAnsi="Arial" w:cs="Arial"/>
          <w:b/>
          <w:bCs/>
          <w:color w:val="000000" w:themeColor="text1"/>
          <w:sz w:val="28"/>
          <w:szCs w:val="28"/>
        </w:rPr>
        <w:t>Birželio</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55AF2EC8" w14:textId="06EDB4EF"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51E220C8" w14:textId="77777777" w:rsidR="005C1D74" w:rsidRDefault="005C1D74" w:rsidP="005C1D74">
      <w:pPr>
        <w:spacing w:line="270" w:lineRule="exact"/>
        <w:jc w:val="both"/>
        <w:rPr>
          <w:rFonts w:ascii="Arial" w:eastAsia="Arial" w:hAnsi="Arial" w:cs="Arial"/>
          <w:b/>
          <w:bCs/>
          <w:noProof/>
          <w:color w:val="000000" w:themeColor="text1"/>
        </w:rPr>
      </w:pPr>
      <w:r w:rsidRPr="00886CA3">
        <w:rPr>
          <w:rFonts w:ascii="Arial" w:eastAsia="Arial" w:hAnsi="Arial" w:cs="Arial"/>
          <w:b/>
          <w:bCs/>
          <w:noProof/>
          <w:color w:val="000000" w:themeColor="text1"/>
        </w:rPr>
        <w:t>Birželį tiek bendras pasaulio akcijų, tiek globalus obligacijų indeksas fiksavo teigiamą grąžą. Vis tik, skirtis tarp regionų ir sektorių buvo, ko gero, didžiausia nuo šių metų pradžios. JAV toliau dominavo didelės programinės įrangos, puslaidininkių, nebūtinojo vartojimo prekių įmonių akcijos, o Europoje technologijų sektorius taip pat rodė reikšmingą augimą.</w:t>
      </w:r>
    </w:p>
    <w:p w14:paraId="6B107B09" w14:textId="77777777" w:rsidR="005C1D74" w:rsidRPr="00886CA3" w:rsidRDefault="005C1D74" w:rsidP="005C1D74">
      <w:pPr>
        <w:spacing w:line="270" w:lineRule="exact"/>
        <w:jc w:val="both"/>
        <w:rPr>
          <w:rFonts w:ascii="Arial" w:eastAsia="Arial" w:hAnsi="Arial" w:cs="Arial"/>
          <w:b/>
          <w:bCs/>
          <w:noProof/>
          <w:color w:val="000000" w:themeColor="text1"/>
        </w:rPr>
      </w:pPr>
      <w:r>
        <w:rPr>
          <w:rFonts w:ascii="Arial" w:eastAsia="Arial" w:hAnsi="Arial" w:cs="Arial"/>
          <w:noProof/>
          <w:color w:val="000000" w:themeColor="text1"/>
        </w:rPr>
        <w:t xml:space="preserve">Vis dėlto, </w:t>
      </w:r>
      <w:r w:rsidRPr="30D1AA8A">
        <w:rPr>
          <w:rFonts w:ascii="Arial" w:eastAsia="Arial" w:hAnsi="Arial" w:cs="Arial"/>
          <w:noProof/>
          <w:color w:val="000000" w:themeColor="text1"/>
        </w:rPr>
        <w:t>politiniai neramumai Prancūzijoje ir nuosaikus E</w:t>
      </w:r>
      <w:r>
        <w:rPr>
          <w:rFonts w:ascii="Arial" w:eastAsia="Arial" w:hAnsi="Arial" w:cs="Arial"/>
          <w:noProof/>
          <w:color w:val="000000" w:themeColor="text1"/>
        </w:rPr>
        <w:t>uropos centrinio banko (ECB) požiūris</w:t>
      </w:r>
      <w:r w:rsidRPr="30D1AA8A">
        <w:rPr>
          <w:rFonts w:ascii="Arial" w:eastAsia="Arial" w:hAnsi="Arial" w:cs="Arial"/>
          <w:noProof/>
          <w:color w:val="000000" w:themeColor="text1"/>
        </w:rPr>
        <w:t xml:space="preserve"> prisidėjo, kad </w:t>
      </w:r>
      <w:r>
        <w:rPr>
          <w:rFonts w:ascii="Arial" w:eastAsia="Arial" w:hAnsi="Arial" w:cs="Arial"/>
          <w:noProof/>
          <w:color w:val="000000" w:themeColor="text1"/>
        </w:rPr>
        <w:t xml:space="preserve">regione </w:t>
      </w:r>
      <w:r w:rsidRPr="30D1AA8A">
        <w:rPr>
          <w:rFonts w:ascii="Arial" w:eastAsia="Arial" w:hAnsi="Arial" w:cs="Arial"/>
          <w:noProof/>
          <w:color w:val="000000" w:themeColor="text1"/>
        </w:rPr>
        <w:t>9 iš 11 sektorių fiksavo neigiamą rezultatą. Kinijos akcijų indeksas</w:t>
      </w:r>
      <w:r>
        <w:rPr>
          <w:rFonts w:ascii="Arial" w:eastAsia="Arial" w:hAnsi="Arial" w:cs="Arial"/>
          <w:noProof/>
          <w:color w:val="000000" w:themeColor="text1"/>
        </w:rPr>
        <w:t>,</w:t>
      </w:r>
      <w:r w:rsidRPr="30D1AA8A">
        <w:rPr>
          <w:rFonts w:ascii="Arial" w:eastAsia="Arial" w:hAnsi="Arial" w:cs="Arial"/>
          <w:noProof/>
          <w:color w:val="000000" w:themeColor="text1"/>
        </w:rPr>
        <w:t xml:space="preserve"> nukritęs daugiau nei 10</w:t>
      </w:r>
      <w:r>
        <w:rPr>
          <w:rFonts w:ascii="Arial" w:eastAsia="Arial" w:hAnsi="Arial" w:cs="Arial"/>
          <w:noProof/>
          <w:color w:val="000000" w:themeColor="text1"/>
        </w:rPr>
        <w:t xml:space="preserve"> proc.</w:t>
      </w:r>
      <w:r w:rsidRPr="30D1AA8A">
        <w:rPr>
          <w:rFonts w:ascii="Arial" w:eastAsia="Arial" w:hAnsi="Arial" w:cs="Arial"/>
          <w:noProof/>
          <w:color w:val="000000" w:themeColor="text1"/>
        </w:rPr>
        <w:t xml:space="preserve"> nuo šių metų viršūnės dėl padidėjusios politinės rizikos</w:t>
      </w:r>
      <w:r>
        <w:rPr>
          <w:rFonts w:ascii="Arial" w:eastAsia="Arial" w:hAnsi="Arial" w:cs="Arial"/>
          <w:noProof/>
          <w:color w:val="000000" w:themeColor="text1"/>
        </w:rPr>
        <w:t>,</w:t>
      </w:r>
      <w:r w:rsidRPr="30D1AA8A">
        <w:rPr>
          <w:rFonts w:ascii="Arial" w:eastAsia="Arial" w:hAnsi="Arial" w:cs="Arial"/>
          <w:noProof/>
          <w:color w:val="000000" w:themeColor="text1"/>
        </w:rPr>
        <w:t xml:space="preserve"> įėjo į korekcijos teritoriją.</w:t>
      </w:r>
    </w:p>
    <w:p w14:paraId="724CF510" w14:textId="05A454DC" w:rsidR="005C1D74" w:rsidRPr="00BB16CE" w:rsidRDefault="005C1D74" w:rsidP="005C1D74">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t>Obligacijų rinkoje išsiskyrė sentimentas tarp JAV ir Europos palūkanų normų. Rinkos dalyviai, pasirodžius mažesniems infliacijos duomenims ir kiek silpnesniam vartojimui, suskubo įkainoti du JAV Federalinio rezervo palūkanų normų mažinimus iki kitų metų sausio. Europoje, kurioje investuotojai jau senai įskaičiavo birželio pradžioje pradėtas mažinti palūkanų normas, sentimentas keitėsi ECB padidinus infliacijos prognozę tiek 2025, tiek 2026 metams.</w:t>
      </w:r>
    </w:p>
    <w:p w14:paraId="0D625D21" w14:textId="77777777" w:rsidR="005C1D74" w:rsidRPr="00161532" w:rsidRDefault="005C1D74" w:rsidP="005C1D74">
      <w:pPr>
        <w:spacing w:line="270" w:lineRule="exact"/>
        <w:jc w:val="both"/>
        <w:rPr>
          <w:rFonts w:ascii="Arial" w:eastAsia="Arial" w:hAnsi="Arial" w:cs="Arial"/>
          <w:b/>
          <w:bCs/>
          <w:noProof/>
          <w:color w:val="000000" w:themeColor="text1"/>
        </w:rPr>
      </w:pPr>
      <w:r>
        <w:rPr>
          <w:rFonts w:ascii="Arial" w:eastAsia="Arial" w:hAnsi="Arial" w:cs="Arial"/>
          <w:b/>
          <w:bCs/>
          <w:noProof/>
          <w:color w:val="000000" w:themeColor="text1"/>
        </w:rPr>
        <w:t>Rinkos ir rinkimai</w:t>
      </w:r>
    </w:p>
    <w:p w14:paraId="119B6746" w14:textId="4850EA12" w:rsidR="005C1D74" w:rsidRDefault="005C1D74" w:rsidP="005C1D74">
      <w:pPr>
        <w:spacing w:line="270" w:lineRule="exact"/>
        <w:jc w:val="both"/>
        <w:rPr>
          <w:rFonts w:ascii="Arial" w:eastAsia="Arial" w:hAnsi="Arial" w:cs="Arial"/>
        </w:rPr>
      </w:pPr>
      <w:r w:rsidRPr="00161532">
        <w:rPr>
          <w:rFonts w:ascii="Arial" w:eastAsia="Arial" w:hAnsi="Arial" w:cs="Arial"/>
        </w:rPr>
        <w:t xml:space="preserve">Politiniai pokyčiai retai reikšmingai keičia rinkas, tačiau birželį tai buvo pagrindinė tema Europoje. Prancūzijos </w:t>
      </w:r>
      <w:r>
        <w:rPr>
          <w:rFonts w:ascii="Arial" w:eastAsia="Arial" w:hAnsi="Arial" w:cs="Arial"/>
        </w:rPr>
        <w:t>p</w:t>
      </w:r>
      <w:r w:rsidRPr="00161532">
        <w:rPr>
          <w:rFonts w:ascii="Arial" w:eastAsia="Arial" w:hAnsi="Arial" w:cs="Arial"/>
        </w:rPr>
        <w:t xml:space="preserve">rezidentas </w:t>
      </w:r>
      <w:proofErr w:type="spellStart"/>
      <w:r w:rsidRPr="00161532">
        <w:rPr>
          <w:rFonts w:ascii="Arial" w:eastAsia="Arial" w:hAnsi="Arial" w:cs="Arial"/>
        </w:rPr>
        <w:t>E</w:t>
      </w:r>
      <w:r>
        <w:rPr>
          <w:rFonts w:ascii="Arial" w:eastAsia="Arial" w:hAnsi="Arial" w:cs="Arial"/>
        </w:rPr>
        <w:t>m</w:t>
      </w:r>
      <w:r>
        <w:rPr>
          <w:rFonts w:ascii="Arial" w:eastAsia="Arial" w:hAnsi="Arial" w:cs="Arial"/>
        </w:rPr>
        <w:t>m</w:t>
      </w:r>
      <w:r>
        <w:rPr>
          <w:rFonts w:ascii="Arial" w:eastAsia="Arial" w:hAnsi="Arial" w:cs="Arial"/>
        </w:rPr>
        <w:t>anuelis</w:t>
      </w:r>
      <w:proofErr w:type="spellEnd"/>
      <w:r w:rsidRPr="00161532">
        <w:rPr>
          <w:rFonts w:ascii="Arial" w:eastAsia="Arial" w:hAnsi="Arial" w:cs="Arial"/>
        </w:rPr>
        <w:t xml:space="preserve"> </w:t>
      </w:r>
      <w:proofErr w:type="spellStart"/>
      <w:r w:rsidRPr="00161532">
        <w:rPr>
          <w:rFonts w:ascii="Arial" w:eastAsia="Arial" w:hAnsi="Arial" w:cs="Arial"/>
        </w:rPr>
        <w:t>Ma</w:t>
      </w:r>
      <w:r>
        <w:rPr>
          <w:rFonts w:ascii="Arial" w:eastAsia="Arial" w:hAnsi="Arial" w:cs="Arial"/>
        </w:rPr>
        <w:t>c</w:t>
      </w:r>
      <w:r w:rsidRPr="00161532">
        <w:rPr>
          <w:rFonts w:ascii="Arial" w:eastAsia="Arial" w:hAnsi="Arial" w:cs="Arial"/>
        </w:rPr>
        <w:t>ronas</w:t>
      </w:r>
      <w:proofErr w:type="spellEnd"/>
      <w:r w:rsidRPr="00161532">
        <w:rPr>
          <w:rFonts w:ascii="Arial" w:eastAsia="Arial" w:hAnsi="Arial" w:cs="Arial"/>
        </w:rPr>
        <w:t xml:space="preserve"> nustebino rinkos dalyvius nusprendęs paske</w:t>
      </w:r>
      <w:r>
        <w:rPr>
          <w:rFonts w:ascii="Arial" w:eastAsia="Arial" w:hAnsi="Arial" w:cs="Arial"/>
        </w:rPr>
        <w:t>l</w:t>
      </w:r>
      <w:r w:rsidRPr="00161532">
        <w:rPr>
          <w:rFonts w:ascii="Arial" w:eastAsia="Arial" w:hAnsi="Arial" w:cs="Arial"/>
        </w:rPr>
        <w:t>bti išankstinius parlamento rinkimus po nuvylusio partijos pasirodymo Europos Parlamento rinkimuose.</w:t>
      </w:r>
      <w:r>
        <w:rPr>
          <w:rFonts w:ascii="Arial" w:eastAsia="Arial" w:hAnsi="Arial" w:cs="Arial"/>
        </w:rPr>
        <w:t xml:space="preserve"> Į politinę riziką greitai sureagavo</w:t>
      </w:r>
      <w:r w:rsidRPr="00161532">
        <w:rPr>
          <w:rFonts w:ascii="Arial" w:eastAsia="Arial" w:hAnsi="Arial" w:cs="Arial"/>
        </w:rPr>
        <w:t xml:space="preserve"> skolos rinka – Prancūzijos 10 m. trukmės obligacijos padidino savo premiją</w:t>
      </w:r>
      <w:r>
        <w:rPr>
          <w:rFonts w:ascii="Arial" w:eastAsia="Arial" w:hAnsi="Arial" w:cs="Arial"/>
        </w:rPr>
        <w:t>,</w:t>
      </w:r>
      <w:r w:rsidRPr="00161532">
        <w:rPr>
          <w:rFonts w:ascii="Arial" w:eastAsia="Arial" w:hAnsi="Arial" w:cs="Arial"/>
        </w:rPr>
        <w:t xml:space="preserve"> lyginant su tos pačios </w:t>
      </w:r>
      <w:r>
        <w:rPr>
          <w:rFonts w:ascii="Arial" w:eastAsia="Arial" w:hAnsi="Arial" w:cs="Arial"/>
        </w:rPr>
        <w:t>trukmės</w:t>
      </w:r>
      <w:r w:rsidRPr="00161532">
        <w:rPr>
          <w:rFonts w:ascii="Arial" w:eastAsia="Arial" w:hAnsi="Arial" w:cs="Arial"/>
        </w:rPr>
        <w:t xml:space="preserve"> </w:t>
      </w:r>
      <w:r>
        <w:rPr>
          <w:rFonts w:ascii="Arial" w:eastAsia="Arial" w:hAnsi="Arial" w:cs="Arial"/>
        </w:rPr>
        <w:t>„</w:t>
      </w:r>
      <w:r w:rsidRPr="00161532">
        <w:rPr>
          <w:rFonts w:ascii="Arial" w:eastAsia="Arial" w:hAnsi="Arial" w:cs="Arial"/>
        </w:rPr>
        <w:t>saugiomis</w:t>
      </w:r>
      <w:r>
        <w:rPr>
          <w:rFonts w:ascii="Arial" w:eastAsia="Arial" w:hAnsi="Arial" w:cs="Arial"/>
        </w:rPr>
        <w:t>“</w:t>
      </w:r>
      <w:r w:rsidRPr="00161532">
        <w:rPr>
          <w:rFonts w:ascii="Arial" w:eastAsia="Arial" w:hAnsi="Arial" w:cs="Arial"/>
        </w:rPr>
        <w:t xml:space="preserve"> Vokietijos</w:t>
      </w:r>
      <w:r>
        <w:rPr>
          <w:rFonts w:ascii="Arial" w:eastAsia="Arial" w:hAnsi="Arial" w:cs="Arial"/>
        </w:rPr>
        <w:t xml:space="preserve"> obligacijomis,</w:t>
      </w:r>
      <w:r w:rsidRPr="00161532">
        <w:rPr>
          <w:rFonts w:ascii="Arial" w:eastAsia="Arial" w:hAnsi="Arial" w:cs="Arial"/>
        </w:rPr>
        <w:t xml:space="preserve"> nuo 0</w:t>
      </w:r>
      <w:r>
        <w:rPr>
          <w:rFonts w:ascii="Arial" w:eastAsia="Arial" w:hAnsi="Arial" w:cs="Arial"/>
        </w:rPr>
        <w:t>,</w:t>
      </w:r>
      <w:r w:rsidRPr="00161532">
        <w:rPr>
          <w:rFonts w:ascii="Arial" w:eastAsia="Arial" w:hAnsi="Arial" w:cs="Arial"/>
        </w:rPr>
        <w:t>5</w:t>
      </w:r>
      <w:r>
        <w:rPr>
          <w:rFonts w:ascii="Arial" w:eastAsia="Arial" w:hAnsi="Arial" w:cs="Arial"/>
        </w:rPr>
        <w:t xml:space="preserve"> proc.</w:t>
      </w:r>
      <w:r w:rsidRPr="00161532">
        <w:rPr>
          <w:rFonts w:ascii="Arial" w:eastAsia="Arial" w:hAnsi="Arial" w:cs="Arial"/>
        </w:rPr>
        <w:t xml:space="preserve"> iki 0</w:t>
      </w:r>
      <w:r>
        <w:rPr>
          <w:rFonts w:ascii="Arial" w:eastAsia="Arial" w:hAnsi="Arial" w:cs="Arial"/>
        </w:rPr>
        <w:t>,</w:t>
      </w:r>
      <w:r w:rsidRPr="00161532">
        <w:rPr>
          <w:rFonts w:ascii="Arial" w:eastAsia="Arial" w:hAnsi="Arial" w:cs="Arial"/>
        </w:rPr>
        <w:t>8</w:t>
      </w:r>
      <w:r>
        <w:rPr>
          <w:rFonts w:ascii="Arial" w:eastAsia="Arial" w:hAnsi="Arial" w:cs="Arial"/>
        </w:rPr>
        <w:t xml:space="preserve"> proc</w:t>
      </w:r>
      <w:r w:rsidRPr="00161532">
        <w:rPr>
          <w:rFonts w:ascii="Arial" w:eastAsia="Arial" w:hAnsi="Arial" w:cs="Arial"/>
        </w:rPr>
        <w:t xml:space="preserve">. </w:t>
      </w:r>
      <w:r w:rsidRPr="00886CA3">
        <w:rPr>
          <w:rFonts w:ascii="Arial" w:eastAsia="Arial" w:hAnsi="Arial" w:cs="Arial"/>
        </w:rPr>
        <w:t xml:space="preserve">Pagrindinis </w:t>
      </w:r>
      <w:r>
        <w:rPr>
          <w:rFonts w:ascii="Arial" w:eastAsia="Arial" w:hAnsi="Arial" w:cs="Arial"/>
        </w:rPr>
        <w:t xml:space="preserve">Prancūzijos akcijų </w:t>
      </w:r>
      <w:proofErr w:type="spellStart"/>
      <w:r>
        <w:rPr>
          <w:rFonts w:ascii="Arial" w:eastAsia="Arial" w:hAnsi="Arial" w:cs="Arial"/>
        </w:rPr>
        <w:t>indekas</w:t>
      </w:r>
      <w:proofErr w:type="spellEnd"/>
      <w:r>
        <w:rPr>
          <w:rFonts w:ascii="Arial" w:eastAsia="Arial" w:hAnsi="Arial" w:cs="Arial"/>
        </w:rPr>
        <w:t xml:space="preserve"> „CAC 40“ per savaitę krito daugiau nei 7 proc.</w:t>
      </w:r>
    </w:p>
    <w:p w14:paraId="11D5A952" w14:textId="77777777" w:rsidR="005C1D74" w:rsidRPr="00226E14" w:rsidRDefault="005C1D74" w:rsidP="005C1D74">
      <w:pPr>
        <w:spacing w:line="270" w:lineRule="exact"/>
        <w:jc w:val="both"/>
        <w:rPr>
          <w:rFonts w:ascii="Arial" w:eastAsia="Arial" w:hAnsi="Arial" w:cs="Arial"/>
        </w:rPr>
      </w:pPr>
      <w:r w:rsidRPr="00161532">
        <w:rPr>
          <w:rFonts w:ascii="Arial" w:eastAsia="Arial" w:hAnsi="Arial" w:cs="Arial"/>
        </w:rPr>
        <w:t xml:space="preserve">Kas išgąsdino rinkos dalyvius? Paskutinės rinkėjų apklausos rodo, kad </w:t>
      </w:r>
      <w:r>
        <w:rPr>
          <w:rFonts w:ascii="Arial" w:eastAsia="Arial" w:hAnsi="Arial" w:cs="Arial"/>
        </w:rPr>
        <w:t xml:space="preserve">Prancūzijos </w:t>
      </w:r>
      <w:r w:rsidRPr="00161532">
        <w:rPr>
          <w:rFonts w:ascii="Arial" w:eastAsia="Arial" w:hAnsi="Arial" w:cs="Arial"/>
        </w:rPr>
        <w:t xml:space="preserve">parlamento rinkimuose geriausiai turėtų pasirodyti kraštutinių dešiniųjų </w:t>
      </w:r>
      <w:r>
        <w:rPr>
          <w:rFonts w:ascii="Arial" w:eastAsia="Arial" w:hAnsi="Arial" w:cs="Arial"/>
        </w:rPr>
        <w:t>„</w:t>
      </w:r>
      <w:r w:rsidRPr="00161532">
        <w:rPr>
          <w:rFonts w:ascii="Arial" w:eastAsia="Arial" w:hAnsi="Arial" w:cs="Arial"/>
        </w:rPr>
        <w:t>Nacionalinis sambūris</w:t>
      </w:r>
      <w:r>
        <w:rPr>
          <w:rFonts w:ascii="Arial" w:eastAsia="Arial" w:hAnsi="Arial" w:cs="Arial"/>
        </w:rPr>
        <w:t>“</w:t>
      </w:r>
      <w:r w:rsidRPr="00161532">
        <w:rPr>
          <w:rFonts w:ascii="Arial" w:eastAsia="Arial" w:hAnsi="Arial" w:cs="Arial"/>
        </w:rPr>
        <w:t xml:space="preserve"> su 36</w:t>
      </w:r>
      <w:r>
        <w:rPr>
          <w:rFonts w:ascii="Arial" w:eastAsia="Arial" w:hAnsi="Arial" w:cs="Arial"/>
        </w:rPr>
        <w:t xml:space="preserve"> proc.</w:t>
      </w:r>
      <w:r w:rsidRPr="00161532">
        <w:rPr>
          <w:rFonts w:ascii="Arial" w:eastAsia="Arial" w:hAnsi="Arial" w:cs="Arial"/>
        </w:rPr>
        <w:t xml:space="preserve"> bals</w:t>
      </w:r>
      <w:r w:rsidRPr="30D1AA8A">
        <w:rPr>
          <w:rFonts w:ascii="Arial" w:eastAsia="Arial" w:hAnsi="Arial" w:cs="Arial"/>
        </w:rPr>
        <w:t xml:space="preserve">ų, o antrą vietą </w:t>
      </w:r>
      <w:r>
        <w:rPr>
          <w:rFonts w:ascii="Arial" w:eastAsia="Arial" w:hAnsi="Arial" w:cs="Arial"/>
        </w:rPr>
        <w:t xml:space="preserve">turėtų </w:t>
      </w:r>
      <w:r w:rsidRPr="30D1AA8A">
        <w:rPr>
          <w:rFonts w:ascii="Arial" w:eastAsia="Arial" w:hAnsi="Arial" w:cs="Arial"/>
        </w:rPr>
        <w:t>užimti kairiojo sparno populistų aljansas su 29</w:t>
      </w:r>
      <w:r>
        <w:rPr>
          <w:rFonts w:ascii="Arial" w:eastAsia="Arial" w:hAnsi="Arial" w:cs="Arial"/>
        </w:rPr>
        <w:t xml:space="preserve"> proc.</w:t>
      </w:r>
      <w:r w:rsidRPr="30D1AA8A">
        <w:rPr>
          <w:rFonts w:ascii="Arial" w:eastAsia="Arial" w:hAnsi="Arial" w:cs="Arial"/>
        </w:rPr>
        <w:t xml:space="preserve"> balsų. Abi partijos planuoja padidinti biudžeto išlaidas įvairiais būdais: keliant viešojo sektoriaus darbo užmokestį, subsidijuojant nekilnojamo turto įsigijimą bei didinant pensinį amžių.</w:t>
      </w:r>
    </w:p>
    <w:p w14:paraId="4CCD6DCE" w14:textId="77777777" w:rsidR="005C1D74" w:rsidRPr="00161532" w:rsidRDefault="005C1D74" w:rsidP="005C1D74">
      <w:pPr>
        <w:spacing w:line="270" w:lineRule="exact"/>
        <w:jc w:val="both"/>
        <w:rPr>
          <w:rFonts w:ascii="Arial" w:eastAsia="Arial" w:hAnsi="Arial" w:cs="Arial"/>
        </w:rPr>
      </w:pPr>
      <w:r w:rsidRPr="00161532">
        <w:rPr>
          <w:rFonts w:ascii="Arial" w:eastAsia="Arial" w:hAnsi="Arial" w:cs="Arial"/>
        </w:rPr>
        <w:t>Populistinės politikos pokyčiai kelia neužtikrintumą dėl šalies ateities, ypač kai Prancūzijos BVP deficitas pernai siekė 5,5 proc. Šalis sulaukė tiek priekaištų iš Europos Komisijos, tiek TVF rekomendacijų kuo skubiau mažinti skolą. Nors šalies akcijų ir obligacijų rinkos jau pasikoregavo, tikėtis tolimesnio nuosmukio sunku. Istorija rodo, kad tokie perdėti politiniai pažadai netampa realybe.</w:t>
      </w:r>
    </w:p>
    <w:p w14:paraId="7FFA4875" w14:textId="2E51B39A" w:rsidR="005C1D74" w:rsidRPr="00161532" w:rsidRDefault="005C1D74" w:rsidP="005C1D74">
      <w:pPr>
        <w:spacing w:line="270" w:lineRule="exact"/>
        <w:jc w:val="both"/>
        <w:rPr>
          <w:rFonts w:ascii="Arial" w:eastAsia="Arial" w:hAnsi="Arial" w:cs="Arial"/>
        </w:rPr>
      </w:pPr>
      <w:r w:rsidRPr="00161532">
        <w:rPr>
          <w:rFonts w:ascii="Arial" w:eastAsia="Arial" w:hAnsi="Arial" w:cs="Arial"/>
        </w:rPr>
        <w:t xml:space="preserve">Vienas pavyzdžių </w:t>
      </w:r>
      <w:r>
        <w:rPr>
          <w:rFonts w:ascii="Arial" w:eastAsia="Arial" w:hAnsi="Arial" w:cs="Arial"/>
        </w:rPr>
        <w:t>–</w:t>
      </w:r>
      <w:r w:rsidRPr="00161532">
        <w:rPr>
          <w:rFonts w:ascii="Arial" w:eastAsia="Arial" w:hAnsi="Arial" w:cs="Arial"/>
        </w:rPr>
        <w:t xml:space="preserve"> 2017 m. Prancūzijos </w:t>
      </w:r>
      <w:r>
        <w:rPr>
          <w:rFonts w:ascii="Arial" w:eastAsia="Arial" w:hAnsi="Arial" w:cs="Arial"/>
        </w:rPr>
        <w:t>p</w:t>
      </w:r>
      <w:r w:rsidRPr="00161532">
        <w:rPr>
          <w:rFonts w:ascii="Arial" w:eastAsia="Arial" w:hAnsi="Arial" w:cs="Arial"/>
        </w:rPr>
        <w:t>rezidento rinkimai, kuomet makroekonominiai rodikliai gerėjo (kaip ir dabar), o kraštutinių dešiniųjų kandidatė M</w:t>
      </w:r>
      <w:r>
        <w:rPr>
          <w:rFonts w:ascii="Arial" w:eastAsia="Arial" w:hAnsi="Arial" w:cs="Arial"/>
        </w:rPr>
        <w:t>ari</w:t>
      </w:r>
      <w:r>
        <w:rPr>
          <w:rFonts w:ascii="Arial" w:eastAsia="Arial" w:hAnsi="Arial" w:cs="Arial"/>
        </w:rPr>
        <w:t>n</w:t>
      </w:r>
      <w:r>
        <w:rPr>
          <w:rFonts w:ascii="Arial" w:eastAsia="Arial" w:hAnsi="Arial" w:cs="Arial"/>
        </w:rPr>
        <w:t>e</w:t>
      </w:r>
      <w:r w:rsidRPr="00161532">
        <w:rPr>
          <w:rFonts w:ascii="Arial" w:eastAsia="Arial" w:hAnsi="Arial" w:cs="Arial"/>
        </w:rPr>
        <w:t xml:space="preserve"> </w:t>
      </w:r>
      <w:proofErr w:type="spellStart"/>
      <w:r w:rsidRPr="00161532">
        <w:rPr>
          <w:rFonts w:ascii="Arial" w:eastAsia="Arial" w:hAnsi="Arial" w:cs="Arial"/>
        </w:rPr>
        <w:t>Le</w:t>
      </w:r>
      <w:proofErr w:type="spellEnd"/>
      <w:r w:rsidRPr="00161532">
        <w:rPr>
          <w:rFonts w:ascii="Arial" w:eastAsia="Arial" w:hAnsi="Arial" w:cs="Arial"/>
        </w:rPr>
        <w:t xml:space="preserve"> </w:t>
      </w:r>
      <w:proofErr w:type="spellStart"/>
      <w:r w:rsidRPr="00161532">
        <w:rPr>
          <w:rFonts w:ascii="Arial" w:eastAsia="Arial" w:hAnsi="Arial" w:cs="Arial"/>
        </w:rPr>
        <w:t>Pen</w:t>
      </w:r>
      <w:proofErr w:type="spellEnd"/>
      <w:r w:rsidRPr="00161532">
        <w:rPr>
          <w:rFonts w:ascii="Arial" w:eastAsia="Arial" w:hAnsi="Arial" w:cs="Arial"/>
        </w:rPr>
        <w:t xml:space="preserve"> turėjo neblogus šansus laimėti. Vis tik, antrame rinkimų ture nesulaukus prognozuoto palaikymo ir neišsipildžius baimėms dėl galimo Prancūzijos išstojimo iš ES šalies akcijos sparčiai augo ir bendrą Europos indeksą per penkis mėnesius aplenkė 4 proc.</w:t>
      </w:r>
    </w:p>
    <w:p w14:paraId="3FBA9B6D" w14:textId="410F889C" w:rsidR="005C1D74" w:rsidRPr="00161532" w:rsidRDefault="005C1D74" w:rsidP="005C1D74">
      <w:pPr>
        <w:spacing w:line="270" w:lineRule="exact"/>
        <w:jc w:val="both"/>
        <w:rPr>
          <w:rFonts w:ascii="Arial" w:eastAsia="Arial" w:hAnsi="Arial" w:cs="Arial"/>
        </w:rPr>
      </w:pPr>
      <w:r w:rsidRPr="00161532">
        <w:rPr>
          <w:rFonts w:ascii="Arial" w:eastAsia="Arial" w:hAnsi="Arial" w:cs="Arial"/>
        </w:rPr>
        <w:t xml:space="preserve">Kitas </w:t>
      </w:r>
      <w:r>
        <w:rPr>
          <w:rFonts w:ascii="Arial" w:eastAsia="Arial" w:hAnsi="Arial" w:cs="Arial"/>
        </w:rPr>
        <w:t>panašus</w:t>
      </w:r>
      <w:r w:rsidRPr="00161532">
        <w:rPr>
          <w:rFonts w:ascii="Arial" w:eastAsia="Arial" w:hAnsi="Arial" w:cs="Arial"/>
        </w:rPr>
        <w:t xml:space="preserve"> atvejis – 2018 m. Italijos parlamento rinkimai, </w:t>
      </w:r>
      <w:r>
        <w:rPr>
          <w:rFonts w:ascii="Arial" w:eastAsia="Arial" w:hAnsi="Arial" w:cs="Arial"/>
        </w:rPr>
        <w:t>kai</w:t>
      </w:r>
      <w:r w:rsidRPr="00161532">
        <w:rPr>
          <w:rFonts w:ascii="Arial" w:eastAsia="Arial" w:hAnsi="Arial" w:cs="Arial"/>
        </w:rPr>
        <w:t xml:space="preserve"> </w:t>
      </w:r>
      <w:proofErr w:type="spellStart"/>
      <w:r w:rsidRPr="00161532">
        <w:rPr>
          <w:rFonts w:ascii="Arial" w:eastAsia="Arial" w:hAnsi="Arial" w:cs="Arial"/>
        </w:rPr>
        <w:t>antiinstitucinis</w:t>
      </w:r>
      <w:proofErr w:type="spellEnd"/>
      <w:r w:rsidRPr="00161532">
        <w:rPr>
          <w:rFonts w:ascii="Arial" w:eastAsia="Arial" w:hAnsi="Arial" w:cs="Arial"/>
        </w:rPr>
        <w:t xml:space="preserve"> </w:t>
      </w:r>
      <w:r>
        <w:rPr>
          <w:rFonts w:ascii="Arial" w:eastAsia="Arial" w:hAnsi="Arial" w:cs="Arial"/>
        </w:rPr>
        <w:t>„</w:t>
      </w:r>
      <w:r w:rsidRPr="00161532">
        <w:rPr>
          <w:rFonts w:ascii="Arial" w:eastAsia="Arial" w:hAnsi="Arial" w:cs="Arial"/>
        </w:rPr>
        <w:t>Penkių žvaigždučių</w:t>
      </w:r>
      <w:r>
        <w:rPr>
          <w:rFonts w:ascii="Arial" w:eastAsia="Arial" w:hAnsi="Arial" w:cs="Arial"/>
        </w:rPr>
        <w:t>“</w:t>
      </w:r>
      <w:r w:rsidRPr="00161532">
        <w:rPr>
          <w:rFonts w:ascii="Arial" w:eastAsia="Arial" w:hAnsi="Arial" w:cs="Arial"/>
        </w:rPr>
        <w:t xml:space="preserve"> judėjimas laimėjo trečdalį balsų, o dešinieji populistai </w:t>
      </w:r>
      <w:r>
        <w:rPr>
          <w:rFonts w:ascii="Arial" w:eastAsia="Arial" w:hAnsi="Arial" w:cs="Arial"/>
        </w:rPr>
        <w:t>„</w:t>
      </w:r>
      <w:proofErr w:type="spellStart"/>
      <w:r w:rsidRPr="00161532">
        <w:rPr>
          <w:rFonts w:ascii="Arial" w:eastAsia="Arial" w:hAnsi="Arial" w:cs="Arial"/>
        </w:rPr>
        <w:t>Lega</w:t>
      </w:r>
      <w:proofErr w:type="spellEnd"/>
      <w:r>
        <w:rPr>
          <w:rFonts w:ascii="Arial" w:eastAsia="Arial" w:hAnsi="Arial" w:cs="Arial"/>
        </w:rPr>
        <w:t>“</w:t>
      </w:r>
      <w:r w:rsidRPr="00161532">
        <w:rPr>
          <w:rFonts w:ascii="Arial" w:eastAsia="Arial" w:hAnsi="Arial" w:cs="Arial"/>
        </w:rPr>
        <w:t xml:space="preserve"> buvo antri. Nors rinkimus laimėjo dvi partijos, kurios taip pat žadėjo didinti Valstybės išlaidas</w:t>
      </w:r>
      <w:r>
        <w:rPr>
          <w:rFonts w:ascii="Arial" w:eastAsia="Arial" w:hAnsi="Arial" w:cs="Arial"/>
        </w:rPr>
        <w:t>,</w:t>
      </w:r>
      <w:r w:rsidRPr="00161532">
        <w:rPr>
          <w:rFonts w:ascii="Arial" w:eastAsia="Arial" w:hAnsi="Arial" w:cs="Arial"/>
        </w:rPr>
        <w:t xml:space="preserve"> jos ilgai nepasiekė susitarimo dėl </w:t>
      </w:r>
      <w:r>
        <w:rPr>
          <w:rFonts w:ascii="Arial" w:eastAsia="Arial" w:hAnsi="Arial" w:cs="Arial"/>
        </w:rPr>
        <w:t>m</w:t>
      </w:r>
      <w:r w:rsidRPr="00161532">
        <w:rPr>
          <w:rFonts w:ascii="Arial" w:eastAsia="Arial" w:hAnsi="Arial" w:cs="Arial"/>
        </w:rPr>
        <w:t xml:space="preserve">inistro </w:t>
      </w:r>
      <w:r>
        <w:rPr>
          <w:rFonts w:ascii="Arial" w:eastAsia="Arial" w:hAnsi="Arial" w:cs="Arial"/>
        </w:rPr>
        <w:t>p</w:t>
      </w:r>
      <w:r w:rsidRPr="00161532">
        <w:rPr>
          <w:rFonts w:ascii="Arial" w:eastAsia="Arial" w:hAnsi="Arial" w:cs="Arial"/>
        </w:rPr>
        <w:t>irmininko pozicijos ir nesudarė koalicijos, kas taip pat nulėmė solidų Italijos akcijų augimą. Kiek vėliau</w:t>
      </w:r>
      <w:r>
        <w:rPr>
          <w:rFonts w:ascii="Arial" w:eastAsia="Arial" w:hAnsi="Arial" w:cs="Arial"/>
        </w:rPr>
        <w:t>,</w:t>
      </w:r>
      <w:r w:rsidRPr="00161532">
        <w:rPr>
          <w:rFonts w:ascii="Arial" w:eastAsia="Arial" w:hAnsi="Arial" w:cs="Arial"/>
        </w:rPr>
        <w:t xml:space="preserve"> pasiekus susitarimą dėl </w:t>
      </w:r>
      <w:r>
        <w:rPr>
          <w:rFonts w:ascii="Arial" w:eastAsia="Arial" w:hAnsi="Arial" w:cs="Arial"/>
        </w:rPr>
        <w:t>p</w:t>
      </w:r>
      <w:r w:rsidRPr="00161532">
        <w:rPr>
          <w:rFonts w:ascii="Arial" w:eastAsia="Arial" w:hAnsi="Arial" w:cs="Arial"/>
        </w:rPr>
        <w:t>remjero pozicijos</w:t>
      </w:r>
      <w:r>
        <w:rPr>
          <w:rFonts w:ascii="Arial" w:eastAsia="Arial" w:hAnsi="Arial" w:cs="Arial"/>
        </w:rPr>
        <w:t>,</w:t>
      </w:r>
      <w:r w:rsidRPr="00161532">
        <w:rPr>
          <w:rFonts w:ascii="Arial" w:eastAsia="Arial" w:hAnsi="Arial" w:cs="Arial"/>
        </w:rPr>
        <w:t xml:space="preserve"> akcijos krito, tačiau Prancūzijos atveju toks susitarimas šiai dienai atrodo itin maž</w:t>
      </w:r>
      <w:r>
        <w:rPr>
          <w:rFonts w:ascii="Arial" w:eastAsia="Arial" w:hAnsi="Arial" w:cs="Arial"/>
        </w:rPr>
        <w:t>ai</w:t>
      </w:r>
      <w:r w:rsidRPr="00161532">
        <w:rPr>
          <w:rFonts w:ascii="Arial" w:eastAsia="Arial" w:hAnsi="Arial" w:cs="Arial"/>
        </w:rPr>
        <w:t xml:space="preserve"> tik</w:t>
      </w:r>
      <w:r>
        <w:rPr>
          <w:rFonts w:ascii="Arial" w:eastAsia="Arial" w:hAnsi="Arial" w:cs="Arial"/>
        </w:rPr>
        <w:t>ėtinas</w:t>
      </w:r>
      <w:r w:rsidRPr="00161532">
        <w:rPr>
          <w:rFonts w:ascii="Arial" w:eastAsia="Arial" w:hAnsi="Arial" w:cs="Arial"/>
        </w:rPr>
        <w:t>.</w:t>
      </w:r>
    </w:p>
    <w:p w14:paraId="74E9863A" w14:textId="3C5201E9" w:rsidR="005C1D74" w:rsidRPr="00161532" w:rsidRDefault="005C1D74" w:rsidP="005C1D74">
      <w:pPr>
        <w:spacing w:line="270" w:lineRule="exact"/>
        <w:jc w:val="both"/>
        <w:rPr>
          <w:rFonts w:ascii="Arial" w:eastAsia="Arial" w:hAnsi="Arial" w:cs="Arial"/>
        </w:rPr>
      </w:pPr>
      <w:r w:rsidRPr="00161532">
        <w:rPr>
          <w:rFonts w:ascii="Arial" w:eastAsia="Arial" w:hAnsi="Arial" w:cs="Arial"/>
        </w:rPr>
        <w:t>Politinis neužtik</w:t>
      </w:r>
      <w:r>
        <w:rPr>
          <w:rFonts w:ascii="Arial" w:eastAsia="Arial" w:hAnsi="Arial" w:cs="Arial"/>
        </w:rPr>
        <w:t>r</w:t>
      </w:r>
      <w:r w:rsidRPr="00161532">
        <w:rPr>
          <w:rFonts w:ascii="Arial" w:eastAsia="Arial" w:hAnsi="Arial" w:cs="Arial"/>
        </w:rPr>
        <w:t>intumas stipriau veikia obligacijų nei akcijų rinkas. Past</w:t>
      </w:r>
      <w:r>
        <w:rPr>
          <w:rFonts w:ascii="Arial" w:eastAsia="Arial" w:hAnsi="Arial" w:cs="Arial"/>
        </w:rPr>
        <w:t>a</w:t>
      </w:r>
      <w:r w:rsidRPr="00161532">
        <w:rPr>
          <w:rFonts w:ascii="Arial" w:eastAsia="Arial" w:hAnsi="Arial" w:cs="Arial"/>
        </w:rPr>
        <w:t>rosioms daugiau įtakos daro uždirbamos pajamos už šalies ribų, kur vietinė politika turi ribotą įtaką. Taip pat verta pažymėti, kad istoriškai po tokių staigių kritim</w:t>
      </w:r>
      <w:r>
        <w:rPr>
          <w:rFonts w:ascii="Arial" w:eastAsia="Arial" w:hAnsi="Arial" w:cs="Arial"/>
        </w:rPr>
        <w:t xml:space="preserve">ų </w:t>
      </w:r>
      <w:r w:rsidRPr="00161532">
        <w:rPr>
          <w:rFonts w:ascii="Arial" w:eastAsia="Arial" w:hAnsi="Arial" w:cs="Arial"/>
        </w:rPr>
        <w:t>Prancūzijos akcijose buvo matomas stipresnis nei vidutinis augimas ateinančiais metais.</w:t>
      </w:r>
    </w:p>
    <w:p w14:paraId="3DCF52E9" w14:textId="05BD9ECC" w:rsidR="005C1D74" w:rsidRPr="00161532" w:rsidRDefault="005C1D74" w:rsidP="005C1D74">
      <w:pPr>
        <w:spacing w:line="270" w:lineRule="exact"/>
        <w:jc w:val="both"/>
        <w:rPr>
          <w:rFonts w:ascii="Arial" w:eastAsia="Arial" w:hAnsi="Arial" w:cs="Arial"/>
          <w:noProof/>
          <w:color w:val="000000" w:themeColor="text1"/>
        </w:rPr>
      </w:pPr>
      <w:r w:rsidRPr="00161532">
        <w:rPr>
          <w:rFonts w:ascii="Arial" w:eastAsia="Arial" w:hAnsi="Arial" w:cs="Arial"/>
          <w:noProof/>
          <w:color w:val="000000" w:themeColor="text1"/>
        </w:rPr>
        <w:lastRenderedPageBreak/>
        <w:t>Laikas parodys</w:t>
      </w:r>
      <w:r>
        <w:rPr>
          <w:rFonts w:ascii="Arial" w:eastAsia="Arial" w:hAnsi="Arial" w:cs="Arial"/>
          <w:noProof/>
          <w:color w:val="000000" w:themeColor="text1"/>
        </w:rPr>
        <w:t>,</w:t>
      </w:r>
      <w:r w:rsidRPr="00161532">
        <w:rPr>
          <w:rFonts w:ascii="Arial" w:eastAsia="Arial" w:hAnsi="Arial" w:cs="Arial"/>
          <w:noProof/>
          <w:color w:val="000000" w:themeColor="text1"/>
        </w:rPr>
        <w:t xml:space="preserve"> kaip baigsis ši istorija, tačiau labiausiai prognozuotinas scenarijus su nauju parlamentu, </w:t>
      </w:r>
      <w:r>
        <w:rPr>
          <w:rFonts w:ascii="Arial" w:eastAsia="Arial" w:hAnsi="Arial" w:cs="Arial"/>
          <w:noProof/>
          <w:color w:val="000000" w:themeColor="text1"/>
        </w:rPr>
        <w:t>p</w:t>
      </w:r>
      <w:r w:rsidRPr="00161532">
        <w:rPr>
          <w:rFonts w:ascii="Arial" w:eastAsia="Arial" w:hAnsi="Arial" w:cs="Arial"/>
          <w:noProof/>
          <w:color w:val="000000" w:themeColor="text1"/>
        </w:rPr>
        <w:t>rezidentu E. Ma</w:t>
      </w:r>
      <w:r>
        <w:rPr>
          <w:rFonts w:ascii="Arial" w:eastAsia="Arial" w:hAnsi="Arial" w:cs="Arial"/>
          <w:noProof/>
          <w:color w:val="000000" w:themeColor="text1"/>
        </w:rPr>
        <w:t>c</w:t>
      </w:r>
      <w:r w:rsidRPr="00161532">
        <w:rPr>
          <w:rFonts w:ascii="Arial" w:eastAsia="Arial" w:hAnsi="Arial" w:cs="Arial"/>
          <w:noProof/>
          <w:color w:val="000000" w:themeColor="text1"/>
        </w:rPr>
        <w:t>ronu ir E</w:t>
      </w:r>
      <w:r>
        <w:rPr>
          <w:rFonts w:ascii="Arial" w:eastAsia="Arial" w:hAnsi="Arial" w:cs="Arial"/>
          <w:noProof/>
          <w:color w:val="000000" w:themeColor="text1"/>
        </w:rPr>
        <w:t>uropos Komisijos</w:t>
      </w:r>
      <w:r w:rsidRPr="00161532">
        <w:rPr>
          <w:rFonts w:ascii="Arial" w:eastAsia="Arial" w:hAnsi="Arial" w:cs="Arial"/>
          <w:noProof/>
          <w:color w:val="000000" w:themeColor="text1"/>
        </w:rPr>
        <w:t xml:space="preserve"> spaudimu dėl fiskalinės drausmės nuo dabartinių aktyvų lygių yra daugiau pozityvus nei negatyvus. Globalių rinkimų metais politinis faktorius kol kas pernelyg neveikė rinkų, tačiau kartu su liepą vyksiančiu Jungtinės Karalystės parlamento narių rinkimu ir lygia JAV </w:t>
      </w:r>
      <w:r>
        <w:rPr>
          <w:rFonts w:ascii="Arial" w:eastAsia="Arial" w:hAnsi="Arial" w:cs="Arial"/>
          <w:noProof/>
          <w:color w:val="000000" w:themeColor="text1"/>
        </w:rPr>
        <w:t>p</w:t>
      </w:r>
      <w:r w:rsidRPr="00161532">
        <w:rPr>
          <w:rFonts w:ascii="Arial" w:eastAsia="Arial" w:hAnsi="Arial" w:cs="Arial"/>
          <w:noProof/>
          <w:color w:val="000000" w:themeColor="text1"/>
        </w:rPr>
        <w:t xml:space="preserve">rezidento rinkimų kova, galima tikėtis daugiau kintamumo. </w:t>
      </w:r>
    </w:p>
    <w:p w14:paraId="55AC8797" w14:textId="77777777" w:rsidR="005C1D74" w:rsidRPr="00161532" w:rsidRDefault="005C1D74" w:rsidP="005C1D74">
      <w:pPr>
        <w:spacing w:line="270" w:lineRule="exact"/>
        <w:jc w:val="both"/>
        <w:rPr>
          <w:rFonts w:ascii="Arial" w:eastAsia="Arial" w:hAnsi="Arial" w:cs="Arial"/>
          <w:b/>
          <w:bCs/>
          <w:noProof/>
          <w:color w:val="000000" w:themeColor="text1"/>
        </w:rPr>
      </w:pPr>
      <w:r w:rsidRPr="00161532">
        <w:rPr>
          <w:rFonts w:ascii="Arial" w:eastAsia="Arial" w:hAnsi="Arial" w:cs="Arial"/>
          <w:b/>
          <w:bCs/>
          <w:noProof/>
          <w:color w:val="000000" w:themeColor="text1"/>
        </w:rPr>
        <w:t>Makroekonomikos augimas</w:t>
      </w:r>
    </w:p>
    <w:p w14:paraId="56DA889E" w14:textId="77777777" w:rsidR="005C1D74" w:rsidRPr="00161532" w:rsidRDefault="005C1D74" w:rsidP="005C1D74">
      <w:pPr>
        <w:spacing w:line="270" w:lineRule="exact"/>
        <w:jc w:val="both"/>
        <w:rPr>
          <w:rFonts w:ascii="Arial" w:eastAsia="Arial" w:hAnsi="Arial" w:cs="Arial"/>
          <w:noProof/>
          <w:color w:val="000000" w:themeColor="text1"/>
        </w:rPr>
      </w:pPr>
      <w:r w:rsidRPr="00161532">
        <w:rPr>
          <w:rFonts w:ascii="Arial" w:eastAsia="Arial" w:hAnsi="Arial" w:cs="Arial"/>
          <w:noProof/>
          <w:color w:val="000000" w:themeColor="text1"/>
        </w:rPr>
        <w:t>Vienas pagrindinių faktorių</w:t>
      </w:r>
      <w:r>
        <w:rPr>
          <w:rFonts w:ascii="Arial" w:eastAsia="Arial" w:hAnsi="Arial" w:cs="Arial"/>
          <w:noProof/>
          <w:color w:val="000000" w:themeColor="text1"/>
        </w:rPr>
        <w:t>,</w:t>
      </w:r>
      <w:r w:rsidRPr="00161532">
        <w:rPr>
          <w:rFonts w:ascii="Arial" w:eastAsia="Arial" w:hAnsi="Arial" w:cs="Arial"/>
          <w:noProof/>
          <w:color w:val="000000" w:themeColor="text1"/>
        </w:rPr>
        <w:t xml:space="preserve"> nulėmusių solidų akcijų pasirodymą šiemet</w:t>
      </w:r>
      <w:r>
        <w:rPr>
          <w:rFonts w:ascii="Arial" w:eastAsia="Arial" w:hAnsi="Arial" w:cs="Arial"/>
          <w:noProof/>
          <w:color w:val="000000" w:themeColor="text1"/>
        </w:rPr>
        <w:t>,</w:t>
      </w:r>
      <w:r w:rsidRPr="00161532">
        <w:rPr>
          <w:rFonts w:ascii="Arial" w:eastAsia="Arial" w:hAnsi="Arial" w:cs="Arial"/>
          <w:noProof/>
          <w:color w:val="000000" w:themeColor="text1"/>
        </w:rPr>
        <w:t xml:space="preserve"> yra vis nustebinti sugebantis globalios ekonomikos augimas. Dvi didžiausios ekonomikos – JAV ir Kinija </w:t>
      </w:r>
      <w:r>
        <w:rPr>
          <w:rFonts w:ascii="Arial" w:eastAsia="Arial" w:hAnsi="Arial" w:cs="Arial"/>
          <w:noProof/>
          <w:color w:val="000000" w:themeColor="text1"/>
        </w:rPr>
        <w:t xml:space="preserve">– </w:t>
      </w:r>
      <w:r w:rsidRPr="00161532">
        <w:rPr>
          <w:rFonts w:ascii="Arial" w:eastAsia="Arial" w:hAnsi="Arial" w:cs="Arial"/>
          <w:noProof/>
          <w:color w:val="000000" w:themeColor="text1"/>
        </w:rPr>
        <w:t xml:space="preserve">demonstravo vis geresnius rodiklius, o antrame ketvirtyje sparčiau augti pradėjo ir euro zonos valstybės, Japonija </w:t>
      </w:r>
      <w:r>
        <w:rPr>
          <w:rFonts w:ascii="Arial" w:eastAsia="Arial" w:hAnsi="Arial" w:cs="Arial"/>
          <w:noProof/>
          <w:color w:val="000000" w:themeColor="text1"/>
        </w:rPr>
        <w:t>bei</w:t>
      </w:r>
      <w:r w:rsidRPr="00161532">
        <w:rPr>
          <w:rFonts w:ascii="Arial" w:eastAsia="Arial" w:hAnsi="Arial" w:cs="Arial"/>
          <w:noProof/>
          <w:color w:val="000000" w:themeColor="text1"/>
        </w:rPr>
        <w:t xml:space="preserve"> Jungtinė Karalystė. Tiek EBPO, pakėlusi pasaulio BVP augimo prognozę šiemet nuo 2,9 proc. </w:t>
      </w:r>
      <w:r>
        <w:rPr>
          <w:rFonts w:ascii="Arial" w:eastAsia="Arial" w:hAnsi="Arial" w:cs="Arial"/>
          <w:noProof/>
          <w:color w:val="000000" w:themeColor="text1"/>
        </w:rPr>
        <w:t>i</w:t>
      </w:r>
      <w:r w:rsidRPr="00161532">
        <w:rPr>
          <w:rFonts w:ascii="Arial" w:eastAsia="Arial" w:hAnsi="Arial" w:cs="Arial"/>
          <w:noProof/>
          <w:color w:val="000000" w:themeColor="text1"/>
        </w:rPr>
        <w:t>ki 3,1 proc., tiek centriniai bankai ir investicinių bankų analitikai tikisi didesnės ekspansijos. Ar tai gali tęstis?</w:t>
      </w:r>
    </w:p>
    <w:p w14:paraId="18B7EA4B" w14:textId="77777777" w:rsidR="005C1D74" w:rsidRPr="00161532" w:rsidRDefault="005C1D74" w:rsidP="005C1D74">
      <w:pPr>
        <w:spacing w:line="270" w:lineRule="exact"/>
        <w:jc w:val="both"/>
        <w:rPr>
          <w:rFonts w:ascii="Arial" w:eastAsia="Arial" w:hAnsi="Arial" w:cs="Arial"/>
          <w:noProof/>
          <w:color w:val="000000" w:themeColor="text1"/>
        </w:rPr>
      </w:pPr>
      <w:r w:rsidRPr="00161532">
        <w:rPr>
          <w:rFonts w:ascii="Arial" w:eastAsia="Arial" w:hAnsi="Arial" w:cs="Arial"/>
          <w:noProof/>
          <w:color w:val="000000" w:themeColor="text1"/>
        </w:rPr>
        <w:t xml:space="preserve">Gegužę </w:t>
      </w:r>
      <w:r>
        <w:rPr>
          <w:rFonts w:ascii="Arial" w:eastAsia="Arial" w:hAnsi="Arial" w:cs="Arial"/>
          <w:noProof/>
          <w:color w:val="000000" w:themeColor="text1"/>
        </w:rPr>
        <w:t>„</w:t>
      </w:r>
      <w:r w:rsidRPr="00161532">
        <w:rPr>
          <w:rFonts w:ascii="Arial" w:eastAsia="Arial" w:hAnsi="Arial" w:cs="Arial"/>
          <w:noProof/>
          <w:color w:val="000000" w:themeColor="text1"/>
        </w:rPr>
        <w:t>S&amp;P Global</w:t>
      </w:r>
      <w:r>
        <w:rPr>
          <w:rFonts w:ascii="Arial" w:eastAsia="Arial" w:hAnsi="Arial" w:cs="Arial"/>
          <w:noProof/>
          <w:color w:val="000000" w:themeColor="text1"/>
        </w:rPr>
        <w:t>“</w:t>
      </w:r>
      <w:r w:rsidRPr="00161532">
        <w:rPr>
          <w:rFonts w:ascii="Arial" w:eastAsia="Arial" w:hAnsi="Arial" w:cs="Arial"/>
          <w:noProof/>
          <w:color w:val="000000" w:themeColor="text1"/>
        </w:rPr>
        <w:t xml:space="preserve"> pasaulio pirkimų vadybininkų indeksas (PMI) rodė sparčiausią augimą per pastaruosius septynis mėnesius, kas istoriškai yra itin ilga serija. Tuo pačiu JAV verslo pasitikėjimo rodikliai auga, kartu su didėjančiais naujais užsakymais ir kiek mažesniais kaštais nei prognozuota. Kiti sentimentą matuojantys rodikliai</w:t>
      </w:r>
      <w:r>
        <w:rPr>
          <w:rFonts w:ascii="Arial" w:eastAsia="Arial" w:hAnsi="Arial" w:cs="Arial"/>
          <w:noProof/>
          <w:color w:val="000000" w:themeColor="text1"/>
        </w:rPr>
        <w:t xml:space="preserve">, tokie </w:t>
      </w:r>
      <w:r w:rsidRPr="00161532">
        <w:rPr>
          <w:rFonts w:ascii="Arial" w:eastAsia="Arial" w:hAnsi="Arial" w:cs="Arial"/>
          <w:noProof/>
          <w:color w:val="000000" w:themeColor="text1"/>
        </w:rPr>
        <w:t xml:space="preserve">kaip </w:t>
      </w:r>
      <w:r>
        <w:rPr>
          <w:rFonts w:ascii="Arial" w:eastAsia="Arial" w:hAnsi="Arial" w:cs="Arial"/>
          <w:noProof/>
          <w:color w:val="000000" w:themeColor="text1"/>
        </w:rPr>
        <w:t>„</w:t>
      </w:r>
      <w:r w:rsidRPr="00161532">
        <w:rPr>
          <w:rFonts w:ascii="Arial" w:eastAsia="Arial" w:hAnsi="Arial" w:cs="Arial"/>
          <w:noProof/>
          <w:color w:val="000000" w:themeColor="text1"/>
        </w:rPr>
        <w:t>Sentix</w:t>
      </w:r>
      <w:r>
        <w:rPr>
          <w:rFonts w:ascii="Arial" w:eastAsia="Arial" w:hAnsi="Arial" w:cs="Arial"/>
          <w:noProof/>
          <w:color w:val="000000" w:themeColor="text1"/>
        </w:rPr>
        <w:t>“</w:t>
      </w:r>
      <w:r w:rsidRPr="00161532">
        <w:rPr>
          <w:rFonts w:ascii="Arial" w:eastAsia="Arial" w:hAnsi="Arial" w:cs="Arial"/>
          <w:noProof/>
          <w:color w:val="000000" w:themeColor="text1"/>
        </w:rPr>
        <w:t xml:space="preserve"> makroekonominių lūkesčių rodiklis</w:t>
      </w:r>
      <w:r>
        <w:rPr>
          <w:rFonts w:ascii="Arial" w:eastAsia="Arial" w:hAnsi="Arial" w:cs="Arial"/>
          <w:noProof/>
          <w:color w:val="000000" w:themeColor="text1"/>
        </w:rPr>
        <w:t>,</w:t>
      </w:r>
      <w:r w:rsidRPr="00161532">
        <w:rPr>
          <w:rFonts w:ascii="Arial" w:eastAsia="Arial" w:hAnsi="Arial" w:cs="Arial"/>
          <w:noProof/>
          <w:color w:val="000000" w:themeColor="text1"/>
        </w:rPr>
        <w:t xml:space="preserve"> sparčiai augo iki gegužės, tačiau birželį jau stabilizavosi ir indikuoja tebesitęsiančią ekonomikos plėtrą.</w:t>
      </w:r>
    </w:p>
    <w:p w14:paraId="62A4115E" w14:textId="7526CDDE" w:rsidR="005C1D74" w:rsidRPr="00161532" w:rsidRDefault="005C1D74" w:rsidP="005C1D74">
      <w:pPr>
        <w:spacing w:line="270" w:lineRule="exact"/>
        <w:jc w:val="both"/>
        <w:rPr>
          <w:rFonts w:ascii="Arial" w:eastAsia="Arial" w:hAnsi="Arial" w:cs="Arial"/>
          <w:noProof/>
          <w:color w:val="000000" w:themeColor="text1"/>
          <w:lang w:val="en-US"/>
        </w:rPr>
      </w:pPr>
      <w:r w:rsidRPr="00161532">
        <w:rPr>
          <w:rFonts w:ascii="Arial" w:eastAsia="Arial" w:hAnsi="Arial" w:cs="Arial"/>
          <w:noProof/>
          <w:color w:val="000000" w:themeColor="text1"/>
          <w:lang w:val="en-US"/>
        </w:rPr>
        <w:t>Globalios recesijos tikimybių modeliai (pvz. EBPO) išliko itin žemame lygyje, ir nors birželį rodė minimaliai augančią recesijos tikimybę, ateinančius 9 mėnesius nerodo tikėtino ekonomikos lėtėjimo. Reikšmingą riziką kelia infliacija, kuri išliko lipni, ypač paslaugų sektoriuje ir apgyvendinimo paslaugose (nuoma, komunalinės paslaugos, renovacija). Taip pat daugelyje regionų infliacijos lėtėjimas pakankamas pradėti mažinti</w:t>
      </w:r>
      <w:r>
        <w:rPr>
          <w:rFonts w:ascii="Arial" w:eastAsia="Arial" w:hAnsi="Arial" w:cs="Arial"/>
          <w:noProof/>
          <w:color w:val="000000" w:themeColor="text1"/>
          <w:lang w:val="en-US"/>
        </w:rPr>
        <w:t xml:space="preserve"> palūkanų</w:t>
      </w:r>
      <w:r w:rsidRPr="00161532">
        <w:rPr>
          <w:rFonts w:ascii="Arial" w:eastAsia="Arial" w:hAnsi="Arial" w:cs="Arial"/>
          <w:noProof/>
          <w:color w:val="000000" w:themeColor="text1"/>
          <w:lang w:val="en-US"/>
        </w:rPr>
        <w:t xml:space="preserve"> normas – </w:t>
      </w:r>
      <w:r>
        <w:rPr>
          <w:rFonts w:ascii="Arial" w:eastAsia="Arial" w:hAnsi="Arial" w:cs="Arial"/>
          <w:noProof/>
          <w:color w:val="000000" w:themeColor="text1"/>
          <w:lang w:val="en-US"/>
        </w:rPr>
        <w:t>be</w:t>
      </w:r>
      <w:r w:rsidRPr="00161532">
        <w:rPr>
          <w:rFonts w:ascii="Arial" w:eastAsia="Arial" w:hAnsi="Arial" w:cs="Arial"/>
          <w:noProof/>
          <w:color w:val="000000" w:themeColor="text1"/>
          <w:lang w:val="en-US"/>
        </w:rPr>
        <w:t xml:space="preserve"> euro zonos, tokių išsivysčiusių valstybių kaip Šveicarija, Švedija ir Kanada centriniai bankai taip pat laisvina pinigų politiką.</w:t>
      </w:r>
    </w:p>
    <w:p w14:paraId="4B3B1FFC" w14:textId="77777777" w:rsidR="005C1D74" w:rsidRPr="00161532" w:rsidRDefault="005C1D74" w:rsidP="005C1D74">
      <w:pPr>
        <w:spacing w:line="270" w:lineRule="exact"/>
        <w:jc w:val="both"/>
        <w:rPr>
          <w:rFonts w:ascii="Arial" w:eastAsia="Arial" w:hAnsi="Arial" w:cs="Arial"/>
          <w:noProof/>
          <w:color w:val="000000" w:themeColor="text1"/>
          <w:lang w:val="en-US"/>
        </w:rPr>
      </w:pPr>
      <w:r w:rsidRPr="00161532">
        <w:rPr>
          <w:rFonts w:ascii="Arial" w:eastAsia="Arial" w:hAnsi="Arial" w:cs="Arial"/>
          <w:noProof/>
          <w:color w:val="000000" w:themeColor="text1"/>
          <w:lang w:val="en-US"/>
        </w:rPr>
        <w:t>Bendras paveikslas rodo, kad ekonomikos augimas toliau išliks konstruktyvus ilgesniu laikotarpiu net jei ir eigoje sulėtės. Mažėjanti infliacija yra kritinis faktorius centrinių bankų sprendimams, kurių laisvesnė politika istoriškai yra stiprus teigiamas katalizatorius tiek akcijų, tiek obligacijų rinkoms.</w:t>
      </w:r>
    </w:p>
    <w:p w14:paraId="3646E269" w14:textId="77777777" w:rsidR="005C1D74" w:rsidRDefault="005C1D74" w:rsidP="005C1D74">
      <w:pPr>
        <w:spacing w:after="0" w:line="270" w:lineRule="exact"/>
        <w:jc w:val="both"/>
        <w:rPr>
          <w:rFonts w:ascii="Arial" w:eastAsia="Arial" w:hAnsi="Arial" w:cs="Arial"/>
          <w:b/>
          <w:bCs/>
          <w:noProof/>
        </w:rPr>
      </w:pPr>
      <w:r w:rsidRPr="2EE413BA">
        <w:rPr>
          <w:rFonts w:ascii="Arial" w:eastAsia="Arial" w:hAnsi="Arial" w:cs="Arial"/>
          <w:b/>
          <w:bCs/>
          <w:noProof/>
        </w:rPr>
        <w:t>Iš globalių rinkų į lokalias</w:t>
      </w:r>
    </w:p>
    <w:p w14:paraId="6C20AEBC" w14:textId="77777777" w:rsidR="005C1D74" w:rsidRDefault="005C1D74" w:rsidP="005C1D74">
      <w:pPr>
        <w:spacing w:after="0" w:line="270" w:lineRule="exact"/>
        <w:jc w:val="both"/>
        <w:rPr>
          <w:rFonts w:ascii="Arial" w:eastAsia="Arial" w:hAnsi="Arial" w:cs="Arial"/>
          <w:noProof/>
        </w:rPr>
      </w:pPr>
    </w:p>
    <w:p w14:paraId="5868A425" w14:textId="78727D58" w:rsidR="005C1D74" w:rsidRDefault="005C1D74" w:rsidP="005C1D74">
      <w:pPr>
        <w:spacing w:line="270" w:lineRule="exact"/>
        <w:jc w:val="both"/>
        <w:rPr>
          <w:rFonts w:ascii="Arial" w:eastAsia="Arial" w:hAnsi="Arial" w:cs="Arial"/>
          <w:noProof/>
          <w:color w:val="000000" w:themeColor="text1"/>
          <w:lang w:val="en-US"/>
        </w:rPr>
      </w:pPr>
      <w:r>
        <w:rPr>
          <w:rFonts w:ascii="Arial" w:eastAsia="Arial" w:hAnsi="Arial" w:cs="Arial"/>
          <w:noProof/>
          <w:color w:val="000000" w:themeColor="text1"/>
          <w:lang w:val="en-US"/>
        </w:rPr>
        <w:t>„</w:t>
      </w:r>
      <w:r w:rsidRPr="000519D7">
        <w:rPr>
          <w:rFonts w:ascii="Arial" w:eastAsia="Arial" w:hAnsi="Arial" w:cs="Arial"/>
          <w:noProof/>
          <w:color w:val="000000" w:themeColor="text1"/>
          <w:lang w:val="en-US"/>
        </w:rPr>
        <w:t>Luminor</w:t>
      </w:r>
      <w:r>
        <w:rPr>
          <w:rFonts w:ascii="Arial" w:eastAsia="Arial" w:hAnsi="Arial" w:cs="Arial"/>
          <w:noProof/>
          <w:color w:val="000000" w:themeColor="text1"/>
          <w:lang w:val="en-US"/>
        </w:rPr>
        <w:t xml:space="preserve"> investicijų valdymo“</w:t>
      </w:r>
      <w:r w:rsidRPr="000519D7">
        <w:rPr>
          <w:rFonts w:ascii="Arial" w:eastAsia="Arial" w:hAnsi="Arial" w:cs="Arial"/>
          <w:noProof/>
          <w:color w:val="000000" w:themeColor="text1"/>
          <w:lang w:val="en-US"/>
        </w:rPr>
        <w:t xml:space="preserve"> pensijų fondai didino investicijas į Lietuvos </w:t>
      </w:r>
      <w:r>
        <w:rPr>
          <w:rFonts w:ascii="Arial" w:eastAsia="Arial" w:hAnsi="Arial" w:cs="Arial"/>
          <w:noProof/>
          <w:color w:val="000000" w:themeColor="text1"/>
          <w:lang w:val="en-US"/>
        </w:rPr>
        <w:t>V</w:t>
      </w:r>
      <w:r w:rsidRPr="000519D7">
        <w:rPr>
          <w:rFonts w:ascii="Arial" w:eastAsia="Arial" w:hAnsi="Arial" w:cs="Arial"/>
          <w:noProof/>
          <w:color w:val="000000" w:themeColor="text1"/>
          <w:lang w:val="en-US"/>
        </w:rPr>
        <w:t>yriausybė</w:t>
      </w:r>
      <w:r>
        <w:rPr>
          <w:rFonts w:ascii="Arial" w:eastAsia="Arial" w:hAnsi="Arial" w:cs="Arial"/>
          <w:noProof/>
          <w:color w:val="000000" w:themeColor="text1"/>
          <w:lang w:val="en-US"/>
        </w:rPr>
        <w:t>s skolą</w:t>
      </w:r>
      <w:r w:rsidRPr="000519D7">
        <w:rPr>
          <w:rFonts w:ascii="Arial" w:eastAsia="Arial" w:hAnsi="Arial" w:cs="Arial"/>
          <w:noProof/>
          <w:color w:val="000000" w:themeColor="text1"/>
          <w:lang w:val="en-US"/>
        </w:rPr>
        <w:t>.</w:t>
      </w:r>
      <w:r>
        <w:rPr>
          <w:rFonts w:ascii="Arial" w:eastAsia="Arial" w:hAnsi="Arial" w:cs="Arial"/>
          <w:noProof/>
          <w:color w:val="000000" w:themeColor="text1"/>
          <w:lang w:val="en-US"/>
        </w:rPr>
        <w:t xml:space="preserve"> Investavome į naują 7 metų trukmės euroobligacijų emisiją, kurią Finansų </w:t>
      </w:r>
      <w:r>
        <w:rPr>
          <w:rFonts w:ascii="Arial" w:eastAsia="Arial" w:hAnsi="Arial" w:cs="Arial"/>
          <w:noProof/>
          <w:color w:val="000000" w:themeColor="text1"/>
          <w:lang w:val="en-US"/>
        </w:rPr>
        <w:t>m</w:t>
      </w:r>
      <w:r>
        <w:rPr>
          <w:rFonts w:ascii="Arial" w:eastAsia="Arial" w:hAnsi="Arial" w:cs="Arial"/>
          <w:noProof/>
          <w:color w:val="000000" w:themeColor="text1"/>
          <w:lang w:val="en-US"/>
        </w:rPr>
        <w:t xml:space="preserve">inisterija išplatino už 1 mlrd. eurų. Obligacijos metinis kuponas siekia 3,5 proc., o išleidimo metu pajamingumas siekė 3,68 proc., kas reiškė apie 128 bazinių punktų premiją, lyginant su 6,5 metų Vokietijos </w:t>
      </w:r>
      <w:r>
        <w:rPr>
          <w:rFonts w:ascii="Arial" w:eastAsia="Arial" w:hAnsi="Arial" w:cs="Arial"/>
          <w:noProof/>
          <w:color w:val="000000" w:themeColor="text1"/>
          <w:lang w:val="en-US"/>
        </w:rPr>
        <w:t>V</w:t>
      </w:r>
      <w:r>
        <w:rPr>
          <w:rFonts w:ascii="Arial" w:eastAsia="Arial" w:hAnsi="Arial" w:cs="Arial"/>
          <w:noProof/>
          <w:color w:val="000000" w:themeColor="text1"/>
          <w:lang w:val="en-US"/>
        </w:rPr>
        <w:t>yriausybės skola. Lietuvos Respublikos obligacijos sulaukė 3 kartus didesnės paklausos nei išplatinta suma.</w:t>
      </w:r>
    </w:p>
    <w:p w14:paraId="416DFCA7" w14:textId="6F28A73A" w:rsidR="005C1D74" w:rsidRPr="00F02E86" w:rsidRDefault="005C1D74" w:rsidP="005C1D74">
      <w:pPr>
        <w:spacing w:line="270" w:lineRule="exact"/>
        <w:jc w:val="both"/>
        <w:rPr>
          <w:rFonts w:ascii="Arial" w:eastAsia="Arial" w:hAnsi="Arial" w:cs="Arial"/>
          <w:b/>
          <w:bCs/>
          <w:i/>
          <w:iCs/>
          <w:sz w:val="20"/>
          <w:szCs w:val="20"/>
        </w:rPr>
      </w:pPr>
      <w:r>
        <w:rPr>
          <w:rFonts w:ascii="Arial" w:eastAsia="Arial" w:hAnsi="Arial" w:cs="Arial"/>
          <w:noProof/>
          <w:color w:val="000000" w:themeColor="text1"/>
          <w:lang w:val="en-US"/>
        </w:rPr>
        <w:t>Obligacijų platinimas sekė po gegužę „S&amp;P Global Ratings“ kredito reiting</w:t>
      </w:r>
      <w:r>
        <w:rPr>
          <w:rFonts w:ascii="Arial" w:eastAsia="Arial" w:hAnsi="Arial" w:cs="Arial"/>
          <w:noProof/>
          <w:color w:val="000000" w:themeColor="text1"/>
        </w:rPr>
        <w:t xml:space="preserve">ų agentūros sumažinto reitingo iš </w:t>
      </w:r>
      <w:r w:rsidRPr="00757BA6">
        <w:rPr>
          <w:rFonts w:ascii="Arial" w:eastAsia="Arial" w:hAnsi="Arial" w:cs="Arial"/>
          <w:noProof/>
          <w:color w:val="000000" w:themeColor="text1"/>
        </w:rPr>
        <w:t>„A+</w:t>
      </w:r>
      <w:r>
        <w:rPr>
          <w:rFonts w:ascii="Arial" w:eastAsia="Arial" w:hAnsi="Arial" w:cs="Arial"/>
          <w:noProof/>
          <w:color w:val="000000" w:themeColor="text1"/>
        </w:rPr>
        <w:t xml:space="preserve">“ į </w:t>
      </w:r>
      <w:r w:rsidRPr="00757BA6">
        <w:rPr>
          <w:rFonts w:ascii="Arial" w:eastAsia="Arial" w:hAnsi="Arial" w:cs="Arial"/>
          <w:noProof/>
          <w:color w:val="000000" w:themeColor="text1"/>
        </w:rPr>
        <w:t>„A“ su stabilia perspektyva</w:t>
      </w:r>
      <w:r>
        <w:rPr>
          <w:rFonts w:ascii="Arial" w:eastAsia="Arial" w:hAnsi="Arial" w:cs="Arial"/>
          <w:noProof/>
          <w:color w:val="000000" w:themeColor="text1"/>
        </w:rPr>
        <w:t xml:space="preserve">. </w:t>
      </w:r>
      <w:r w:rsidRPr="00757BA6">
        <w:rPr>
          <w:rFonts w:ascii="Arial" w:eastAsia="Arial" w:hAnsi="Arial" w:cs="Arial"/>
          <w:noProof/>
          <w:color w:val="000000" w:themeColor="text1"/>
        </w:rPr>
        <w:t>Tokį savo sprendimą agentūra motyvavo geopolitine rizika regione dėl užsitęsusio karo Ukrainoje</w:t>
      </w:r>
      <w:r>
        <w:rPr>
          <w:rFonts w:ascii="Arial" w:eastAsia="Arial" w:hAnsi="Arial" w:cs="Arial"/>
          <w:noProof/>
          <w:color w:val="000000" w:themeColor="text1"/>
        </w:rPr>
        <w:t xml:space="preserve">, kuris </w:t>
      </w:r>
      <w:r>
        <w:rPr>
          <w:rFonts w:ascii="Arial" w:hAnsi="Arial" w:cs="Arial"/>
          <w:color w:val="212529"/>
          <w:shd w:val="clear" w:color="auto" w:fill="FFFFFF"/>
        </w:rPr>
        <w:t>turės įtakos Lietuvos viešiesiems finansams, ekonomikos augimui ir konkurencingumui. Analogišką sprendimą „S</w:t>
      </w:r>
      <w:r w:rsidRPr="002359C7">
        <w:rPr>
          <w:rFonts w:ascii="Arial" w:hAnsi="Arial" w:cs="Arial"/>
          <w:color w:val="212529"/>
          <w:shd w:val="clear" w:color="auto" w:fill="FFFFFF"/>
        </w:rPr>
        <w:t>&amp;P</w:t>
      </w:r>
      <w:r>
        <w:rPr>
          <w:rFonts w:ascii="Arial" w:hAnsi="Arial" w:cs="Arial"/>
          <w:color w:val="212529"/>
          <w:shd w:val="clear" w:color="auto" w:fill="FFFFFF"/>
        </w:rPr>
        <w:t xml:space="preserve"> Global </w:t>
      </w:r>
      <w:proofErr w:type="spellStart"/>
      <w:r>
        <w:rPr>
          <w:rFonts w:ascii="Arial" w:hAnsi="Arial" w:cs="Arial"/>
          <w:color w:val="212529"/>
          <w:shd w:val="clear" w:color="auto" w:fill="FFFFFF"/>
        </w:rPr>
        <w:t>Ratings</w:t>
      </w:r>
      <w:proofErr w:type="spellEnd"/>
      <w:r>
        <w:rPr>
          <w:rFonts w:ascii="Arial" w:hAnsi="Arial" w:cs="Arial"/>
          <w:color w:val="212529"/>
          <w:shd w:val="clear" w:color="auto" w:fill="FFFFFF"/>
        </w:rPr>
        <w:t>“ priėmė ir dėl Latvijos bei Estijos, jų skolinimosi reitingus atitinkamai sumažindama į „A“ bei „A+“ su stabiliomis perspektyvomis.</w:t>
      </w:r>
      <w:r>
        <w:rPr>
          <w:rFonts w:ascii="Arial" w:hAnsi="Arial" w:cs="Arial"/>
          <w:color w:val="212529"/>
        </w:rPr>
        <w:br/>
      </w:r>
    </w:p>
    <w:p w14:paraId="2470D2F6" w14:textId="72D57321" w:rsidR="00F02E86" w:rsidRPr="00F02E86" w:rsidRDefault="00F02E86" w:rsidP="00B4325B">
      <w:pPr>
        <w:jc w:val="both"/>
        <w:rPr>
          <w:rFonts w:ascii="Arial" w:eastAsia="Arial" w:hAnsi="Arial" w:cs="Arial"/>
          <w:i/>
          <w:iCs/>
        </w:rPr>
      </w:pP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55E65EDA" w:rsidR="003E24A5" w:rsidRPr="00A00450" w:rsidRDefault="005C1D74" w:rsidP="00B4325B">
      <w:pPr>
        <w:contextualSpacing/>
        <w:jc w:val="both"/>
        <w:rPr>
          <w:rFonts w:ascii="Arial" w:eastAsia="Calibri" w:hAnsi="Arial" w:cs="Arial"/>
          <w:shd w:val="clear" w:color="auto" w:fill="FFFFFF"/>
        </w:rPr>
      </w:pPr>
      <w:r>
        <w:rPr>
          <w:rFonts w:ascii="Arial" w:eastAsia="Calibri" w:hAnsi="Arial" w:cs="Arial"/>
          <w:shd w:val="clear" w:color="auto" w:fill="FFFFFF"/>
        </w:rPr>
        <w:t>Greta Jankaitytė</w:t>
      </w:r>
    </w:p>
    <w:p w14:paraId="68D4CDE4" w14:textId="35FA505E" w:rsidR="003E24A5" w:rsidRPr="005C1D74" w:rsidRDefault="003E24A5" w:rsidP="00B4325B">
      <w:pPr>
        <w:contextualSpacing/>
        <w:jc w:val="both"/>
        <w:rPr>
          <w:rFonts w:ascii="Arial" w:eastAsia="Calibri" w:hAnsi="Arial" w:cs="Arial"/>
          <w:shd w:val="clear" w:color="auto" w:fill="FFFFFF"/>
          <w:lang w:val="en-US"/>
        </w:rPr>
      </w:pPr>
      <w:r w:rsidRPr="00A00450">
        <w:rPr>
          <w:rFonts w:ascii="Arial" w:eastAsia="Calibri" w:hAnsi="Arial" w:cs="Arial"/>
          <w:shd w:val="clear" w:color="auto" w:fill="FFFFFF"/>
        </w:rPr>
        <w:t>+370</w:t>
      </w:r>
      <w:r w:rsidR="005C1D74">
        <w:rPr>
          <w:rFonts w:ascii="Arial" w:eastAsia="Calibri" w:hAnsi="Arial" w:cs="Arial"/>
          <w:shd w:val="clear" w:color="auto" w:fill="FFFFFF"/>
        </w:rPr>
        <w:t> </w:t>
      </w:r>
      <w:r w:rsidRPr="00A00450">
        <w:rPr>
          <w:rFonts w:ascii="Arial" w:eastAsia="Calibri" w:hAnsi="Arial" w:cs="Arial"/>
          <w:shd w:val="clear" w:color="auto" w:fill="FFFFFF"/>
        </w:rPr>
        <w:t>6</w:t>
      </w:r>
      <w:r w:rsidR="005C1D74">
        <w:rPr>
          <w:rFonts w:ascii="Arial" w:eastAsia="Calibri" w:hAnsi="Arial" w:cs="Arial"/>
          <w:shd w:val="clear" w:color="auto" w:fill="FFFFFF"/>
          <w:lang w:val="en-US"/>
        </w:rPr>
        <w:t>12 73440</w:t>
      </w:r>
    </w:p>
    <w:p w14:paraId="54FCD6E0" w14:textId="154D81A7" w:rsidR="00A00450" w:rsidRPr="00A00450" w:rsidRDefault="005C1D74" w:rsidP="00B4325B">
      <w:pPr>
        <w:contextualSpacing/>
        <w:jc w:val="both"/>
        <w:rPr>
          <w:rFonts w:ascii="Arial" w:eastAsia="Arial" w:hAnsi="Arial" w:cs="Arial"/>
          <w:color w:val="000000" w:themeColor="text1"/>
        </w:rPr>
      </w:pPr>
      <w:r>
        <w:rPr>
          <w:rFonts w:ascii="Arial" w:eastAsia="Calibri" w:hAnsi="Arial" w:cs="Arial"/>
          <w:shd w:val="clear" w:color="auto" w:fill="FFFFFF"/>
        </w:rPr>
        <w:lastRenderedPageBreak/>
        <w:t>greta.j</w:t>
      </w:r>
      <w:r w:rsidR="003E24A5" w:rsidRPr="00A00450">
        <w:rPr>
          <w:rFonts w:ascii="Arial" w:eastAsia="Calibri" w:hAnsi="Arial" w:cs="Arial"/>
          <w:shd w:val="clear" w:color="auto" w:fill="FFFFFF"/>
        </w:rPr>
        <w:t>@coagency.lt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0DDAC1CB"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5C1D74">
      <w:rPr>
        <w:rFonts w:ascii="Calibri" w:eastAsia="Calibri" w:hAnsi="Calibri" w:cs="Times New Roman"/>
        <w:sz w:val="20"/>
      </w:rPr>
      <w:t>liepos</w:t>
    </w:r>
    <w:r w:rsidR="00642F76">
      <w:rPr>
        <w:rFonts w:ascii="Calibri" w:eastAsia="Calibri" w:hAnsi="Calibri" w:cs="Times New Roman"/>
        <w:sz w:val="20"/>
      </w:rPr>
      <w:t xml:space="preserve"> </w:t>
    </w:r>
    <w:r w:rsidR="005C1D74">
      <w:rPr>
        <w:rFonts w:ascii="Calibri" w:eastAsia="Calibri" w:hAnsi="Calibri" w:cs="Times New Roman"/>
        <w:sz w:val="20"/>
        <w:lang w:val="en-US"/>
      </w:rPr>
      <w:t>1</w:t>
    </w:r>
    <w:r w:rsidRPr="0015437D">
      <w:rPr>
        <w:rFonts w:ascii="Calibri" w:eastAsia="Calibri" w:hAnsi="Calibri" w:cs="Times New Roman"/>
        <w:sz w:val="20"/>
      </w:rPr>
      <w:t xml:space="preserve"> d. </w:t>
    </w:r>
  </w:p>
  <w:p w14:paraId="0DBFE0D0" w14:textId="77777777" w:rsidR="0015437D" w:rsidRDefault="001543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4C3B"/>
    <w:rsid w:val="001D5639"/>
    <w:rsid w:val="00211AC1"/>
    <w:rsid w:val="0021BB91"/>
    <w:rsid w:val="002258FB"/>
    <w:rsid w:val="002541AA"/>
    <w:rsid w:val="00261104"/>
    <w:rsid w:val="00263AA1"/>
    <w:rsid w:val="00281A4F"/>
    <w:rsid w:val="002B5ABF"/>
    <w:rsid w:val="002E6812"/>
    <w:rsid w:val="00321D4A"/>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45F9D"/>
    <w:rsid w:val="00574389"/>
    <w:rsid w:val="0059710B"/>
    <w:rsid w:val="005A66E0"/>
    <w:rsid w:val="005C1D74"/>
    <w:rsid w:val="005D7978"/>
    <w:rsid w:val="005E0141"/>
    <w:rsid w:val="005E2342"/>
    <w:rsid w:val="005F2E00"/>
    <w:rsid w:val="00600D39"/>
    <w:rsid w:val="00614695"/>
    <w:rsid w:val="00642F76"/>
    <w:rsid w:val="00661EAF"/>
    <w:rsid w:val="0067452E"/>
    <w:rsid w:val="006762E6"/>
    <w:rsid w:val="006D1EDB"/>
    <w:rsid w:val="007070C4"/>
    <w:rsid w:val="00744335"/>
    <w:rsid w:val="00762543"/>
    <w:rsid w:val="0078436C"/>
    <w:rsid w:val="0079410A"/>
    <w:rsid w:val="007C3BC9"/>
    <w:rsid w:val="007E46A0"/>
    <w:rsid w:val="007F28D0"/>
    <w:rsid w:val="00871A9A"/>
    <w:rsid w:val="008C4F21"/>
    <w:rsid w:val="008D027D"/>
    <w:rsid w:val="008E07FA"/>
    <w:rsid w:val="008F03BA"/>
    <w:rsid w:val="008F55F3"/>
    <w:rsid w:val="009017F5"/>
    <w:rsid w:val="00937B9E"/>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AD33CA"/>
    <w:rsid w:val="00B03BD2"/>
    <w:rsid w:val="00B105C4"/>
    <w:rsid w:val="00B119A2"/>
    <w:rsid w:val="00B41D9D"/>
    <w:rsid w:val="00B4325B"/>
    <w:rsid w:val="00B91F36"/>
    <w:rsid w:val="00C57996"/>
    <w:rsid w:val="00C6396E"/>
    <w:rsid w:val="00C775C2"/>
    <w:rsid w:val="00CB0323"/>
    <w:rsid w:val="00CB212D"/>
    <w:rsid w:val="00CE7906"/>
    <w:rsid w:val="00D073D0"/>
    <w:rsid w:val="00D31FC6"/>
    <w:rsid w:val="00D37D10"/>
    <w:rsid w:val="00D37E55"/>
    <w:rsid w:val="00DE2D9D"/>
    <w:rsid w:val="00E21EE1"/>
    <w:rsid w:val="00E4080E"/>
    <w:rsid w:val="00E47CBE"/>
    <w:rsid w:val="00E549EB"/>
    <w:rsid w:val="00EB685F"/>
    <w:rsid w:val="00EF0132"/>
    <w:rsid w:val="00EF0BE9"/>
    <w:rsid w:val="00F02E86"/>
    <w:rsid w:val="00F17170"/>
    <w:rsid w:val="00F3566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B03BD2"/>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30B8B"/>
    <w:pPr>
      <w:spacing w:after="0" w:line="240" w:lineRule="auto"/>
    </w:pPr>
  </w:style>
  <w:style w:type="paragraph" w:styleId="CommentSubject">
    <w:name w:val="annotation subject"/>
    <w:basedOn w:val="CommentText"/>
    <w:next w:val="CommentText"/>
    <w:link w:val="CommentSubjectChar"/>
    <w:uiPriority w:val="99"/>
    <w:semiHidden/>
    <w:unhideWhenUsed/>
    <w:rsid w:val="00497251"/>
    <w:rPr>
      <w:b/>
      <w:bCs/>
    </w:rPr>
  </w:style>
  <w:style w:type="character" w:customStyle="1" w:styleId="CommentSubjectChar">
    <w:name w:val="Comment Subject Char"/>
    <w:basedOn w:val="CommentTextChar"/>
    <w:link w:val="CommentSubject"/>
    <w:uiPriority w:val="99"/>
    <w:semiHidden/>
    <w:rsid w:val="00497251"/>
    <w:rPr>
      <w:b/>
      <w:bCs/>
      <w:sz w:val="20"/>
      <w:szCs w:val="20"/>
    </w:rPr>
  </w:style>
  <w:style w:type="paragraph" w:styleId="Header">
    <w:name w:val="header"/>
    <w:basedOn w:val="Normal"/>
    <w:link w:val="HeaderChar"/>
    <w:uiPriority w:val="99"/>
    <w:unhideWhenUsed/>
    <w:rsid w:val="0015437D"/>
    <w:pPr>
      <w:tabs>
        <w:tab w:val="center" w:pos="4986"/>
        <w:tab w:val="right" w:pos="9972"/>
      </w:tabs>
      <w:spacing w:after="0" w:line="240" w:lineRule="auto"/>
    </w:pPr>
  </w:style>
  <w:style w:type="character" w:customStyle="1" w:styleId="HeaderChar">
    <w:name w:val="Header Char"/>
    <w:basedOn w:val="DefaultParagraphFont"/>
    <w:link w:val="Header"/>
    <w:uiPriority w:val="99"/>
    <w:rsid w:val="0015437D"/>
  </w:style>
  <w:style w:type="paragraph" w:styleId="Footer">
    <w:name w:val="footer"/>
    <w:basedOn w:val="Normal"/>
    <w:link w:val="FooterChar"/>
    <w:uiPriority w:val="99"/>
    <w:unhideWhenUsed/>
    <w:rsid w:val="0015437D"/>
    <w:pPr>
      <w:tabs>
        <w:tab w:val="center" w:pos="4986"/>
        <w:tab w:val="right" w:pos="9972"/>
      </w:tabs>
      <w:spacing w:after="0" w:line="240" w:lineRule="auto"/>
    </w:pPr>
  </w:style>
  <w:style w:type="character" w:customStyle="1" w:styleId="FooterChar">
    <w:name w:val="Footer Char"/>
    <w:basedOn w:val="DefaultParagraphFont"/>
    <w:link w:val="Footer"/>
    <w:uiPriority w:val="99"/>
    <w:rsid w:val="0015437D"/>
  </w:style>
  <w:style w:type="paragraph" w:customStyle="1" w:styleId="paragraph">
    <w:name w:val="paragraph"/>
    <w:basedOn w:val="Normal"/>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5238</Words>
  <Characters>2986</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Greta Jankaitytė</cp:lastModifiedBy>
  <cp:revision>2</cp:revision>
  <dcterms:created xsi:type="dcterms:W3CDTF">2024-07-01T06:21:00Z</dcterms:created>
  <dcterms:modified xsi:type="dcterms:W3CDTF">2024-07-01T06:21:00Z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