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4E675" w14:textId="1E417056" w:rsidR="009254CD" w:rsidRPr="009254CD" w:rsidRDefault="009254CD" w:rsidP="007F515C">
      <w:pPr>
        <w:spacing w:after="120" w:line="240" w:lineRule="auto"/>
        <w:jc w:val="center"/>
        <w:rPr>
          <w:rFonts w:asciiTheme="majorHAnsi" w:hAnsiTheme="majorHAnsi" w:cstheme="majorHAnsi"/>
          <w:b/>
          <w:sz w:val="28"/>
          <w:szCs w:val="28"/>
        </w:rPr>
      </w:pPr>
      <w:r w:rsidRPr="009254CD">
        <w:rPr>
          <w:rFonts w:asciiTheme="majorHAnsi" w:hAnsiTheme="majorHAnsi" w:cstheme="majorHAnsi"/>
          <w:b/>
          <w:sz w:val="28"/>
          <w:szCs w:val="28"/>
        </w:rPr>
        <w:t xml:space="preserve">Investicijų profesionalai sureitingavo Kauno rajonus: </w:t>
      </w:r>
      <w:r w:rsidR="007F515C">
        <w:rPr>
          <w:rFonts w:asciiTheme="majorHAnsi" w:hAnsiTheme="majorHAnsi" w:cstheme="majorHAnsi"/>
          <w:b/>
          <w:sz w:val="28"/>
          <w:szCs w:val="28"/>
        </w:rPr>
        <w:t xml:space="preserve">trijuose </w:t>
      </w:r>
      <w:r w:rsidR="007F515C" w:rsidRPr="009254CD">
        <w:rPr>
          <w:rFonts w:asciiTheme="majorHAnsi" w:hAnsiTheme="majorHAnsi" w:cstheme="majorHAnsi"/>
          <w:b/>
          <w:sz w:val="28"/>
          <w:szCs w:val="28"/>
        </w:rPr>
        <w:t>mato didžiausią perspektyvą</w:t>
      </w:r>
    </w:p>
    <w:p w14:paraId="0039EBC7" w14:textId="77777777" w:rsidR="009254CD" w:rsidRPr="009254CD" w:rsidRDefault="009254CD" w:rsidP="005C1B87">
      <w:pPr>
        <w:spacing w:after="120" w:line="240" w:lineRule="auto"/>
      </w:pPr>
    </w:p>
    <w:p w14:paraId="0CA3FEA4" w14:textId="564BAA46" w:rsidR="009254CD" w:rsidRPr="005C1B87" w:rsidRDefault="009254CD" w:rsidP="00676418">
      <w:pPr>
        <w:spacing w:after="160" w:line="259" w:lineRule="auto"/>
        <w:jc w:val="both"/>
        <w:rPr>
          <w:rFonts w:ascii="Calibri" w:hAnsi="Calibri" w:cs="Calibri"/>
          <w:b/>
          <w:bCs/>
        </w:rPr>
      </w:pPr>
      <w:r w:rsidRPr="005C1B87">
        <w:rPr>
          <w:rFonts w:ascii="Calibri" w:hAnsi="Calibri" w:cs="Calibri"/>
          <w:b/>
          <w:bCs/>
        </w:rPr>
        <w:t>Ant dviejų didžiausių Lietuvos upių santakos įsikūręs Kaunas – vienas patraukliausių Lietuvos miestų ne tik gyventi, bet ir investuoti į nekilnojamąjį turtą (NT). Fondų valdymo bendrovės „</w:t>
      </w:r>
      <w:proofErr w:type="spellStart"/>
      <w:r w:rsidRPr="005C1B87">
        <w:rPr>
          <w:rFonts w:ascii="Calibri" w:hAnsi="Calibri" w:cs="Calibri"/>
          <w:b/>
          <w:bCs/>
        </w:rPr>
        <w:t>Demus</w:t>
      </w:r>
      <w:proofErr w:type="spellEnd"/>
      <w:r w:rsidRPr="005C1B87">
        <w:rPr>
          <w:rFonts w:ascii="Calibri" w:hAnsi="Calibri" w:cs="Calibri"/>
          <w:b/>
          <w:bCs/>
        </w:rPr>
        <w:t xml:space="preserve"> </w:t>
      </w:r>
      <w:proofErr w:type="spellStart"/>
      <w:r w:rsidRPr="005C1B87">
        <w:rPr>
          <w:rFonts w:ascii="Calibri" w:hAnsi="Calibri" w:cs="Calibri"/>
          <w:b/>
          <w:bCs/>
        </w:rPr>
        <w:t>Asset</w:t>
      </w:r>
      <w:proofErr w:type="spellEnd"/>
      <w:r w:rsidRPr="005C1B87">
        <w:rPr>
          <w:rFonts w:ascii="Calibri" w:hAnsi="Calibri" w:cs="Calibri"/>
          <w:b/>
          <w:bCs/>
        </w:rPr>
        <w:t xml:space="preserve"> </w:t>
      </w:r>
      <w:proofErr w:type="spellStart"/>
      <w:r w:rsidRPr="005C1B87">
        <w:rPr>
          <w:rFonts w:ascii="Calibri" w:hAnsi="Calibri" w:cs="Calibri"/>
          <w:b/>
          <w:bCs/>
        </w:rPr>
        <w:t>Management</w:t>
      </w:r>
      <w:proofErr w:type="spellEnd"/>
      <w:r w:rsidRPr="005C1B87">
        <w:rPr>
          <w:rFonts w:ascii="Calibri" w:hAnsi="Calibri" w:cs="Calibri"/>
          <w:b/>
          <w:bCs/>
        </w:rPr>
        <w:t>“ duomenimis, kai kurie sparčiai besiplečiantys Kauno mikrorajonai šiandien turi išskirtinį investicinį potencialą.</w:t>
      </w:r>
    </w:p>
    <w:p w14:paraId="679F3513" w14:textId="7DFE7D46" w:rsidR="002B7AF5" w:rsidRPr="005C1B87" w:rsidRDefault="002B7AF5" w:rsidP="00676418">
      <w:pPr>
        <w:spacing w:after="160" w:line="259" w:lineRule="auto"/>
        <w:jc w:val="both"/>
        <w:rPr>
          <w:rFonts w:ascii="Calibri" w:hAnsi="Calibri" w:cs="Calibri"/>
        </w:rPr>
      </w:pPr>
      <w:r w:rsidRPr="005C1B87">
        <w:rPr>
          <w:rFonts w:ascii="Calibri" w:hAnsi="Calibri" w:cs="Calibri"/>
        </w:rPr>
        <w:t>„</w:t>
      </w:r>
      <w:r w:rsidR="009254CD" w:rsidRPr="005C1B87">
        <w:rPr>
          <w:rFonts w:ascii="Calibri" w:hAnsi="Calibri" w:cs="Calibri"/>
        </w:rPr>
        <w:t>Prognozuoti, kokios yra miesto rajonų augimo perspektyvos, galima remiantis miesto urbanistų ir NT vystytojų ketinimais bei investuotojų entuziazmu</w:t>
      </w:r>
      <w:r w:rsidRPr="005C1B87">
        <w:rPr>
          <w:rFonts w:ascii="Calibri" w:hAnsi="Calibri" w:cs="Calibri"/>
        </w:rPr>
        <w:t xml:space="preserve">,“ – </w:t>
      </w:r>
      <w:r w:rsidR="009254CD" w:rsidRPr="005C1B87">
        <w:rPr>
          <w:rFonts w:ascii="Calibri" w:hAnsi="Calibri" w:cs="Calibri"/>
        </w:rPr>
        <w:t>sako „</w:t>
      </w:r>
      <w:proofErr w:type="spellStart"/>
      <w:r w:rsidR="009254CD" w:rsidRPr="005C1B87">
        <w:rPr>
          <w:rFonts w:ascii="Calibri" w:hAnsi="Calibri" w:cs="Calibri"/>
        </w:rPr>
        <w:t>Demus</w:t>
      </w:r>
      <w:proofErr w:type="spellEnd"/>
      <w:r w:rsidR="009254CD" w:rsidRPr="005C1B87">
        <w:rPr>
          <w:rFonts w:ascii="Calibri" w:hAnsi="Calibri" w:cs="Calibri"/>
        </w:rPr>
        <w:t xml:space="preserve"> </w:t>
      </w:r>
      <w:proofErr w:type="spellStart"/>
      <w:r w:rsidR="009254CD" w:rsidRPr="005C1B87">
        <w:rPr>
          <w:rFonts w:ascii="Calibri" w:hAnsi="Calibri" w:cs="Calibri"/>
        </w:rPr>
        <w:t>Asset</w:t>
      </w:r>
      <w:proofErr w:type="spellEnd"/>
      <w:r w:rsidR="009254CD" w:rsidRPr="005C1B87">
        <w:rPr>
          <w:rFonts w:ascii="Calibri" w:hAnsi="Calibri" w:cs="Calibri"/>
        </w:rPr>
        <w:t xml:space="preserve"> </w:t>
      </w:r>
      <w:proofErr w:type="spellStart"/>
      <w:r w:rsidR="009254CD" w:rsidRPr="005C1B87">
        <w:rPr>
          <w:rFonts w:ascii="Calibri" w:hAnsi="Calibri" w:cs="Calibri"/>
        </w:rPr>
        <w:t>Management</w:t>
      </w:r>
      <w:proofErr w:type="spellEnd"/>
      <w:r w:rsidR="009254CD" w:rsidRPr="005C1B87">
        <w:rPr>
          <w:rFonts w:ascii="Calibri" w:hAnsi="Calibri" w:cs="Calibri"/>
        </w:rPr>
        <w:t>“ vadovas Alenas Gumuliauskas.</w:t>
      </w:r>
    </w:p>
    <w:p w14:paraId="04298435" w14:textId="473F8533" w:rsidR="009254CD" w:rsidRPr="00676418" w:rsidRDefault="009254CD" w:rsidP="00676418">
      <w:pPr>
        <w:spacing w:after="160" w:line="259" w:lineRule="auto"/>
        <w:jc w:val="both"/>
        <w:rPr>
          <w:rFonts w:ascii="Calibri" w:hAnsi="Calibri" w:cs="Calibri"/>
        </w:rPr>
      </w:pPr>
      <w:r w:rsidRPr="005C1B87">
        <w:rPr>
          <w:rFonts w:ascii="Calibri" w:hAnsi="Calibri" w:cs="Calibri"/>
        </w:rPr>
        <w:t>Eksperto teigimu, ateities mikrorajonais galima vadinti kelias Kauno vietas, kuriose turto vertė turėtų augti sparčiausiai. Tai – Aleksotas / Freda, Žaliakalnis ir Šančiai.</w:t>
      </w:r>
    </w:p>
    <w:p w14:paraId="67C55E59" w14:textId="4BF2044C" w:rsidR="009254CD" w:rsidRPr="005C1B87" w:rsidRDefault="009254CD" w:rsidP="00676418">
      <w:pPr>
        <w:spacing w:after="160" w:line="259" w:lineRule="auto"/>
        <w:jc w:val="both"/>
        <w:rPr>
          <w:rFonts w:ascii="Calibri" w:hAnsi="Calibri" w:cs="Calibri"/>
          <w:b/>
          <w:bCs/>
        </w:rPr>
      </w:pPr>
      <w:r w:rsidRPr="005C1B87">
        <w:rPr>
          <w:rFonts w:ascii="Calibri" w:hAnsi="Calibri" w:cs="Calibri"/>
          <w:b/>
          <w:bCs/>
        </w:rPr>
        <w:t>Ambicingi pla</w:t>
      </w:r>
      <w:r w:rsidR="005C1B87">
        <w:rPr>
          <w:rFonts w:ascii="Calibri" w:hAnsi="Calibri" w:cs="Calibri"/>
          <w:b/>
          <w:bCs/>
        </w:rPr>
        <w:t>n</w:t>
      </w:r>
      <w:r w:rsidRPr="005C1B87">
        <w:rPr>
          <w:rFonts w:ascii="Calibri" w:hAnsi="Calibri" w:cs="Calibri"/>
          <w:b/>
          <w:bCs/>
        </w:rPr>
        <w:t>ai Aleksote ir Fredoje</w:t>
      </w:r>
    </w:p>
    <w:p w14:paraId="2A6C9824" w14:textId="6ACD68BC" w:rsidR="009254CD" w:rsidRPr="005C1B87" w:rsidRDefault="009254CD" w:rsidP="00676418">
      <w:pPr>
        <w:spacing w:after="160" w:line="259" w:lineRule="auto"/>
        <w:jc w:val="both"/>
        <w:rPr>
          <w:rFonts w:ascii="Calibri" w:hAnsi="Calibri" w:cs="Calibri"/>
        </w:rPr>
      </w:pPr>
      <w:r w:rsidRPr="005C1B87">
        <w:rPr>
          <w:rFonts w:ascii="Calibri" w:hAnsi="Calibri" w:cs="Calibri"/>
        </w:rPr>
        <w:t>Pasak „</w:t>
      </w:r>
      <w:proofErr w:type="spellStart"/>
      <w:r w:rsidRPr="005C1B87">
        <w:rPr>
          <w:rFonts w:ascii="Calibri" w:hAnsi="Calibri" w:cs="Calibri"/>
        </w:rPr>
        <w:t>Demus</w:t>
      </w:r>
      <w:proofErr w:type="spellEnd"/>
      <w:r w:rsidRPr="005C1B87">
        <w:rPr>
          <w:rFonts w:ascii="Calibri" w:hAnsi="Calibri" w:cs="Calibri"/>
        </w:rPr>
        <w:t xml:space="preserve"> </w:t>
      </w:r>
      <w:proofErr w:type="spellStart"/>
      <w:r w:rsidRPr="005C1B87">
        <w:rPr>
          <w:rFonts w:ascii="Calibri" w:hAnsi="Calibri" w:cs="Calibri"/>
        </w:rPr>
        <w:t>Asset</w:t>
      </w:r>
      <w:proofErr w:type="spellEnd"/>
      <w:r w:rsidRPr="005C1B87">
        <w:rPr>
          <w:rFonts w:ascii="Calibri" w:hAnsi="Calibri" w:cs="Calibri"/>
        </w:rPr>
        <w:t xml:space="preserve"> </w:t>
      </w:r>
      <w:proofErr w:type="spellStart"/>
      <w:r w:rsidRPr="005C1B87">
        <w:rPr>
          <w:rFonts w:ascii="Calibri" w:hAnsi="Calibri" w:cs="Calibri"/>
        </w:rPr>
        <w:t>Management</w:t>
      </w:r>
      <w:proofErr w:type="spellEnd"/>
      <w:r w:rsidRPr="005C1B87">
        <w:rPr>
          <w:rFonts w:ascii="Calibri" w:hAnsi="Calibri" w:cs="Calibri"/>
        </w:rPr>
        <w:t xml:space="preserve">“ vadovo Aleno Gumuliausko, sparčiausia plėtra stebima aplink vis labiau atgyjantį ir iš bet kurio miesto taško lengvai pasiekiamą Kauno centrą. Pirmiausia, itin ambicingų planų turima prie pat centro esančioje Aleksoto ir Aukštosios bei Žemosios Fredos dalyje. </w:t>
      </w:r>
    </w:p>
    <w:p w14:paraId="044FE2CC" w14:textId="6537E06B" w:rsidR="009254CD" w:rsidRPr="005C1B87" w:rsidRDefault="009254CD" w:rsidP="00676418">
      <w:pPr>
        <w:spacing w:after="160" w:line="259" w:lineRule="auto"/>
        <w:jc w:val="both"/>
        <w:rPr>
          <w:rFonts w:ascii="Calibri" w:hAnsi="Calibri" w:cs="Calibri"/>
        </w:rPr>
      </w:pPr>
      <w:r w:rsidRPr="005C1B87">
        <w:rPr>
          <w:rFonts w:ascii="Calibri" w:hAnsi="Calibri" w:cs="Calibri"/>
        </w:rPr>
        <w:t>„Aleksoto ir Fredos plėtra yra vienas iš labiausiai intriguojančių Kauno miesto vystymo projektų. Didžiausią postūmį šių rajonų augimui davė jau rinkoje pasirodę projektai „Nemunaičiai“ ir „Matau Kauną“. Vien šiuose projektuose numatyta išvystyti daugiau nei 1 800 butų,“ – sako A. Gumuliauskas.</w:t>
      </w:r>
    </w:p>
    <w:p w14:paraId="71BCE1C9" w14:textId="344CC00A" w:rsidR="009254CD" w:rsidRPr="005C1B87" w:rsidRDefault="009254CD" w:rsidP="00676418">
      <w:pPr>
        <w:spacing w:after="160" w:line="259" w:lineRule="auto"/>
        <w:jc w:val="both"/>
        <w:rPr>
          <w:rFonts w:ascii="Calibri" w:hAnsi="Calibri" w:cs="Calibri"/>
        </w:rPr>
      </w:pPr>
      <w:r w:rsidRPr="005C1B87">
        <w:rPr>
          <w:rFonts w:ascii="Calibri" w:hAnsi="Calibri" w:cs="Calibri"/>
        </w:rPr>
        <w:t xml:space="preserve">Maža to, šalia „Nemunaičių“ esančiame sklype „SBA Urban“ planuoja vystyti </w:t>
      </w:r>
      <w:proofErr w:type="spellStart"/>
      <w:r w:rsidRPr="005C1B87">
        <w:rPr>
          <w:rFonts w:ascii="Calibri" w:hAnsi="Calibri" w:cs="Calibri"/>
        </w:rPr>
        <w:t>multifunkcinį</w:t>
      </w:r>
      <w:proofErr w:type="spellEnd"/>
      <w:r w:rsidRPr="005C1B87">
        <w:rPr>
          <w:rFonts w:ascii="Calibri" w:hAnsi="Calibri" w:cs="Calibri"/>
        </w:rPr>
        <w:t xml:space="preserve"> kompleksą, kuris dar labiau prisidės prie šios teritorijos patrauklumo gyventojams ir investuotojams. Čia taip pat planuojama pastatyti tiltą, kuris sujungs Aleksotą su Nemuno sala, o tai reikšmingai pagerins susisiekimą ir patogumą gyventojams, sako A. Gumuliauskas</w:t>
      </w:r>
      <w:r w:rsidR="00676418">
        <w:rPr>
          <w:rFonts w:ascii="Calibri" w:hAnsi="Calibri" w:cs="Calibri"/>
        </w:rPr>
        <w:t>.</w:t>
      </w:r>
    </w:p>
    <w:p w14:paraId="7C9B6148" w14:textId="2BA946E8" w:rsidR="009254CD" w:rsidRPr="005C1B87" w:rsidRDefault="009254CD" w:rsidP="00676418">
      <w:pPr>
        <w:spacing w:after="160" w:line="259" w:lineRule="auto"/>
        <w:jc w:val="both"/>
        <w:rPr>
          <w:rFonts w:ascii="Calibri" w:hAnsi="Calibri" w:cs="Calibri"/>
          <w:b/>
          <w:bCs/>
        </w:rPr>
      </w:pPr>
      <w:r w:rsidRPr="005C1B87">
        <w:rPr>
          <w:rFonts w:ascii="Calibri" w:hAnsi="Calibri" w:cs="Calibri"/>
          <w:b/>
          <w:bCs/>
        </w:rPr>
        <w:t>Savo vardą pateisinantis Žaliakalnis</w:t>
      </w:r>
    </w:p>
    <w:p w14:paraId="652C339E" w14:textId="18120A8D" w:rsidR="009254CD" w:rsidRPr="005C1B87" w:rsidRDefault="009254CD" w:rsidP="00676418">
      <w:pPr>
        <w:spacing w:after="160" w:line="259" w:lineRule="auto"/>
        <w:jc w:val="both"/>
        <w:rPr>
          <w:rFonts w:ascii="Calibri" w:hAnsi="Calibri" w:cs="Calibri"/>
        </w:rPr>
      </w:pPr>
      <w:r w:rsidRPr="005C1B87">
        <w:rPr>
          <w:rFonts w:ascii="Calibri" w:hAnsi="Calibri" w:cs="Calibri"/>
        </w:rPr>
        <w:t xml:space="preserve">Itin patrauklia vieta prestižiniam </w:t>
      </w:r>
      <w:r w:rsidR="00450698" w:rsidRPr="005C1B87">
        <w:rPr>
          <w:rFonts w:ascii="Calibri" w:hAnsi="Calibri" w:cs="Calibri"/>
        </w:rPr>
        <w:t xml:space="preserve">NT </w:t>
      </w:r>
      <w:r w:rsidRPr="005C1B87">
        <w:rPr>
          <w:rFonts w:ascii="Calibri" w:hAnsi="Calibri" w:cs="Calibri"/>
        </w:rPr>
        <w:t xml:space="preserve">tampa prie pat Kauno senamiesčio esantis Žaliakalnio mikrorajonas. Jis išsiskiria nedideliais, tačiau aukštos kokybės ir greitai vertę auginančiais projektais. </w:t>
      </w:r>
    </w:p>
    <w:p w14:paraId="03B9F513" w14:textId="072B75A7" w:rsidR="009254CD" w:rsidRPr="005C1B87" w:rsidRDefault="009254CD" w:rsidP="00676418">
      <w:pPr>
        <w:spacing w:after="160" w:line="259" w:lineRule="auto"/>
        <w:jc w:val="both"/>
        <w:rPr>
          <w:rFonts w:ascii="Calibri" w:hAnsi="Calibri" w:cs="Calibri"/>
        </w:rPr>
      </w:pPr>
      <w:r w:rsidRPr="005C1B87">
        <w:rPr>
          <w:rFonts w:ascii="Calibri" w:hAnsi="Calibri" w:cs="Calibri"/>
        </w:rPr>
        <w:t>„Didžiausi projektai Žaliakalnyje yra jau vystomi „</w:t>
      </w:r>
      <w:proofErr w:type="spellStart"/>
      <w:r w:rsidRPr="005C1B87">
        <w:rPr>
          <w:rFonts w:ascii="Calibri" w:hAnsi="Calibri" w:cs="Calibri"/>
        </w:rPr>
        <w:t>Naujapilis</w:t>
      </w:r>
      <w:proofErr w:type="spellEnd"/>
      <w:r w:rsidRPr="005C1B87">
        <w:rPr>
          <w:rFonts w:ascii="Calibri" w:hAnsi="Calibri" w:cs="Calibri"/>
        </w:rPr>
        <w:t>“ ir „</w:t>
      </w:r>
      <w:proofErr w:type="spellStart"/>
      <w:r w:rsidRPr="005C1B87">
        <w:rPr>
          <w:rFonts w:ascii="Calibri" w:hAnsi="Calibri" w:cs="Calibri"/>
        </w:rPr>
        <w:t>Radio</w:t>
      </w:r>
      <w:proofErr w:type="spellEnd"/>
      <w:r w:rsidRPr="005C1B87">
        <w:rPr>
          <w:rFonts w:ascii="Calibri" w:hAnsi="Calibri" w:cs="Calibri"/>
        </w:rPr>
        <w:t xml:space="preserve"> </w:t>
      </w:r>
      <w:proofErr w:type="spellStart"/>
      <w:r w:rsidRPr="005C1B87">
        <w:rPr>
          <w:rFonts w:ascii="Calibri" w:hAnsi="Calibri" w:cs="Calibri"/>
        </w:rPr>
        <w:t>City</w:t>
      </w:r>
      <w:proofErr w:type="spellEnd"/>
      <w:r w:rsidRPr="005C1B87">
        <w:rPr>
          <w:rFonts w:ascii="Calibri" w:hAnsi="Calibri" w:cs="Calibri"/>
        </w:rPr>
        <w:t xml:space="preserve">“, taip pat planuojamas projektas Mituvos g. 9. Tačiau vertę čia sparčiausiai augins mažieji projektai, esantys arčiausiai centro,“ – teigia A. Gumuliauskas. </w:t>
      </w:r>
    </w:p>
    <w:p w14:paraId="40EA0E38" w14:textId="294D4483" w:rsidR="009254CD" w:rsidRPr="005C1B87" w:rsidRDefault="009254CD" w:rsidP="00676418">
      <w:pPr>
        <w:spacing w:after="160" w:line="259" w:lineRule="auto"/>
        <w:jc w:val="both"/>
        <w:rPr>
          <w:rFonts w:ascii="Calibri" w:hAnsi="Calibri" w:cs="Calibri"/>
        </w:rPr>
      </w:pPr>
      <w:r w:rsidRPr="005C1B87">
        <w:rPr>
          <w:rFonts w:ascii="Calibri" w:hAnsi="Calibri" w:cs="Calibri"/>
        </w:rPr>
        <w:t>Pasak eksperto, Žaliakalnio patrauklumą lemia ir jo strateginė vieta – artumas senamiesčiui, puikus susisiekimas su miesto centru bei ramios, žaliausios miesto dalys.</w:t>
      </w:r>
    </w:p>
    <w:p w14:paraId="509B8F6A" w14:textId="4CEB0041" w:rsidR="009254CD" w:rsidRPr="005C1B87" w:rsidRDefault="009254CD" w:rsidP="00676418">
      <w:pPr>
        <w:spacing w:after="160" w:line="259" w:lineRule="auto"/>
        <w:jc w:val="both"/>
        <w:rPr>
          <w:rFonts w:ascii="Calibri" w:hAnsi="Calibri" w:cs="Calibri"/>
        </w:rPr>
      </w:pPr>
      <w:r w:rsidRPr="005C1B87">
        <w:rPr>
          <w:rFonts w:ascii="Calibri" w:hAnsi="Calibri" w:cs="Calibri"/>
        </w:rPr>
        <w:t>„Prestižin</w:t>
      </w:r>
      <w:r w:rsidR="00676418">
        <w:rPr>
          <w:rFonts w:ascii="Calibri" w:hAnsi="Calibri" w:cs="Calibri"/>
        </w:rPr>
        <w:t>į</w:t>
      </w:r>
      <w:r w:rsidRPr="005C1B87">
        <w:rPr>
          <w:rFonts w:ascii="Calibri" w:hAnsi="Calibri" w:cs="Calibri"/>
        </w:rPr>
        <w:t xml:space="preserve"> mikrorajon</w:t>
      </w:r>
      <w:r w:rsidR="00676418">
        <w:rPr>
          <w:rFonts w:ascii="Calibri" w:hAnsi="Calibri" w:cs="Calibri"/>
        </w:rPr>
        <w:t xml:space="preserve">ą </w:t>
      </w:r>
      <w:r w:rsidRPr="005C1B87">
        <w:rPr>
          <w:rFonts w:ascii="Calibri" w:hAnsi="Calibri" w:cs="Calibri"/>
        </w:rPr>
        <w:t xml:space="preserve">iš visų pusių supa medžiai: Ąžuolynas, Vytauto parkas, senais medžiais apaugusios gatvės, Neries ir Nemuno slėnių šlaitai. </w:t>
      </w:r>
      <w:r w:rsidR="002B7AF5" w:rsidRPr="005C1B87">
        <w:rPr>
          <w:rFonts w:ascii="Calibri" w:hAnsi="Calibri" w:cs="Calibri"/>
        </w:rPr>
        <w:t>V</w:t>
      </w:r>
      <w:r w:rsidRPr="005C1B87">
        <w:rPr>
          <w:rFonts w:ascii="Calibri" w:hAnsi="Calibri" w:cs="Calibri"/>
        </w:rPr>
        <w:t>isa tai vainikuoja prie pat centro esanti Žaliakalnio lokacija. Nedideli, bet kokybiški projektai čia turi didžiulį potencialą vertės augimui – jie skirti prestižiniam segmentui, todėl investicijos čia gali duoti didelę grąžą tiek trumpalaikėje, tiek ilgalaikėje perspektyvoje“, – pažymi A. Gumuliauskas.</w:t>
      </w:r>
    </w:p>
    <w:p w14:paraId="0F9293B1" w14:textId="144A1BF3" w:rsidR="009254CD" w:rsidRPr="005C1B87" w:rsidRDefault="009254CD" w:rsidP="00676418">
      <w:pPr>
        <w:spacing w:after="160" w:line="259" w:lineRule="auto"/>
        <w:jc w:val="both"/>
        <w:rPr>
          <w:rFonts w:ascii="Calibri" w:hAnsi="Calibri" w:cs="Calibri"/>
          <w:b/>
          <w:bCs/>
        </w:rPr>
      </w:pPr>
      <w:r w:rsidRPr="005C1B87">
        <w:rPr>
          <w:rFonts w:ascii="Calibri" w:hAnsi="Calibri" w:cs="Calibri"/>
          <w:b/>
          <w:bCs/>
        </w:rPr>
        <w:t>Nemuno vingyje įsitaisę Šančiai</w:t>
      </w:r>
    </w:p>
    <w:p w14:paraId="6A6B2DB8" w14:textId="7A1F0241" w:rsidR="009254CD" w:rsidRPr="005C1B87" w:rsidRDefault="009254CD" w:rsidP="00676418">
      <w:pPr>
        <w:spacing w:after="160" w:line="259" w:lineRule="auto"/>
        <w:jc w:val="both"/>
        <w:rPr>
          <w:rFonts w:ascii="Calibri" w:hAnsi="Calibri" w:cs="Calibri"/>
        </w:rPr>
      </w:pPr>
      <w:r w:rsidRPr="005C1B87">
        <w:rPr>
          <w:rFonts w:ascii="Calibri" w:hAnsi="Calibri" w:cs="Calibri"/>
        </w:rPr>
        <w:lastRenderedPageBreak/>
        <w:t xml:space="preserve">Taip pat netoli Kauno centro esantis Šančių mikrorajonas, įsitaisęs dailiame Nemuno vingyje, tampa vis patrauklesne vieta </w:t>
      </w:r>
      <w:r w:rsidR="00450698" w:rsidRPr="005C1B87">
        <w:rPr>
          <w:rFonts w:ascii="Calibri" w:hAnsi="Calibri" w:cs="Calibri"/>
        </w:rPr>
        <w:t xml:space="preserve">NT </w:t>
      </w:r>
      <w:r w:rsidRPr="005C1B87">
        <w:rPr>
          <w:rFonts w:ascii="Calibri" w:hAnsi="Calibri" w:cs="Calibri"/>
        </w:rPr>
        <w:t>plėtrai. Čia vis dar dominuoja privatūs namai, tačiau dėl savo išskirtinės lokacijos mikrorajonas turi daug potencialo ir daugiabučių vystymui.</w:t>
      </w:r>
    </w:p>
    <w:p w14:paraId="3D2EBA5D" w14:textId="70BAEF4F" w:rsidR="009254CD" w:rsidRPr="005C1B87" w:rsidRDefault="009254CD" w:rsidP="00676418">
      <w:pPr>
        <w:spacing w:after="160" w:line="259" w:lineRule="auto"/>
        <w:jc w:val="both"/>
        <w:rPr>
          <w:rFonts w:ascii="Calibri" w:hAnsi="Calibri" w:cs="Calibri"/>
        </w:rPr>
      </w:pPr>
      <w:r w:rsidRPr="005C1B87">
        <w:rPr>
          <w:rFonts w:ascii="Calibri" w:hAnsi="Calibri" w:cs="Calibri"/>
        </w:rPr>
        <w:t xml:space="preserve">„Šančiuose jau vykdomi keli reikšmingi projektai, kurie pritraukia vis daugiau dėmesio. </w:t>
      </w:r>
      <w:r w:rsidR="00676418">
        <w:rPr>
          <w:rFonts w:ascii="Calibri" w:hAnsi="Calibri" w:cs="Calibri"/>
        </w:rPr>
        <w:t>A</w:t>
      </w:r>
      <w:r w:rsidRPr="005C1B87">
        <w:rPr>
          <w:rFonts w:ascii="Calibri" w:hAnsi="Calibri" w:cs="Calibri"/>
        </w:rPr>
        <w:t>tskiro paminėjimo verti „Šanč</w:t>
      </w:r>
      <w:r w:rsidR="00450698" w:rsidRPr="005C1B87">
        <w:rPr>
          <w:rFonts w:ascii="Calibri" w:hAnsi="Calibri" w:cs="Calibri"/>
        </w:rPr>
        <w:t>i</w:t>
      </w:r>
      <w:r w:rsidRPr="005C1B87">
        <w:rPr>
          <w:rFonts w:ascii="Calibri" w:hAnsi="Calibri" w:cs="Calibri"/>
        </w:rPr>
        <w:t>ai“ ir „Juozapavičiaus 13“ projektai, esantys netoli Panemunės. Taip pat planuojami kvartalai Verkių g. 48 ir Kranto al. 4/6,“ – pažymi A. Gumuliauskas. Jo teigimu, šie projektai ne tik padidins būsto pasiūlą, bet ir prisidės prie viso mikrorajono infrastruktūros ir gyvenimo kokybės gerinimo.</w:t>
      </w:r>
    </w:p>
    <w:p w14:paraId="3BD1E525" w14:textId="16D6A41B" w:rsidR="009254CD" w:rsidRPr="005C1B87" w:rsidRDefault="009254CD" w:rsidP="00676418">
      <w:pPr>
        <w:spacing w:after="160" w:line="259" w:lineRule="auto"/>
        <w:jc w:val="both"/>
        <w:rPr>
          <w:rFonts w:ascii="Calibri" w:hAnsi="Calibri" w:cs="Calibri"/>
        </w:rPr>
      </w:pPr>
      <w:r w:rsidRPr="005C1B87">
        <w:rPr>
          <w:rFonts w:ascii="Calibri" w:hAnsi="Calibri" w:cs="Calibri"/>
        </w:rPr>
        <w:t>Šančių plėtra yra svarbus žingsnis siekiant sukurti daugiau gyvenamųjų erdvių Kaune ir atliepti augančius būsto poreikius, o investicijos į šią vietovę gali ne tik suteikti puikias gyvenimo sąlygas naujakuriams, bet ir ženkliai padidinti turto vertę ilgalaikėje perspektyvoje, teigia investicijų ekspertas.</w:t>
      </w:r>
    </w:p>
    <w:p w14:paraId="74E7DC04" w14:textId="43626D6F" w:rsidR="00895FB3" w:rsidRPr="005C1B87" w:rsidRDefault="009254CD" w:rsidP="00676418">
      <w:pPr>
        <w:spacing w:after="160" w:line="259" w:lineRule="auto"/>
        <w:jc w:val="both"/>
        <w:rPr>
          <w:rFonts w:ascii="Calibri" w:hAnsi="Calibri" w:cs="Calibri"/>
        </w:rPr>
      </w:pPr>
      <w:r w:rsidRPr="005C1B87">
        <w:rPr>
          <w:rFonts w:ascii="Calibri" w:hAnsi="Calibri" w:cs="Calibri"/>
        </w:rPr>
        <w:t xml:space="preserve">Nors sparčiausiai plėtra šiuo metu vyksta netoli centro esančiuose mikrorajonuose, nevertėtų pamiršti ir Dainavos bei </w:t>
      </w:r>
      <w:proofErr w:type="spellStart"/>
      <w:r w:rsidRPr="005C1B87">
        <w:rPr>
          <w:rFonts w:ascii="Calibri" w:hAnsi="Calibri" w:cs="Calibri"/>
        </w:rPr>
        <w:t>Gričiupio</w:t>
      </w:r>
      <w:proofErr w:type="spellEnd"/>
      <w:r w:rsidRPr="005C1B87">
        <w:rPr>
          <w:rFonts w:ascii="Calibri" w:hAnsi="Calibri" w:cs="Calibri"/>
        </w:rPr>
        <w:t>, pažymi pašnekovas.</w:t>
      </w:r>
    </w:p>
    <w:p w14:paraId="3EB55FB1" w14:textId="6D359E60" w:rsidR="009254CD" w:rsidRPr="005C1B87" w:rsidRDefault="00895FB3" w:rsidP="00676418">
      <w:pPr>
        <w:spacing w:after="160" w:line="259" w:lineRule="auto"/>
        <w:jc w:val="both"/>
        <w:rPr>
          <w:rFonts w:ascii="Calibri" w:hAnsi="Calibri" w:cs="Calibri"/>
        </w:rPr>
      </w:pPr>
      <w:r w:rsidRPr="005C1B87">
        <w:rPr>
          <w:rFonts w:ascii="Calibri" w:hAnsi="Calibri" w:cs="Calibri"/>
        </w:rPr>
        <w:t>„Nors tai yra standartiniai „miegamieji“ rajonai ir juose  trūksta traukos centrų –  laisvalaikio ir pramogų vietų, verslo centrų, per pastaruosius keletą metų dėmesys šiems rajonams augo. Tikėtina, kad ekonominio būsto ieškantys žmonės vis dažniau atsigręš iš šias miesto dalį“, – priduria A. Gumuliauskas.</w:t>
      </w:r>
    </w:p>
    <w:p w14:paraId="520E7193" w14:textId="320D1C0F" w:rsidR="009254CD" w:rsidRPr="005C1B87" w:rsidRDefault="009254CD" w:rsidP="00676418">
      <w:pPr>
        <w:spacing w:after="160" w:line="259" w:lineRule="auto"/>
        <w:jc w:val="both"/>
        <w:rPr>
          <w:rFonts w:ascii="Calibri" w:hAnsi="Calibri" w:cs="Calibri"/>
          <w:b/>
          <w:bCs/>
        </w:rPr>
      </w:pPr>
      <w:r w:rsidRPr="005C1B87">
        <w:rPr>
          <w:rFonts w:ascii="Calibri" w:hAnsi="Calibri" w:cs="Calibri"/>
          <w:b/>
          <w:bCs/>
        </w:rPr>
        <w:t>Trijų rajonų vertė per kelis metus padvigubėjo</w:t>
      </w:r>
    </w:p>
    <w:p w14:paraId="08730324" w14:textId="3BFA3208" w:rsidR="009254CD" w:rsidRPr="005C1B87" w:rsidRDefault="009254CD" w:rsidP="00676418">
      <w:pPr>
        <w:spacing w:after="160" w:line="259" w:lineRule="auto"/>
        <w:jc w:val="both"/>
        <w:rPr>
          <w:rFonts w:ascii="Calibri" w:hAnsi="Calibri" w:cs="Calibri"/>
        </w:rPr>
      </w:pPr>
      <w:r w:rsidRPr="005C1B87">
        <w:rPr>
          <w:rFonts w:ascii="Calibri" w:hAnsi="Calibri" w:cs="Calibri"/>
        </w:rPr>
        <w:t>Anksčiau dar tik laikyti perspektyviais, kai kurie Kauno rajonai jau išaugo, vis dar tebeauga ir, tikėtina, į juos investavusiems asmenims atnešė nemenką grąžą. Sparčiausiai pastaruosius šešerius metus vertę augino Aleksotas – čia naujų projektų vertė išaugo net 134 proc., rodo NT fondus valdančios įmonės „</w:t>
      </w:r>
      <w:proofErr w:type="spellStart"/>
      <w:r w:rsidRPr="005C1B87">
        <w:rPr>
          <w:rFonts w:ascii="Calibri" w:hAnsi="Calibri" w:cs="Calibri"/>
        </w:rPr>
        <w:t>Demus</w:t>
      </w:r>
      <w:proofErr w:type="spellEnd"/>
      <w:r w:rsidRPr="005C1B87">
        <w:rPr>
          <w:rFonts w:ascii="Calibri" w:hAnsi="Calibri" w:cs="Calibri"/>
        </w:rPr>
        <w:t xml:space="preserve"> </w:t>
      </w:r>
      <w:proofErr w:type="spellStart"/>
      <w:r w:rsidRPr="005C1B87">
        <w:rPr>
          <w:rFonts w:ascii="Calibri" w:hAnsi="Calibri" w:cs="Calibri"/>
        </w:rPr>
        <w:t>Asset</w:t>
      </w:r>
      <w:proofErr w:type="spellEnd"/>
      <w:r w:rsidRPr="005C1B87">
        <w:rPr>
          <w:rFonts w:ascii="Calibri" w:hAnsi="Calibri" w:cs="Calibri"/>
        </w:rPr>
        <w:t xml:space="preserve"> </w:t>
      </w:r>
      <w:proofErr w:type="spellStart"/>
      <w:r w:rsidRPr="005C1B87">
        <w:rPr>
          <w:rFonts w:ascii="Calibri" w:hAnsi="Calibri" w:cs="Calibri"/>
        </w:rPr>
        <w:t>Management</w:t>
      </w:r>
      <w:proofErr w:type="spellEnd"/>
      <w:r w:rsidRPr="005C1B87">
        <w:rPr>
          <w:rFonts w:ascii="Calibri" w:hAnsi="Calibri" w:cs="Calibri"/>
        </w:rPr>
        <w:t>“ duomenys.</w:t>
      </w:r>
    </w:p>
    <w:p w14:paraId="6922483F" w14:textId="33756A31" w:rsidR="009254CD" w:rsidRPr="005C1B87" w:rsidRDefault="009254CD" w:rsidP="00676418">
      <w:pPr>
        <w:spacing w:after="160" w:line="259" w:lineRule="auto"/>
        <w:jc w:val="both"/>
        <w:rPr>
          <w:rFonts w:ascii="Calibri" w:hAnsi="Calibri" w:cs="Calibri"/>
        </w:rPr>
      </w:pPr>
      <w:r w:rsidRPr="005C1B87">
        <w:rPr>
          <w:rFonts w:ascii="Calibri" w:hAnsi="Calibri" w:cs="Calibri"/>
        </w:rPr>
        <w:t>„Vienas pirmųjų projektų, davęs startą Aleksoto plėtrai, buvo „Parko namai“ – čia skirtingais etapais buvo išvystyti 346 butai. 2020 m. vidutinė butų kaina naujuose projektuose siekė tik apie 1 500 EUR/</w:t>
      </w:r>
      <w:proofErr w:type="spellStart"/>
      <w:r w:rsidRPr="005C1B87">
        <w:rPr>
          <w:rFonts w:ascii="Calibri" w:hAnsi="Calibri" w:cs="Calibri"/>
        </w:rPr>
        <w:t>kv.m</w:t>
      </w:r>
      <w:proofErr w:type="spellEnd"/>
      <w:r w:rsidRPr="005C1B87">
        <w:rPr>
          <w:rFonts w:ascii="Calibri" w:hAnsi="Calibri" w:cs="Calibri"/>
        </w:rPr>
        <w:t>. Didysis šuolis įvyko 2022 metais, kai rinkoje pasirodė tokie projektai kaip „Europos sodo namai“, „Matau Kauną“, „Panoramos trio“ ir „Nemunaičiai“,</w:t>
      </w:r>
      <w:r w:rsidR="00676418" w:rsidRPr="005C1B87">
        <w:rPr>
          <w:rFonts w:ascii="Calibri" w:hAnsi="Calibri" w:cs="Calibri"/>
        </w:rPr>
        <w:t>“</w:t>
      </w:r>
      <w:r w:rsidRPr="005C1B87">
        <w:rPr>
          <w:rFonts w:ascii="Calibri" w:hAnsi="Calibri" w:cs="Calibri"/>
        </w:rPr>
        <w:t xml:space="preserve"> – teigia A. Gumuliauskas.</w:t>
      </w:r>
    </w:p>
    <w:p w14:paraId="5818CFA8" w14:textId="22024814" w:rsidR="009254CD" w:rsidRPr="005C1B87" w:rsidRDefault="009254CD" w:rsidP="00676418">
      <w:pPr>
        <w:spacing w:after="160" w:line="259" w:lineRule="auto"/>
        <w:jc w:val="both"/>
        <w:rPr>
          <w:rFonts w:ascii="Calibri" w:hAnsi="Calibri" w:cs="Calibri"/>
        </w:rPr>
      </w:pPr>
      <w:r w:rsidRPr="005C1B87">
        <w:rPr>
          <w:rFonts w:ascii="Calibri" w:hAnsi="Calibri" w:cs="Calibri"/>
        </w:rPr>
        <w:t>Šalia upių sankirtos įsikūrusi Vilijampolė nuo lyderiaujančio Aleksoto augimo tempais atsiliko nedaug – per 6 metus nauji projektai čia pabrango 117 proc.</w:t>
      </w:r>
    </w:p>
    <w:p w14:paraId="0EB65D92" w14:textId="5332959D" w:rsidR="009254CD" w:rsidRPr="005C1B87" w:rsidRDefault="009254CD" w:rsidP="00676418">
      <w:pPr>
        <w:spacing w:after="160" w:line="259" w:lineRule="auto"/>
        <w:jc w:val="both"/>
        <w:rPr>
          <w:rFonts w:ascii="Calibri" w:hAnsi="Calibri" w:cs="Calibri"/>
        </w:rPr>
      </w:pPr>
      <w:r w:rsidRPr="005C1B87">
        <w:rPr>
          <w:rFonts w:ascii="Calibri" w:hAnsi="Calibri" w:cs="Calibri"/>
        </w:rPr>
        <w:t>„Vilijampolė daugiausiai yra užstatyta privačiais namais, o daugiabučių projektų čia yra nedaug. Nuo 2017 metų</w:t>
      </w:r>
      <w:r w:rsidR="00676418">
        <w:rPr>
          <w:rFonts w:ascii="Calibri" w:hAnsi="Calibri" w:cs="Calibri"/>
        </w:rPr>
        <w:t xml:space="preserve"> </w:t>
      </w:r>
      <w:r w:rsidRPr="005C1B87">
        <w:rPr>
          <w:rFonts w:ascii="Calibri" w:hAnsi="Calibri" w:cs="Calibri"/>
        </w:rPr>
        <w:t>buvo išvystyti keturi projektai, didžiausias jų – „</w:t>
      </w:r>
      <w:proofErr w:type="spellStart"/>
      <w:r w:rsidRPr="005C1B87">
        <w:rPr>
          <w:rFonts w:ascii="Calibri" w:hAnsi="Calibri" w:cs="Calibri"/>
        </w:rPr>
        <w:t>Piliamiestis</w:t>
      </w:r>
      <w:proofErr w:type="spellEnd"/>
      <w:r w:rsidR="002B7AF5" w:rsidRPr="005C1B87">
        <w:rPr>
          <w:rFonts w:ascii="Calibri" w:hAnsi="Calibri" w:cs="Calibri"/>
        </w:rPr>
        <w:t>“</w:t>
      </w:r>
      <w:r w:rsidRPr="005C1B87">
        <w:rPr>
          <w:rFonts w:ascii="Calibri" w:hAnsi="Calibri" w:cs="Calibri"/>
        </w:rPr>
        <w:t>. Dar 2018 metais vidutinė kaina „</w:t>
      </w:r>
      <w:proofErr w:type="spellStart"/>
      <w:r w:rsidRPr="005C1B87">
        <w:rPr>
          <w:rFonts w:ascii="Calibri" w:hAnsi="Calibri" w:cs="Calibri"/>
        </w:rPr>
        <w:t>Piliamiestyje</w:t>
      </w:r>
      <w:proofErr w:type="spellEnd"/>
      <w:r w:rsidRPr="005C1B87">
        <w:rPr>
          <w:rFonts w:ascii="Calibri" w:hAnsi="Calibri" w:cs="Calibri"/>
        </w:rPr>
        <w:t>“ siekė apie 2 000 EUR/</w:t>
      </w:r>
      <w:proofErr w:type="spellStart"/>
      <w:r w:rsidRPr="005C1B87">
        <w:rPr>
          <w:rFonts w:ascii="Calibri" w:hAnsi="Calibri" w:cs="Calibri"/>
        </w:rPr>
        <w:t>kv.m</w:t>
      </w:r>
      <w:proofErr w:type="spellEnd"/>
      <w:r w:rsidRPr="005C1B87">
        <w:rPr>
          <w:rFonts w:ascii="Calibri" w:hAnsi="Calibri" w:cs="Calibri"/>
        </w:rPr>
        <w:t>, o dabar butai čia kainuoja apie 3 270 EUR/</w:t>
      </w:r>
      <w:proofErr w:type="spellStart"/>
      <w:r w:rsidRPr="005C1B87">
        <w:rPr>
          <w:rFonts w:ascii="Calibri" w:hAnsi="Calibri" w:cs="Calibri"/>
        </w:rPr>
        <w:t>kv.m</w:t>
      </w:r>
      <w:proofErr w:type="spellEnd"/>
      <w:r w:rsidRPr="005C1B87">
        <w:rPr>
          <w:rFonts w:ascii="Calibri" w:hAnsi="Calibri" w:cs="Calibri"/>
        </w:rPr>
        <w:t>. Nors ateityje didelės plėtros čia nenusimato, kainos taip sparčiai augti ne</w:t>
      </w:r>
      <w:r w:rsidR="00676418">
        <w:rPr>
          <w:rFonts w:ascii="Calibri" w:hAnsi="Calibri" w:cs="Calibri"/>
        </w:rPr>
        <w:t>be</w:t>
      </w:r>
      <w:r w:rsidRPr="005C1B87">
        <w:rPr>
          <w:rFonts w:ascii="Calibri" w:hAnsi="Calibri" w:cs="Calibri"/>
        </w:rPr>
        <w:t>turėtų – jau dabar jos siekia senamiesčio lygį“, – kalba investicijų ekspertas.</w:t>
      </w:r>
    </w:p>
    <w:p w14:paraId="29C2D6AC" w14:textId="4C93E1EF" w:rsidR="009254CD" w:rsidRPr="005C1B87" w:rsidRDefault="009254CD" w:rsidP="00676418">
      <w:pPr>
        <w:spacing w:after="160" w:line="259" w:lineRule="auto"/>
        <w:jc w:val="both"/>
        <w:rPr>
          <w:rFonts w:ascii="Calibri" w:hAnsi="Calibri" w:cs="Calibri"/>
        </w:rPr>
      </w:pPr>
      <w:r w:rsidRPr="005C1B87">
        <w:rPr>
          <w:rFonts w:ascii="Calibri" w:hAnsi="Calibri" w:cs="Calibri"/>
        </w:rPr>
        <w:t>Dainavos mikrorajone naujų NT projektų vertė per pastaruosius 6 metus padvigubėjo – išaugo 101 proc.</w:t>
      </w:r>
    </w:p>
    <w:p w14:paraId="32B25076" w14:textId="32C6F421" w:rsidR="0017053F" w:rsidRPr="005C1B87" w:rsidRDefault="009254CD" w:rsidP="00676418">
      <w:pPr>
        <w:spacing w:after="160" w:line="259" w:lineRule="auto"/>
        <w:jc w:val="both"/>
        <w:rPr>
          <w:rFonts w:ascii="Calibri" w:hAnsi="Calibri" w:cs="Calibri"/>
        </w:rPr>
      </w:pPr>
      <w:r w:rsidRPr="005C1B87">
        <w:rPr>
          <w:rFonts w:ascii="Calibri" w:hAnsi="Calibri" w:cs="Calibri"/>
        </w:rPr>
        <w:t>„</w:t>
      </w:r>
      <w:r w:rsidR="00895FB3" w:rsidRPr="005C1B87">
        <w:rPr>
          <w:rFonts w:ascii="Calibri" w:hAnsi="Calibri" w:cs="Calibri"/>
        </w:rPr>
        <w:t>Šio</w:t>
      </w:r>
      <w:r w:rsidRPr="005C1B87">
        <w:rPr>
          <w:rFonts w:ascii="Calibri" w:hAnsi="Calibri" w:cs="Calibri"/>
        </w:rPr>
        <w:t xml:space="preserve"> mikrorajono sėkmę lėmė tai, kad iki šiol </w:t>
      </w:r>
      <w:r w:rsidR="00895FB3" w:rsidRPr="005C1B87">
        <w:rPr>
          <w:rFonts w:ascii="Calibri" w:hAnsi="Calibri" w:cs="Calibri"/>
        </w:rPr>
        <w:t xml:space="preserve">buvusi pramonine zona, pastaraisiais </w:t>
      </w:r>
      <w:r w:rsidRPr="005C1B87">
        <w:rPr>
          <w:rFonts w:ascii="Calibri" w:hAnsi="Calibri" w:cs="Calibri"/>
        </w:rPr>
        <w:t>metais Dainava kei</w:t>
      </w:r>
      <w:r w:rsidR="00676418">
        <w:rPr>
          <w:rFonts w:ascii="Calibri" w:hAnsi="Calibri" w:cs="Calibri"/>
        </w:rPr>
        <w:t xml:space="preserve">tė </w:t>
      </w:r>
      <w:r w:rsidRPr="005C1B87">
        <w:rPr>
          <w:rFonts w:ascii="Calibri" w:hAnsi="Calibri" w:cs="Calibri"/>
        </w:rPr>
        <w:t>savo veidą</w:t>
      </w:r>
      <w:r w:rsidR="00676418">
        <w:rPr>
          <w:rFonts w:ascii="Calibri" w:hAnsi="Calibri" w:cs="Calibri"/>
        </w:rPr>
        <w:t xml:space="preserve"> </w:t>
      </w:r>
      <w:r w:rsidRPr="005C1B87">
        <w:rPr>
          <w:rFonts w:ascii="Calibri" w:hAnsi="Calibri" w:cs="Calibri"/>
        </w:rPr>
        <w:t>nuo</w:t>
      </w:r>
      <w:r w:rsidR="00676418">
        <w:rPr>
          <w:rFonts w:ascii="Calibri" w:hAnsi="Calibri" w:cs="Calibri"/>
        </w:rPr>
        <w:t xml:space="preserve"> </w:t>
      </w:r>
      <w:r w:rsidR="00676418" w:rsidRPr="005C1B87">
        <w:rPr>
          <w:rFonts w:ascii="Calibri" w:hAnsi="Calibri" w:cs="Calibri"/>
        </w:rPr>
        <w:t xml:space="preserve">– </w:t>
      </w:r>
      <w:r w:rsidRPr="005C1B87">
        <w:rPr>
          <w:rFonts w:ascii="Calibri" w:hAnsi="Calibri" w:cs="Calibri"/>
        </w:rPr>
        <w:t>2017 metų čia buvo išvystyta daugiausia projektų visame Kaune. Nors projektai yra ekonominio segmento, kainos augo nuo maždaug 1 260 EUR/</w:t>
      </w:r>
      <w:proofErr w:type="spellStart"/>
      <w:r w:rsidRPr="005C1B87">
        <w:rPr>
          <w:rFonts w:ascii="Calibri" w:hAnsi="Calibri" w:cs="Calibri"/>
        </w:rPr>
        <w:t>kv.m</w:t>
      </w:r>
      <w:proofErr w:type="spellEnd"/>
      <w:r w:rsidRPr="005C1B87">
        <w:rPr>
          <w:rFonts w:ascii="Calibri" w:hAnsi="Calibri" w:cs="Calibri"/>
        </w:rPr>
        <w:t xml:space="preserve"> (2018 m.) iki 2 540 EUR/</w:t>
      </w:r>
      <w:proofErr w:type="spellStart"/>
      <w:r w:rsidRPr="005C1B87">
        <w:rPr>
          <w:rFonts w:ascii="Calibri" w:hAnsi="Calibri" w:cs="Calibri"/>
        </w:rPr>
        <w:t>kv.m</w:t>
      </w:r>
      <w:proofErr w:type="spellEnd"/>
      <w:r w:rsidRPr="005C1B87">
        <w:rPr>
          <w:rFonts w:ascii="Calibri" w:hAnsi="Calibri" w:cs="Calibri"/>
        </w:rPr>
        <w:t xml:space="preserve"> (2024 m.). Tai rodo didelį mikrorajono potencialą ir patrauklumą investuotojams bei pirkėjams“, – tvirtina A. Gumuliauskas.</w:t>
      </w:r>
    </w:p>
    <w:p w14:paraId="7DC59FBF" w14:textId="77777777" w:rsidR="009254CD" w:rsidRPr="005C1B87" w:rsidRDefault="009254CD" w:rsidP="005C1B87">
      <w:pPr>
        <w:spacing w:after="160" w:line="240" w:lineRule="auto"/>
        <w:jc w:val="both"/>
        <w:rPr>
          <w:rFonts w:ascii="Calibri" w:hAnsi="Calibri" w:cs="Calibri"/>
        </w:rPr>
      </w:pPr>
    </w:p>
    <w:p w14:paraId="218E5D45" w14:textId="3782E355" w:rsidR="0017053F" w:rsidRPr="005C1B87" w:rsidRDefault="009254CD" w:rsidP="005C1B87">
      <w:pPr>
        <w:spacing w:after="160" w:line="240" w:lineRule="auto"/>
        <w:jc w:val="both"/>
        <w:rPr>
          <w:rFonts w:ascii="Calibri" w:eastAsia="Calibri" w:hAnsi="Calibri" w:cs="Calibri"/>
          <w:b/>
        </w:rPr>
      </w:pPr>
      <w:r w:rsidRPr="005C1B87">
        <w:rPr>
          <w:rFonts w:ascii="Calibri" w:eastAsia="Calibri" w:hAnsi="Calibri" w:cs="Calibri"/>
          <w:b/>
        </w:rPr>
        <w:t>Apie „</w:t>
      </w:r>
      <w:proofErr w:type="spellStart"/>
      <w:r w:rsidRPr="005C1B87">
        <w:rPr>
          <w:rFonts w:ascii="Calibri" w:eastAsia="Calibri" w:hAnsi="Calibri" w:cs="Calibri"/>
          <w:b/>
        </w:rPr>
        <w:t>Demus</w:t>
      </w:r>
      <w:proofErr w:type="spellEnd"/>
      <w:r w:rsidRPr="005C1B87">
        <w:rPr>
          <w:rFonts w:ascii="Calibri" w:eastAsia="Calibri" w:hAnsi="Calibri" w:cs="Calibri"/>
          <w:b/>
        </w:rPr>
        <w:t xml:space="preserve"> </w:t>
      </w:r>
      <w:proofErr w:type="spellStart"/>
      <w:r w:rsidRPr="005C1B87">
        <w:rPr>
          <w:rFonts w:ascii="Calibri" w:eastAsia="Calibri" w:hAnsi="Calibri" w:cs="Calibri"/>
          <w:b/>
        </w:rPr>
        <w:t>Asset</w:t>
      </w:r>
      <w:proofErr w:type="spellEnd"/>
      <w:r w:rsidRPr="005C1B87">
        <w:rPr>
          <w:rFonts w:ascii="Calibri" w:eastAsia="Calibri" w:hAnsi="Calibri" w:cs="Calibri"/>
          <w:b/>
        </w:rPr>
        <w:t xml:space="preserve"> </w:t>
      </w:r>
      <w:proofErr w:type="spellStart"/>
      <w:r w:rsidRPr="005C1B87">
        <w:rPr>
          <w:rFonts w:ascii="Calibri" w:eastAsia="Calibri" w:hAnsi="Calibri" w:cs="Calibri"/>
          <w:b/>
        </w:rPr>
        <w:t>Management</w:t>
      </w:r>
      <w:proofErr w:type="spellEnd"/>
      <w:r w:rsidRPr="005C1B87">
        <w:rPr>
          <w:rFonts w:ascii="Calibri" w:eastAsia="Calibri" w:hAnsi="Calibri" w:cs="Calibri"/>
          <w:b/>
        </w:rPr>
        <w:t>“</w:t>
      </w:r>
    </w:p>
    <w:p w14:paraId="6D9CF5B5" w14:textId="77777777" w:rsidR="0017053F" w:rsidRPr="005C1B87" w:rsidRDefault="009254CD" w:rsidP="005C1B87">
      <w:pPr>
        <w:spacing w:before="240" w:after="160" w:line="240" w:lineRule="auto"/>
        <w:jc w:val="both"/>
        <w:rPr>
          <w:rFonts w:ascii="Calibri" w:eastAsia="Calibri" w:hAnsi="Calibri" w:cs="Calibri"/>
        </w:rPr>
      </w:pPr>
      <w:r w:rsidRPr="005C1B87">
        <w:rPr>
          <w:rFonts w:ascii="Calibri" w:eastAsia="Calibri" w:hAnsi="Calibri" w:cs="Calibri"/>
        </w:rPr>
        <w:t>„</w:t>
      </w:r>
      <w:proofErr w:type="spellStart"/>
      <w:r w:rsidRPr="005C1B87">
        <w:rPr>
          <w:rFonts w:ascii="Calibri" w:eastAsia="Calibri" w:hAnsi="Calibri" w:cs="Calibri"/>
        </w:rPr>
        <w:t>Demus</w:t>
      </w:r>
      <w:proofErr w:type="spellEnd"/>
      <w:r w:rsidRPr="005C1B87">
        <w:rPr>
          <w:rFonts w:ascii="Calibri" w:eastAsia="Calibri" w:hAnsi="Calibri" w:cs="Calibri"/>
        </w:rPr>
        <w:t xml:space="preserve"> </w:t>
      </w:r>
      <w:proofErr w:type="spellStart"/>
      <w:r w:rsidRPr="005C1B87">
        <w:rPr>
          <w:rFonts w:ascii="Calibri" w:eastAsia="Calibri" w:hAnsi="Calibri" w:cs="Calibri"/>
        </w:rPr>
        <w:t>Asset</w:t>
      </w:r>
      <w:proofErr w:type="spellEnd"/>
      <w:r w:rsidRPr="005C1B87">
        <w:rPr>
          <w:rFonts w:ascii="Calibri" w:eastAsia="Calibri" w:hAnsi="Calibri" w:cs="Calibri"/>
        </w:rPr>
        <w:t xml:space="preserve"> </w:t>
      </w:r>
      <w:proofErr w:type="spellStart"/>
      <w:r w:rsidRPr="005C1B87">
        <w:rPr>
          <w:rFonts w:ascii="Calibri" w:eastAsia="Calibri" w:hAnsi="Calibri" w:cs="Calibri"/>
        </w:rPr>
        <w:t>Management</w:t>
      </w:r>
      <w:proofErr w:type="spellEnd"/>
      <w:r w:rsidRPr="005C1B87">
        <w:rPr>
          <w:rFonts w:ascii="Calibri" w:eastAsia="Calibri" w:hAnsi="Calibri" w:cs="Calibri"/>
        </w:rPr>
        <w:t>“ – nuo 2018 m. veikianti fondų valdymo profesionalų komanda, sukaupusi patirtį investicijų į NT vystymą, investicijų valdymo, jų struktūravimo, ir projektų finansavimo srityse. Įmonė valdo 8 investicijų į NT fondus, kurie investavo į 15 NT projektų už 150 mln. Eur. Artimiausių 5 metų planuose – investicijos į NT projektus už 300 mln. Eur, naujos turto klasės bei produktai mažmeniniams investuotojams.</w:t>
      </w:r>
    </w:p>
    <w:p w14:paraId="5B313982" w14:textId="77777777" w:rsidR="00676418" w:rsidRDefault="00676418" w:rsidP="005C1B87">
      <w:pPr>
        <w:spacing w:before="240" w:after="120" w:line="240" w:lineRule="auto"/>
        <w:jc w:val="both"/>
        <w:rPr>
          <w:rFonts w:ascii="Calibri" w:eastAsia="Calibri" w:hAnsi="Calibri" w:cs="Calibri"/>
          <w:b/>
        </w:rPr>
      </w:pPr>
    </w:p>
    <w:p w14:paraId="398B1232" w14:textId="524FD1D2" w:rsidR="0017053F" w:rsidRDefault="009254CD" w:rsidP="005C1B87">
      <w:pPr>
        <w:spacing w:before="240" w:after="120" w:line="240" w:lineRule="auto"/>
        <w:jc w:val="both"/>
        <w:rPr>
          <w:rFonts w:ascii="Calibri" w:eastAsia="Calibri" w:hAnsi="Calibri" w:cs="Calibri"/>
          <w:b/>
        </w:rPr>
      </w:pPr>
      <w:r>
        <w:rPr>
          <w:rFonts w:ascii="Calibri" w:eastAsia="Calibri" w:hAnsi="Calibri" w:cs="Calibri"/>
          <w:b/>
        </w:rPr>
        <w:t>Daugiau informacijos</w:t>
      </w:r>
    </w:p>
    <w:p w14:paraId="2745E24E" w14:textId="77777777" w:rsidR="0017053F" w:rsidRDefault="009254CD" w:rsidP="005C1B87">
      <w:pPr>
        <w:widowControl w:val="0"/>
        <w:spacing w:line="240" w:lineRule="auto"/>
        <w:jc w:val="both"/>
        <w:rPr>
          <w:rFonts w:ascii="Calibri" w:eastAsia="Calibri" w:hAnsi="Calibri" w:cs="Calibri"/>
        </w:rPr>
      </w:pPr>
      <w:r>
        <w:rPr>
          <w:rFonts w:ascii="Calibri" w:eastAsia="Calibri" w:hAnsi="Calibri" w:cs="Calibri"/>
        </w:rPr>
        <w:t>Lukas Mikelaitis</w:t>
      </w:r>
    </w:p>
    <w:p w14:paraId="3F079185" w14:textId="77777777" w:rsidR="0017053F" w:rsidRDefault="009254CD" w:rsidP="005C1B87">
      <w:pPr>
        <w:widowControl w:val="0"/>
        <w:spacing w:line="240" w:lineRule="auto"/>
        <w:jc w:val="both"/>
        <w:rPr>
          <w:rFonts w:ascii="Calibri" w:eastAsia="Calibri" w:hAnsi="Calibri" w:cs="Calibri"/>
        </w:rPr>
      </w:pPr>
      <w:proofErr w:type="spellStart"/>
      <w:r>
        <w:rPr>
          <w:rFonts w:ascii="Calibri" w:eastAsia="Calibri" w:hAnsi="Calibri" w:cs="Calibri"/>
        </w:rPr>
        <w:t>co:agency</w:t>
      </w:r>
      <w:proofErr w:type="spellEnd"/>
    </w:p>
    <w:p w14:paraId="20666439" w14:textId="77777777" w:rsidR="0017053F" w:rsidRDefault="009254CD" w:rsidP="005C1B87">
      <w:pPr>
        <w:widowControl w:val="0"/>
        <w:spacing w:line="240" w:lineRule="auto"/>
        <w:jc w:val="both"/>
        <w:rPr>
          <w:rFonts w:ascii="Calibri" w:eastAsia="Calibri" w:hAnsi="Calibri" w:cs="Calibri"/>
        </w:rPr>
      </w:pPr>
      <w:r>
        <w:rPr>
          <w:rFonts w:ascii="Calibri" w:eastAsia="Calibri" w:hAnsi="Calibri" w:cs="Calibri"/>
        </w:rPr>
        <w:t>+37061262326</w:t>
      </w:r>
    </w:p>
    <w:p w14:paraId="131FAE6F" w14:textId="77777777" w:rsidR="0017053F" w:rsidRDefault="00000000" w:rsidP="005C1B87">
      <w:pPr>
        <w:widowControl w:val="0"/>
        <w:spacing w:line="240" w:lineRule="auto"/>
        <w:jc w:val="both"/>
        <w:rPr>
          <w:rFonts w:ascii="Calibri" w:eastAsia="Calibri" w:hAnsi="Calibri" w:cs="Calibri"/>
        </w:rPr>
      </w:pPr>
      <w:hyperlink r:id="rId7">
        <w:r w:rsidR="009254CD">
          <w:rPr>
            <w:rFonts w:ascii="Calibri" w:eastAsia="Calibri" w:hAnsi="Calibri" w:cs="Calibri"/>
            <w:color w:val="1155CC"/>
            <w:u w:val="single"/>
          </w:rPr>
          <w:t>lukas@coagency.lt</w:t>
        </w:r>
      </w:hyperlink>
      <w:r w:rsidR="009254CD">
        <w:rPr>
          <w:rFonts w:ascii="Calibri" w:eastAsia="Calibri" w:hAnsi="Calibri" w:cs="Calibri"/>
        </w:rPr>
        <w:t xml:space="preserve"> </w:t>
      </w:r>
    </w:p>
    <w:sectPr w:rsidR="0017053F" w:rsidSect="002B7AF5">
      <w:headerReference w:type="default" r:id="rId8"/>
      <w:pgSz w:w="12240" w:h="15840"/>
      <w:pgMar w:top="1440" w:right="877"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04E7C" w14:textId="77777777" w:rsidR="00EA5414" w:rsidRDefault="00EA5414">
      <w:pPr>
        <w:spacing w:line="240" w:lineRule="auto"/>
      </w:pPr>
      <w:r>
        <w:separator/>
      </w:r>
    </w:p>
  </w:endnote>
  <w:endnote w:type="continuationSeparator" w:id="0">
    <w:p w14:paraId="2EDE5A07" w14:textId="77777777" w:rsidR="00EA5414" w:rsidRDefault="00EA54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FAA4C" w14:textId="77777777" w:rsidR="00EA5414" w:rsidRDefault="00EA5414">
      <w:pPr>
        <w:spacing w:line="240" w:lineRule="auto"/>
      </w:pPr>
      <w:r>
        <w:separator/>
      </w:r>
    </w:p>
  </w:footnote>
  <w:footnote w:type="continuationSeparator" w:id="0">
    <w:p w14:paraId="43E28922" w14:textId="77777777" w:rsidR="00EA5414" w:rsidRDefault="00EA54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1716C" w14:textId="77777777" w:rsidR="0017053F" w:rsidRDefault="009254CD">
    <w:pPr>
      <w:rPr>
        <w:rFonts w:ascii="Calibri" w:eastAsia="Calibri" w:hAnsi="Calibri" w:cs="Calibri"/>
        <w:i/>
        <w:sz w:val="20"/>
        <w:szCs w:val="20"/>
      </w:rPr>
    </w:pPr>
    <w:r>
      <w:rPr>
        <w:rFonts w:ascii="Calibri" w:eastAsia="Calibri" w:hAnsi="Calibri" w:cs="Calibri"/>
        <w:i/>
        <w:sz w:val="20"/>
        <w:szCs w:val="20"/>
      </w:rPr>
      <w:t>Pranešimas žiniasklaidai</w:t>
    </w:r>
    <w:r>
      <w:rPr>
        <w:noProof/>
      </w:rPr>
      <w:drawing>
        <wp:anchor distT="0" distB="0" distL="114300" distR="114300" simplePos="0" relativeHeight="251658240" behindDoc="0" locked="0" layoutInCell="1" hidden="0" allowOverlap="1" wp14:anchorId="6BB44C20" wp14:editId="7ED96188">
          <wp:simplePos x="0" y="0"/>
          <wp:positionH relativeFrom="column">
            <wp:posOffset>4343400</wp:posOffset>
          </wp:positionH>
          <wp:positionV relativeFrom="paragraph">
            <wp:posOffset>28575</wp:posOffset>
          </wp:positionV>
          <wp:extent cx="1668780" cy="375285"/>
          <wp:effectExtent l="0" t="0" r="0" b="0"/>
          <wp:wrapSquare wrapText="bothSides" distT="0" distB="0" distL="114300" distR="11430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668780" cy="375285"/>
                  </a:xfrm>
                  <a:prstGeom prst="rect">
                    <a:avLst/>
                  </a:prstGeom>
                  <a:ln/>
                </pic:spPr>
              </pic:pic>
            </a:graphicData>
          </a:graphic>
        </wp:anchor>
      </w:drawing>
    </w:r>
  </w:p>
  <w:p w14:paraId="4109347F" w14:textId="541F6AE8" w:rsidR="0017053F" w:rsidRDefault="009254CD">
    <w:pPr>
      <w:rPr>
        <w:rFonts w:ascii="Calibri" w:eastAsia="Calibri" w:hAnsi="Calibri" w:cs="Calibri"/>
        <w:i/>
        <w:sz w:val="20"/>
        <w:szCs w:val="20"/>
      </w:rPr>
    </w:pPr>
    <w:r>
      <w:rPr>
        <w:rFonts w:ascii="Calibri" w:eastAsia="Calibri" w:hAnsi="Calibri" w:cs="Calibri"/>
        <w:i/>
        <w:sz w:val="20"/>
        <w:szCs w:val="20"/>
      </w:rPr>
      <w:t xml:space="preserve">2024 m. </w:t>
    </w:r>
    <w:r w:rsidR="00BF29B6">
      <w:rPr>
        <w:rFonts w:ascii="Calibri" w:eastAsia="Calibri" w:hAnsi="Calibri" w:cs="Calibri"/>
        <w:i/>
        <w:sz w:val="20"/>
        <w:szCs w:val="20"/>
      </w:rPr>
      <w:t xml:space="preserve">liepos </w:t>
    </w:r>
    <w:r w:rsidR="007F515C">
      <w:rPr>
        <w:rFonts w:ascii="Calibri" w:eastAsia="Calibri" w:hAnsi="Calibri" w:cs="Calibri"/>
        <w:i/>
        <w:sz w:val="20"/>
        <w:szCs w:val="20"/>
      </w:rPr>
      <w:t>17</w:t>
    </w:r>
    <w:r>
      <w:rPr>
        <w:rFonts w:ascii="Calibri" w:eastAsia="Calibri" w:hAnsi="Calibri" w:cs="Calibri"/>
        <w:i/>
        <w:sz w:val="20"/>
        <w:szCs w:val="20"/>
      </w:rPr>
      <w:t xml:space="preserve"> d. </w:t>
    </w:r>
  </w:p>
  <w:p w14:paraId="192FB425" w14:textId="77777777" w:rsidR="0017053F" w:rsidRDefault="0017053F"/>
  <w:p w14:paraId="561EB845" w14:textId="77777777" w:rsidR="0017053F" w:rsidRDefault="0017053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53F"/>
    <w:rsid w:val="0017053F"/>
    <w:rsid w:val="001C5C90"/>
    <w:rsid w:val="002B7AF5"/>
    <w:rsid w:val="00330780"/>
    <w:rsid w:val="00364A76"/>
    <w:rsid w:val="00450698"/>
    <w:rsid w:val="005C1B87"/>
    <w:rsid w:val="00676418"/>
    <w:rsid w:val="00691046"/>
    <w:rsid w:val="007F515C"/>
    <w:rsid w:val="00895FB3"/>
    <w:rsid w:val="009254CD"/>
    <w:rsid w:val="009C4488"/>
    <w:rsid w:val="00B3034E"/>
    <w:rsid w:val="00B9539D"/>
    <w:rsid w:val="00BB581C"/>
    <w:rsid w:val="00BF29B6"/>
    <w:rsid w:val="00CD3E42"/>
    <w:rsid w:val="00EA5414"/>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4DB8C"/>
  <w15:docId w15:val="{24131222-4725-324F-B943-1B2A7997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lt-LT"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57EC"/>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1705AD"/>
    <w:pPr>
      <w:tabs>
        <w:tab w:val="center" w:pos="4986"/>
        <w:tab w:val="right" w:pos="9972"/>
      </w:tabs>
      <w:spacing w:line="240" w:lineRule="auto"/>
    </w:pPr>
  </w:style>
  <w:style w:type="character" w:customStyle="1" w:styleId="HeaderChar">
    <w:name w:val="Header Char"/>
    <w:basedOn w:val="DefaultParagraphFont"/>
    <w:link w:val="Header"/>
    <w:uiPriority w:val="99"/>
    <w:rsid w:val="001705AD"/>
  </w:style>
  <w:style w:type="paragraph" w:styleId="Footer">
    <w:name w:val="footer"/>
    <w:basedOn w:val="Normal"/>
    <w:link w:val="FooterChar"/>
    <w:uiPriority w:val="99"/>
    <w:unhideWhenUsed/>
    <w:rsid w:val="001705AD"/>
    <w:pPr>
      <w:tabs>
        <w:tab w:val="center" w:pos="4986"/>
        <w:tab w:val="right" w:pos="9972"/>
      </w:tabs>
      <w:spacing w:line="240" w:lineRule="auto"/>
    </w:pPr>
  </w:style>
  <w:style w:type="character" w:customStyle="1" w:styleId="FooterChar">
    <w:name w:val="Footer Char"/>
    <w:basedOn w:val="DefaultParagraphFont"/>
    <w:link w:val="Footer"/>
    <w:uiPriority w:val="99"/>
    <w:rsid w:val="001705AD"/>
  </w:style>
  <w:style w:type="character" w:styleId="Hyperlink">
    <w:name w:val="Hyperlink"/>
    <w:basedOn w:val="DefaultParagraphFont"/>
    <w:uiPriority w:val="99"/>
    <w:unhideWhenUsed/>
    <w:rsid w:val="00EF47B3"/>
    <w:rPr>
      <w:color w:val="0000FF" w:themeColor="hyperlink"/>
      <w:u w:val="single"/>
    </w:rPr>
  </w:style>
  <w:style w:type="character" w:styleId="UnresolvedMention">
    <w:name w:val="Unresolved Mention"/>
    <w:basedOn w:val="DefaultParagraphFont"/>
    <w:uiPriority w:val="99"/>
    <w:semiHidden/>
    <w:unhideWhenUsed/>
    <w:rsid w:val="00EF47B3"/>
    <w:rPr>
      <w:color w:val="605E5C"/>
      <w:shd w:val="clear" w:color="auto" w:fill="E1DFDD"/>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895FB3"/>
    <w:rPr>
      <w:b/>
      <w:bCs/>
    </w:rPr>
  </w:style>
  <w:style w:type="character" w:customStyle="1" w:styleId="CommentSubjectChar">
    <w:name w:val="Comment Subject Char"/>
    <w:basedOn w:val="CommentTextChar"/>
    <w:link w:val="CommentSubject"/>
    <w:uiPriority w:val="99"/>
    <w:semiHidden/>
    <w:rsid w:val="00895FB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ukas@coagency.l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x8LSa+jUakK3C1VQj/xUmS7VcQ==">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1020</Words>
  <Characters>5816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Evelina Laučiūtė | COAGENCY</dc:creator>
  <cp:lastModifiedBy>Lukas Mikelaitis</cp:lastModifiedBy>
  <cp:revision>7</cp:revision>
  <dcterms:created xsi:type="dcterms:W3CDTF">2024-07-12T12:48:00Z</dcterms:created>
  <dcterms:modified xsi:type="dcterms:W3CDTF">2024-07-17T06:52:00Z</dcterms:modified>
</cp:coreProperties>
</file>