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F98C58" w14:textId="5A013D07" w:rsidR="002C27DF" w:rsidRPr="0050643E" w:rsidRDefault="58DE39F1" w:rsidP="7DB38EE7">
      <w:pPr>
        <w:suppressAutoHyphens/>
        <w:spacing w:line="276" w:lineRule="auto"/>
        <w:jc w:val="center"/>
        <w:rPr>
          <w:b/>
          <w:bCs/>
          <w:sz w:val="28"/>
          <w:szCs w:val="28"/>
          <w:lang w:bidi="lt-LT"/>
        </w:rPr>
      </w:pPr>
      <w:bookmarkStart w:id="0" w:name="OLE_LINK2"/>
      <w:bookmarkStart w:id="1" w:name="OLE_LINK3"/>
      <w:bookmarkEnd w:id="0"/>
      <w:bookmarkEnd w:id="1"/>
      <w:r w:rsidRPr="7DB38EE7">
        <w:rPr>
          <w:b/>
          <w:bCs/>
          <w:sz w:val="28"/>
          <w:szCs w:val="28"/>
          <w:lang w:bidi="lt-LT"/>
        </w:rPr>
        <w:t>LG skelbia 2024 m. antrojo ketvirčio finansinius rezultatus</w:t>
      </w:r>
      <w:r w:rsidR="6CA3C5E8" w:rsidRPr="7DB38EE7">
        <w:rPr>
          <w:b/>
          <w:bCs/>
          <w:sz w:val="28"/>
          <w:szCs w:val="28"/>
          <w:lang w:bidi="lt-LT"/>
        </w:rPr>
        <w:t>: didžiausios pajamos ir pelnas per visą bendrovės istoriją</w:t>
      </w:r>
    </w:p>
    <w:p w14:paraId="4183F0DB" w14:textId="468F9086" w:rsidR="7DB38EE7" w:rsidRDefault="7DB38EE7" w:rsidP="7DB38EE7">
      <w:pPr>
        <w:spacing w:line="276" w:lineRule="auto"/>
        <w:jc w:val="center"/>
        <w:rPr>
          <w:b/>
          <w:bCs/>
          <w:sz w:val="28"/>
          <w:szCs w:val="28"/>
          <w:lang w:bidi="lt-LT"/>
        </w:rPr>
      </w:pPr>
    </w:p>
    <w:p w14:paraId="2D5BA9FF" w14:textId="65DC3AC1" w:rsidR="00616870" w:rsidRPr="00616870" w:rsidRDefault="00616870" w:rsidP="00616870">
      <w:pPr>
        <w:widowControl w:val="0"/>
        <w:suppressAutoHyphens/>
        <w:spacing w:line="360" w:lineRule="auto"/>
        <w:ind w:right="-96"/>
        <w:jc w:val="both"/>
        <w:rPr>
          <w:b/>
          <w:bCs/>
          <w:lang w:bidi="lt-LT"/>
        </w:rPr>
      </w:pPr>
      <w:r w:rsidRPr="00616870">
        <w:rPr>
          <w:b/>
          <w:bCs/>
          <w:lang w:bidi="lt-LT"/>
        </w:rPr>
        <w:t xml:space="preserve">„LG Electronics“ (LG) skelbia, kad 2024 m. antrojo ketvirčio konsoliduotosios pajamos sudarė 21,69 </w:t>
      </w:r>
      <w:proofErr w:type="spellStart"/>
      <w:r w:rsidRPr="00616870">
        <w:rPr>
          <w:b/>
          <w:bCs/>
          <w:lang w:bidi="lt-LT"/>
        </w:rPr>
        <w:t>trln</w:t>
      </w:r>
      <w:proofErr w:type="spellEnd"/>
      <w:r w:rsidRPr="00616870">
        <w:rPr>
          <w:b/>
          <w:bCs/>
          <w:lang w:bidi="lt-LT"/>
        </w:rPr>
        <w:t xml:space="preserve">. KRW (14,49 mlrd. eurų Europos Centrinio Banko kursu), o veiklos pelnas – 1,20 </w:t>
      </w:r>
      <w:proofErr w:type="spellStart"/>
      <w:r w:rsidRPr="00616870">
        <w:rPr>
          <w:b/>
          <w:bCs/>
          <w:lang w:bidi="lt-LT"/>
        </w:rPr>
        <w:t>trln</w:t>
      </w:r>
      <w:proofErr w:type="spellEnd"/>
      <w:r w:rsidRPr="00616870">
        <w:rPr>
          <w:b/>
          <w:bCs/>
          <w:lang w:bidi="lt-LT"/>
        </w:rPr>
        <w:t>. KRW (802,1 mln. eurų), t. y. pajamos per metus padidėjo 8,5 proc., o veiklos pelnas – 61,2 proc. Šie skaičiai žymi naujus rekordus – tai didžiausios antrojo ketvirčio pajamos ir veiklos pelnas per visą bendrovės istoriją.</w:t>
      </w:r>
    </w:p>
    <w:p w14:paraId="3095545C" w14:textId="77777777" w:rsidR="00616870" w:rsidRPr="00616870" w:rsidRDefault="00616870" w:rsidP="00616870">
      <w:pPr>
        <w:widowControl w:val="0"/>
        <w:suppressAutoHyphens/>
        <w:spacing w:line="276" w:lineRule="auto"/>
        <w:ind w:right="-96"/>
        <w:jc w:val="both"/>
        <w:rPr>
          <w:lang w:bidi="lt-LT"/>
        </w:rPr>
      </w:pPr>
    </w:p>
    <w:p w14:paraId="6BD21427" w14:textId="77777777" w:rsidR="00616870" w:rsidRPr="00616870" w:rsidRDefault="00616870" w:rsidP="00616870">
      <w:pPr>
        <w:widowControl w:val="0"/>
        <w:suppressAutoHyphens/>
        <w:spacing w:line="276" w:lineRule="auto"/>
        <w:ind w:right="-96"/>
        <w:jc w:val="both"/>
        <w:rPr>
          <w:lang w:bidi="lt-LT"/>
        </w:rPr>
      </w:pPr>
      <w:r w:rsidRPr="00616870">
        <w:rPr>
          <w:lang w:bidi="lt-LT"/>
        </w:rPr>
        <w:t>Pagrindiniai šiuos rezultatus lėmę veiksniai – buitinės technikos ir transporto priemonių komponentų sektoriai, pasiekę didžiausias iki šiol ketvirčio pajamas. LG įmonių „</w:t>
      </w:r>
      <w:proofErr w:type="spellStart"/>
      <w:r w:rsidRPr="00616870">
        <w:rPr>
          <w:lang w:bidi="lt-LT"/>
        </w:rPr>
        <w:t>Home</w:t>
      </w:r>
      <w:proofErr w:type="spellEnd"/>
      <w:r w:rsidRPr="00616870">
        <w:rPr>
          <w:lang w:bidi="lt-LT"/>
        </w:rPr>
        <w:t xml:space="preserve"> </w:t>
      </w:r>
      <w:proofErr w:type="spellStart"/>
      <w:r w:rsidRPr="00616870">
        <w:rPr>
          <w:lang w:bidi="lt-LT"/>
        </w:rPr>
        <w:t>Appliance</w:t>
      </w:r>
      <w:proofErr w:type="spellEnd"/>
      <w:r w:rsidRPr="00616870">
        <w:rPr>
          <w:lang w:bidi="lt-LT"/>
        </w:rPr>
        <w:t xml:space="preserve"> &amp; </w:t>
      </w:r>
      <w:proofErr w:type="spellStart"/>
      <w:r w:rsidRPr="00616870">
        <w:rPr>
          <w:lang w:bidi="lt-LT"/>
        </w:rPr>
        <w:t>Air</w:t>
      </w:r>
      <w:proofErr w:type="spellEnd"/>
      <w:r w:rsidRPr="00616870">
        <w:rPr>
          <w:lang w:bidi="lt-LT"/>
        </w:rPr>
        <w:t xml:space="preserve"> </w:t>
      </w:r>
      <w:proofErr w:type="spellStart"/>
      <w:r w:rsidRPr="00616870">
        <w:rPr>
          <w:lang w:bidi="lt-LT"/>
        </w:rPr>
        <w:t>Solution</w:t>
      </w:r>
      <w:proofErr w:type="spellEnd"/>
      <w:r w:rsidRPr="00616870">
        <w:rPr>
          <w:lang w:bidi="lt-LT"/>
        </w:rPr>
        <w:t xml:space="preserve"> Company“ ir „</w:t>
      </w:r>
      <w:proofErr w:type="spellStart"/>
      <w:r w:rsidRPr="00616870">
        <w:rPr>
          <w:lang w:bidi="lt-LT"/>
        </w:rPr>
        <w:t>Vehicle</w:t>
      </w:r>
      <w:proofErr w:type="spellEnd"/>
      <w:r w:rsidRPr="00616870">
        <w:rPr>
          <w:lang w:bidi="lt-LT"/>
        </w:rPr>
        <w:t xml:space="preserve"> </w:t>
      </w:r>
      <w:proofErr w:type="spellStart"/>
      <w:r w:rsidRPr="00616870">
        <w:rPr>
          <w:lang w:bidi="lt-LT"/>
        </w:rPr>
        <w:t>Component</w:t>
      </w:r>
      <w:proofErr w:type="spellEnd"/>
      <w:r w:rsidRPr="00616870">
        <w:rPr>
          <w:lang w:bidi="lt-LT"/>
        </w:rPr>
        <w:t xml:space="preserve"> </w:t>
      </w:r>
      <w:proofErr w:type="spellStart"/>
      <w:r w:rsidRPr="00616870">
        <w:rPr>
          <w:lang w:bidi="lt-LT"/>
        </w:rPr>
        <w:t>Solutions</w:t>
      </w:r>
      <w:proofErr w:type="spellEnd"/>
      <w:r w:rsidRPr="00616870">
        <w:rPr>
          <w:lang w:bidi="lt-LT"/>
        </w:rPr>
        <w:t xml:space="preserve"> Company“ pardavimai kartu sudėjus pasiekė 11,53 </w:t>
      </w:r>
      <w:proofErr w:type="spellStart"/>
      <w:r w:rsidRPr="00616870">
        <w:rPr>
          <w:lang w:bidi="lt-LT"/>
        </w:rPr>
        <w:t>trln</w:t>
      </w:r>
      <w:proofErr w:type="spellEnd"/>
      <w:r w:rsidRPr="00616870">
        <w:rPr>
          <w:lang w:bidi="lt-LT"/>
        </w:rPr>
        <w:t>. KRW (7,70 mlrd. eurų), t. y. 8,2 proc. daugiau nei praėjusiais metais. Abi įmonės taip pat pranešė apie rekordiškai didelį antrojo ketvirčio veiklos pelną, kuris siekė 776,1 mlrd. KRW (518,6 mln. eurų), t. y. 45 proc. daugiau nei pernai.</w:t>
      </w:r>
    </w:p>
    <w:p w14:paraId="755C07FD" w14:textId="77777777" w:rsidR="00616870" w:rsidRPr="00616870" w:rsidRDefault="00616870" w:rsidP="00616870">
      <w:pPr>
        <w:widowControl w:val="0"/>
        <w:suppressAutoHyphens/>
        <w:spacing w:line="276" w:lineRule="auto"/>
        <w:ind w:right="-96"/>
        <w:jc w:val="both"/>
        <w:rPr>
          <w:lang w:bidi="lt-LT"/>
        </w:rPr>
      </w:pPr>
    </w:p>
    <w:p w14:paraId="66AB5D6F" w14:textId="77777777" w:rsidR="00616870" w:rsidRPr="00616870" w:rsidRDefault="00616870" w:rsidP="00616870">
      <w:pPr>
        <w:widowControl w:val="0"/>
        <w:suppressAutoHyphens/>
        <w:spacing w:line="276" w:lineRule="auto"/>
        <w:ind w:right="-96"/>
        <w:jc w:val="both"/>
        <w:rPr>
          <w:lang w:bidi="lt-LT"/>
        </w:rPr>
      </w:pPr>
      <w:r w:rsidRPr="00616870">
        <w:rPr>
          <w:lang w:bidi="lt-LT"/>
        </w:rPr>
        <w:t>Šie rezultatai rodo proporcingą LG augimą pagrindinėse ir naujose verslo srityse. Augimas rodo ne tik išorinę plėtrą, bet ir solidų pelningumą, kuris prisideda prie geresnių bendrų veiklos rezultatų.</w:t>
      </w:r>
    </w:p>
    <w:p w14:paraId="572C5426" w14:textId="77777777" w:rsidR="00616870" w:rsidRPr="00616870" w:rsidRDefault="00616870" w:rsidP="00616870">
      <w:pPr>
        <w:widowControl w:val="0"/>
        <w:suppressAutoHyphens/>
        <w:spacing w:line="276" w:lineRule="auto"/>
        <w:ind w:right="-96"/>
        <w:jc w:val="both"/>
        <w:rPr>
          <w:lang w:bidi="lt-LT"/>
        </w:rPr>
      </w:pPr>
    </w:p>
    <w:p w14:paraId="5AA51410" w14:textId="77777777" w:rsidR="00616870" w:rsidRPr="00616870" w:rsidRDefault="00616870" w:rsidP="00616870">
      <w:pPr>
        <w:widowControl w:val="0"/>
        <w:suppressAutoHyphens/>
        <w:spacing w:line="276" w:lineRule="auto"/>
        <w:ind w:right="-96"/>
        <w:jc w:val="both"/>
        <w:rPr>
          <w:lang w:bidi="lt-LT"/>
        </w:rPr>
      </w:pPr>
      <w:r w:rsidRPr="00616870">
        <w:rPr>
          <w:lang w:bidi="lt-LT"/>
        </w:rPr>
        <w:t>LG ir toliau keičia savo verslo portfelį, orientuodamasi į ateitį, maksimaliai išnaudodama esamo verslo potencialą ir užtikrindama naujas augimo galimybes. Bendrovė taip pat daug dėmesio skiria sparčiai besivystančioms naujoms veikloms, turinčioms didelį augimo potencialą.</w:t>
      </w:r>
    </w:p>
    <w:p w14:paraId="09FF96FD" w14:textId="77777777" w:rsidR="00616870" w:rsidRPr="00616870" w:rsidRDefault="00616870" w:rsidP="00616870">
      <w:pPr>
        <w:widowControl w:val="0"/>
        <w:suppressAutoHyphens/>
        <w:spacing w:line="276" w:lineRule="auto"/>
        <w:ind w:right="-96"/>
        <w:jc w:val="both"/>
        <w:rPr>
          <w:lang w:bidi="lt-LT"/>
        </w:rPr>
      </w:pPr>
    </w:p>
    <w:p w14:paraId="2D500DFA" w14:textId="77777777" w:rsidR="00616870" w:rsidRPr="00616870" w:rsidRDefault="00616870" w:rsidP="00616870">
      <w:pPr>
        <w:widowControl w:val="0"/>
        <w:suppressAutoHyphens/>
        <w:spacing w:line="276" w:lineRule="auto"/>
        <w:ind w:right="-96"/>
        <w:jc w:val="both"/>
        <w:rPr>
          <w:lang w:bidi="lt-LT"/>
        </w:rPr>
      </w:pPr>
      <w:r w:rsidRPr="00616870">
        <w:rPr>
          <w:lang w:bidi="lt-LT"/>
        </w:rPr>
        <w:t>Spartus LG B2B sektoriaus augimas ypatingai prisideda prie į ateitį orientuotos verslo struktūros kūrimo. Nepaisant laikino elektrinių transporto priemonių paklausos sulėtėjimo, transporto priemonių komponentų verslas ir toliau auga, nes jį palaiko įvairūs elektrines ir vidaus degimo transporto priemones naudojantys klientai bei didelis užsakymų kiekis. Be to, LG šildymo, vėdinimo ir oro kondicionavimo (ŠVOK) verslas, kuriam priklauso aukšto efektyvumo vėsintuvai, domisi dirbtinio intelekto infrastruktūros sektoriaus augimo galimybėmis.</w:t>
      </w:r>
    </w:p>
    <w:p w14:paraId="7334EDC9" w14:textId="77777777" w:rsidR="00616870" w:rsidRPr="00616870" w:rsidRDefault="00616870" w:rsidP="00616870">
      <w:pPr>
        <w:widowControl w:val="0"/>
        <w:suppressAutoHyphens/>
        <w:spacing w:line="276" w:lineRule="auto"/>
        <w:ind w:right="-96"/>
        <w:jc w:val="both"/>
        <w:rPr>
          <w:lang w:bidi="lt-LT"/>
        </w:rPr>
      </w:pPr>
    </w:p>
    <w:p w14:paraId="50931A2D" w14:textId="77777777" w:rsidR="00616870" w:rsidRPr="00616870" w:rsidRDefault="00616870" w:rsidP="00616870">
      <w:pPr>
        <w:widowControl w:val="0"/>
        <w:suppressAutoHyphens/>
        <w:spacing w:line="276" w:lineRule="auto"/>
        <w:ind w:right="-96"/>
        <w:jc w:val="both"/>
        <w:rPr>
          <w:lang w:bidi="lt-LT"/>
        </w:rPr>
      </w:pPr>
      <w:r w:rsidRPr="00616870">
        <w:rPr>
          <w:lang w:bidi="lt-LT"/>
        </w:rPr>
        <w:t>B2C srityje LG sparčiau integruoja naujus verslo modelius, kuriuose tradicinės aparatinės įrangos pardavimai derinami su nematerialiais pasiūlymais, pvz.: turiniu, paslaugomis ir prenumerata. „</w:t>
      </w:r>
      <w:proofErr w:type="spellStart"/>
      <w:r w:rsidRPr="00616870">
        <w:rPr>
          <w:lang w:bidi="lt-LT"/>
        </w:rPr>
        <w:t>webOS</w:t>
      </w:r>
      <w:proofErr w:type="spellEnd"/>
      <w:r w:rsidRPr="00616870">
        <w:rPr>
          <w:lang w:bidi="lt-LT"/>
        </w:rPr>
        <w:t xml:space="preserve">“ turinio ir paslaugų verslas plečiasi ne tik televizorių, bet ir informacinių technologijų bei pramogų srityje, o prognozuojamos pajamos šiais metais </w:t>
      </w:r>
      <w:r w:rsidRPr="00616870">
        <w:rPr>
          <w:lang w:bidi="lt-LT"/>
        </w:rPr>
        <w:lastRenderedPageBreak/>
        <w:t xml:space="preserve">turėtų viršyti 1 </w:t>
      </w:r>
      <w:proofErr w:type="spellStart"/>
      <w:r w:rsidRPr="00616870">
        <w:rPr>
          <w:lang w:bidi="lt-LT"/>
        </w:rPr>
        <w:t>trln</w:t>
      </w:r>
      <w:proofErr w:type="spellEnd"/>
      <w:r w:rsidRPr="00616870">
        <w:rPr>
          <w:lang w:bidi="lt-LT"/>
        </w:rPr>
        <w:t>. KRW (668,3 mln. eurų).</w:t>
      </w:r>
    </w:p>
    <w:p w14:paraId="3660083D" w14:textId="77777777" w:rsidR="00616870" w:rsidRPr="00616870" w:rsidRDefault="00616870" w:rsidP="00616870">
      <w:pPr>
        <w:widowControl w:val="0"/>
        <w:suppressAutoHyphens/>
        <w:spacing w:line="276" w:lineRule="auto"/>
        <w:ind w:right="-96"/>
        <w:jc w:val="both"/>
        <w:rPr>
          <w:lang w:bidi="lt-LT"/>
        </w:rPr>
      </w:pPr>
    </w:p>
    <w:p w14:paraId="1D28E879" w14:textId="77777777" w:rsidR="00616870" w:rsidRPr="00616870" w:rsidRDefault="00616870" w:rsidP="00616870">
      <w:pPr>
        <w:widowControl w:val="0"/>
        <w:suppressAutoHyphens/>
        <w:spacing w:line="276" w:lineRule="auto"/>
        <w:ind w:right="-96"/>
        <w:jc w:val="both"/>
        <w:rPr>
          <w:lang w:bidi="lt-LT"/>
        </w:rPr>
      </w:pPr>
      <w:r w:rsidRPr="00616870">
        <w:rPr>
          <w:lang w:bidi="lt-LT"/>
        </w:rPr>
        <w:t xml:space="preserve">Be to, pagreitį įgauna prenumeratos verslas, kuris jungia produktus ir paslaugas. Kadangi šis prenumeratos modelis jau sulaukė sėkmės Korėjoje, LG dabar jį plečia tarptautiniu mastu. Praėjusiais metais pajamos iš prenumeratos viršijo 1 </w:t>
      </w:r>
      <w:proofErr w:type="spellStart"/>
      <w:r w:rsidRPr="00616870">
        <w:rPr>
          <w:lang w:bidi="lt-LT"/>
        </w:rPr>
        <w:t>trln</w:t>
      </w:r>
      <w:proofErr w:type="spellEnd"/>
      <w:r w:rsidRPr="00616870">
        <w:rPr>
          <w:lang w:bidi="lt-LT"/>
        </w:rPr>
        <w:t xml:space="preserve">. KRW (668,3 mln. eurų), o šiais metais augimas dar greičiau spartėja. Birželio mėn. 36,2 proc. pagrindinių buitinės technikos prietaisų, parduotų LG parduotuvėse Korėjoje, buvo prenumeruojami. Šis modelis, itin populiarus tarp jaunų korėjiečių, dabar pristatomas pasaulio rinkose. Pavyzdžiui, Malaizijoje LG pradėjo taikyti „LG </w:t>
      </w:r>
      <w:proofErr w:type="spellStart"/>
      <w:r w:rsidRPr="00616870">
        <w:rPr>
          <w:lang w:bidi="lt-LT"/>
        </w:rPr>
        <w:t>Rent</w:t>
      </w:r>
      <w:proofErr w:type="spellEnd"/>
      <w:r w:rsidRPr="00616870">
        <w:rPr>
          <w:lang w:bidi="lt-LT"/>
        </w:rPr>
        <w:t xml:space="preserve">-Up“ modelį, siūlydama devynių gaminių, įskaitant </w:t>
      </w:r>
      <w:proofErr w:type="spellStart"/>
      <w:r w:rsidRPr="00616870">
        <w:rPr>
          <w:lang w:bidi="lt-LT"/>
        </w:rPr>
        <w:t>skalbykles</w:t>
      </w:r>
      <w:proofErr w:type="spellEnd"/>
      <w:r w:rsidRPr="00616870">
        <w:rPr>
          <w:lang w:bidi="lt-LT"/>
        </w:rPr>
        <w:t>, džiovykles ir šaldytuvus, prenumeratą.</w:t>
      </w:r>
    </w:p>
    <w:p w14:paraId="456B3B67" w14:textId="77777777" w:rsidR="00616870" w:rsidRPr="00616870" w:rsidRDefault="00616870" w:rsidP="00616870">
      <w:pPr>
        <w:widowControl w:val="0"/>
        <w:suppressAutoHyphens/>
        <w:spacing w:line="276" w:lineRule="auto"/>
        <w:ind w:right="-96"/>
        <w:jc w:val="both"/>
        <w:rPr>
          <w:lang w:bidi="lt-LT"/>
        </w:rPr>
      </w:pPr>
    </w:p>
    <w:p w14:paraId="3DD2C944" w14:textId="77777777" w:rsidR="00616870" w:rsidRPr="00616870" w:rsidRDefault="00616870" w:rsidP="00616870">
      <w:pPr>
        <w:widowControl w:val="0"/>
        <w:suppressAutoHyphens/>
        <w:spacing w:line="276" w:lineRule="auto"/>
        <w:ind w:right="-96"/>
        <w:jc w:val="both"/>
        <w:rPr>
          <w:lang w:bidi="lt-LT"/>
        </w:rPr>
      </w:pPr>
      <w:r w:rsidRPr="00616870">
        <w:rPr>
          <w:lang w:bidi="lt-LT"/>
        </w:rPr>
        <w:t>LG spartina ir naujų verslų plėtrą. Tikimasi, kad išmaniųjų gamyklų verslas, kuriame bendrovės gamybos patirtis derinama su dirbtiniu intelektu, šiais metais gaus užsakymų už 300 mlrd. KRW (200,5 mln. eurų) ir išplės klientų ratą tokiose pramonės šakose kaip puslaidininkiai ir biotechnologijos. Be to, LG partnerystė su Šiaurės Amerikoje pirmaujančia elektrinių transporto priemonių įkrovimo bendrove „</w:t>
      </w:r>
      <w:proofErr w:type="spellStart"/>
      <w:r w:rsidRPr="00616870">
        <w:rPr>
          <w:lang w:bidi="lt-LT"/>
        </w:rPr>
        <w:t>ChargePoint</w:t>
      </w:r>
      <w:proofErr w:type="spellEnd"/>
      <w:r w:rsidRPr="00616870">
        <w:rPr>
          <w:lang w:bidi="lt-LT"/>
        </w:rPr>
        <w:t>“ paskatins elektrinių transporto priemonių įkrovimo verslą, nes „</w:t>
      </w:r>
      <w:proofErr w:type="spellStart"/>
      <w:r w:rsidRPr="00616870">
        <w:rPr>
          <w:lang w:bidi="lt-LT"/>
        </w:rPr>
        <w:t>ChargePoint</w:t>
      </w:r>
      <w:proofErr w:type="spellEnd"/>
      <w:r w:rsidRPr="00616870">
        <w:rPr>
          <w:lang w:bidi="lt-LT"/>
        </w:rPr>
        <w:t xml:space="preserve">“ įkrovimo įrenginiai bus sujungti su LG komercinės reklamos ekrane sprendimais, „LG DOOH </w:t>
      </w:r>
      <w:proofErr w:type="spellStart"/>
      <w:r w:rsidRPr="00616870">
        <w:rPr>
          <w:lang w:bidi="lt-LT"/>
        </w:rPr>
        <w:t>Ads</w:t>
      </w:r>
      <w:proofErr w:type="spellEnd"/>
      <w:r w:rsidRPr="00616870">
        <w:rPr>
          <w:lang w:bidi="lt-LT"/>
        </w:rPr>
        <w:t>“, ir taip bus sukurta naujų rinkos galimybių.</w:t>
      </w:r>
    </w:p>
    <w:p w14:paraId="5A80104A" w14:textId="77777777" w:rsidR="00616870" w:rsidRPr="00616870" w:rsidRDefault="00616870" w:rsidP="00616870">
      <w:pPr>
        <w:widowControl w:val="0"/>
        <w:suppressAutoHyphens/>
        <w:spacing w:line="276" w:lineRule="auto"/>
        <w:ind w:right="-96"/>
        <w:jc w:val="both"/>
        <w:rPr>
          <w:lang w:bidi="lt-LT"/>
        </w:rPr>
      </w:pPr>
    </w:p>
    <w:p w14:paraId="7DFDD7DF" w14:textId="77777777" w:rsidR="00616870" w:rsidRPr="00616870" w:rsidRDefault="00616870" w:rsidP="00616870">
      <w:pPr>
        <w:widowControl w:val="0"/>
        <w:suppressAutoHyphens/>
        <w:spacing w:line="276" w:lineRule="auto"/>
        <w:ind w:right="-96"/>
        <w:jc w:val="both"/>
        <w:rPr>
          <w:lang w:bidi="lt-LT"/>
        </w:rPr>
      </w:pPr>
      <w:r w:rsidRPr="00616870">
        <w:rPr>
          <w:lang w:bidi="lt-LT"/>
        </w:rPr>
        <w:t xml:space="preserve">„LG </w:t>
      </w:r>
      <w:proofErr w:type="spellStart"/>
      <w:r w:rsidRPr="00616870">
        <w:rPr>
          <w:lang w:bidi="lt-LT"/>
        </w:rPr>
        <w:t>Home</w:t>
      </w:r>
      <w:proofErr w:type="spellEnd"/>
      <w:r w:rsidRPr="00616870">
        <w:rPr>
          <w:lang w:bidi="lt-LT"/>
        </w:rPr>
        <w:t xml:space="preserve"> </w:t>
      </w:r>
      <w:proofErr w:type="spellStart"/>
      <w:r w:rsidRPr="00616870">
        <w:rPr>
          <w:lang w:bidi="lt-LT"/>
        </w:rPr>
        <w:t>Appliance</w:t>
      </w:r>
      <w:proofErr w:type="spellEnd"/>
      <w:r w:rsidRPr="00616870">
        <w:rPr>
          <w:lang w:bidi="lt-LT"/>
        </w:rPr>
        <w:t xml:space="preserve"> &amp; </w:t>
      </w:r>
      <w:proofErr w:type="spellStart"/>
      <w:r w:rsidRPr="00616870">
        <w:rPr>
          <w:lang w:bidi="lt-LT"/>
        </w:rPr>
        <w:t>Air</w:t>
      </w:r>
      <w:proofErr w:type="spellEnd"/>
      <w:r w:rsidRPr="00616870">
        <w:rPr>
          <w:lang w:bidi="lt-LT"/>
        </w:rPr>
        <w:t xml:space="preserve"> </w:t>
      </w:r>
      <w:proofErr w:type="spellStart"/>
      <w:r w:rsidRPr="00616870">
        <w:rPr>
          <w:lang w:bidi="lt-LT"/>
        </w:rPr>
        <w:t>Solution</w:t>
      </w:r>
      <w:proofErr w:type="spellEnd"/>
      <w:r w:rsidRPr="00616870">
        <w:rPr>
          <w:lang w:bidi="lt-LT"/>
        </w:rPr>
        <w:t xml:space="preserve"> Company“ antrojo ketvirčio pajamos siekė 8,84 </w:t>
      </w:r>
      <w:proofErr w:type="spellStart"/>
      <w:r w:rsidRPr="00616870">
        <w:rPr>
          <w:lang w:bidi="lt-LT"/>
        </w:rPr>
        <w:t>trln</w:t>
      </w:r>
      <w:proofErr w:type="spellEnd"/>
      <w:r w:rsidRPr="00616870">
        <w:rPr>
          <w:lang w:bidi="lt-LT"/>
        </w:rPr>
        <w:t>. KRW (5,91 mlrd. eurų), o veiklos pelnas – 694,4 mlrd. KRW (463,9 mln. eurų). Palyginti su tuo pačiu praėjusių metų laikotarpiu, pajamos padidėjo 15 proc., o veiklos pelnas – 16 proc., ir tai yra didžiausios iki šiol vieno ketvirčio pajamos ir didžiausias antrojo ketvirčio veiklos pelnas.</w:t>
      </w:r>
    </w:p>
    <w:p w14:paraId="0E4F82EC" w14:textId="77777777" w:rsidR="00616870" w:rsidRPr="00616870" w:rsidRDefault="00616870" w:rsidP="00616870">
      <w:pPr>
        <w:widowControl w:val="0"/>
        <w:suppressAutoHyphens/>
        <w:spacing w:line="276" w:lineRule="auto"/>
        <w:ind w:right="-96"/>
        <w:jc w:val="both"/>
        <w:rPr>
          <w:lang w:bidi="lt-LT"/>
        </w:rPr>
      </w:pPr>
    </w:p>
    <w:p w14:paraId="1B5E436C" w14:textId="77777777" w:rsidR="00616870" w:rsidRPr="00616870" w:rsidRDefault="00616870" w:rsidP="00616870">
      <w:pPr>
        <w:widowControl w:val="0"/>
        <w:suppressAutoHyphens/>
        <w:spacing w:line="276" w:lineRule="auto"/>
        <w:ind w:right="-96"/>
        <w:jc w:val="both"/>
        <w:rPr>
          <w:lang w:bidi="lt-LT"/>
        </w:rPr>
      </w:pPr>
      <w:r w:rsidRPr="00616870">
        <w:rPr>
          <w:lang w:bidi="lt-LT"/>
        </w:rPr>
        <w:t>Antrąjį ketvirtį LG geografinių sričių strategija, sukurta norint atliepti poliarizuotą rinkos paklausą, pasirodė esanti veiksminga. Siekiant patenkinti augančius poreikius besivystančiose rinkose, pvz.: Lotynų Amerikoje, Artimuosiuose Rytuose ir Afrikoje, buvo diversifikuotas gaminių asortimentas ir kainodara. Prie gerų rezultatų prisidėjo naujos verslo sritys, įskaitant prenumeratą ir internetinės LG parduotuvės pardavimus. Artėjant trečiajam ketvirčiui, LG ketina ir toliau lanksčiai prisitaikyti prie rinkos pokyčių ir toliau plėsti B2B sektorius, ypač ŠVOK ir įmontuojamąją techniką. Tikimasi, kad, neseniai įsigijus išmaniųjų namų platformos bendrovę „</w:t>
      </w:r>
      <w:proofErr w:type="spellStart"/>
      <w:r w:rsidRPr="00616870">
        <w:rPr>
          <w:lang w:bidi="lt-LT"/>
        </w:rPr>
        <w:t>Athom</w:t>
      </w:r>
      <w:proofErr w:type="spellEnd"/>
      <w:r w:rsidRPr="00616870">
        <w:rPr>
          <w:lang w:bidi="lt-LT"/>
        </w:rPr>
        <w:t>“, pavyks pasiekti sinergiją buitinės technikos sektoriuje. Dideliam pelningumui užtikrinti LG pasinaudos ir savo aukščiausio lygio pasauliniais gamybos pajėgumais.</w:t>
      </w:r>
    </w:p>
    <w:p w14:paraId="0A4D35BE" w14:textId="77777777" w:rsidR="00616870" w:rsidRPr="00616870" w:rsidRDefault="00616870" w:rsidP="00616870">
      <w:pPr>
        <w:widowControl w:val="0"/>
        <w:suppressAutoHyphens/>
        <w:spacing w:line="276" w:lineRule="auto"/>
        <w:ind w:right="-96"/>
        <w:jc w:val="both"/>
        <w:rPr>
          <w:lang w:bidi="lt-LT"/>
        </w:rPr>
      </w:pPr>
    </w:p>
    <w:p w14:paraId="4F1373A5" w14:textId="77777777" w:rsidR="00616870" w:rsidRPr="00616870" w:rsidRDefault="00616870" w:rsidP="00616870">
      <w:pPr>
        <w:widowControl w:val="0"/>
        <w:suppressAutoHyphens/>
        <w:spacing w:line="276" w:lineRule="auto"/>
        <w:ind w:right="-96"/>
        <w:jc w:val="both"/>
        <w:rPr>
          <w:lang w:bidi="lt-LT"/>
        </w:rPr>
      </w:pPr>
      <w:r w:rsidRPr="00616870">
        <w:rPr>
          <w:lang w:bidi="lt-LT"/>
        </w:rPr>
        <w:t xml:space="preserve">„LG </w:t>
      </w:r>
      <w:proofErr w:type="spellStart"/>
      <w:r w:rsidRPr="00616870">
        <w:rPr>
          <w:lang w:bidi="lt-LT"/>
        </w:rPr>
        <w:t>Vehicle</w:t>
      </w:r>
      <w:proofErr w:type="spellEnd"/>
      <w:r w:rsidRPr="00616870">
        <w:rPr>
          <w:lang w:bidi="lt-LT"/>
        </w:rPr>
        <w:t xml:space="preserve"> </w:t>
      </w:r>
      <w:proofErr w:type="spellStart"/>
      <w:r w:rsidRPr="00616870">
        <w:rPr>
          <w:lang w:bidi="lt-LT"/>
        </w:rPr>
        <w:t>Component</w:t>
      </w:r>
      <w:proofErr w:type="spellEnd"/>
      <w:r w:rsidRPr="00616870">
        <w:rPr>
          <w:lang w:bidi="lt-LT"/>
        </w:rPr>
        <w:t xml:space="preserve"> </w:t>
      </w:r>
      <w:proofErr w:type="spellStart"/>
      <w:r w:rsidRPr="00616870">
        <w:rPr>
          <w:lang w:bidi="lt-LT"/>
        </w:rPr>
        <w:t>Solutions</w:t>
      </w:r>
      <w:proofErr w:type="spellEnd"/>
      <w:r w:rsidRPr="00616870">
        <w:rPr>
          <w:lang w:bidi="lt-LT"/>
        </w:rPr>
        <w:t xml:space="preserve"> Company“ antrojo ketvirčio pajamos siekė 2,69 </w:t>
      </w:r>
      <w:proofErr w:type="spellStart"/>
      <w:r w:rsidRPr="00616870">
        <w:rPr>
          <w:lang w:bidi="lt-LT"/>
        </w:rPr>
        <w:t>trln</w:t>
      </w:r>
      <w:proofErr w:type="spellEnd"/>
      <w:r w:rsidRPr="00616870">
        <w:rPr>
          <w:lang w:bidi="lt-LT"/>
        </w:rPr>
        <w:t xml:space="preserve">. KRW (1,80 mlrd. eurų), o veiklos pelnas – 81,7 mlrd. KRW (54,6 mln. eurų). Pajamos per metus padidėjo 1 proc., o veiklos pelnas tapo teigiamas. Šio ketvirčio pajamos buvo </w:t>
      </w:r>
      <w:r w:rsidRPr="00616870">
        <w:rPr>
          <w:lang w:bidi="lt-LT"/>
        </w:rPr>
        <w:lastRenderedPageBreak/>
        <w:t>didesnės nei bet kurio kito ankstesnio ketvirčio, o veiklos pelnas – didžiausias antrojo ketvirčio pelnas.</w:t>
      </w:r>
    </w:p>
    <w:p w14:paraId="38484E91" w14:textId="77777777" w:rsidR="00616870" w:rsidRPr="00616870" w:rsidRDefault="00616870" w:rsidP="00616870">
      <w:pPr>
        <w:widowControl w:val="0"/>
        <w:suppressAutoHyphens/>
        <w:spacing w:line="276" w:lineRule="auto"/>
        <w:ind w:right="-96"/>
        <w:jc w:val="both"/>
        <w:rPr>
          <w:lang w:bidi="lt-LT"/>
        </w:rPr>
      </w:pPr>
    </w:p>
    <w:p w14:paraId="48FAF168" w14:textId="77777777" w:rsidR="00616870" w:rsidRPr="00616870" w:rsidRDefault="00616870" w:rsidP="00616870">
      <w:pPr>
        <w:widowControl w:val="0"/>
        <w:suppressAutoHyphens/>
        <w:spacing w:line="276" w:lineRule="auto"/>
        <w:ind w:right="-96"/>
        <w:jc w:val="both"/>
        <w:rPr>
          <w:lang w:bidi="lt-LT"/>
        </w:rPr>
      </w:pPr>
      <w:r w:rsidRPr="00616870">
        <w:rPr>
          <w:lang w:bidi="lt-LT"/>
        </w:rPr>
        <w:t>Nepaisant laikino elektrinių transporto priemonių rinkos sulėtėjimo šiuo laikotarpiu, LG augo efektyviai patenkindama padidėjusią aukščiausios klasės transporto priemonių informacijos ir pramogų produktų paklausą ir planuoja toliau plėsti transporto priemonių komponentų verslą. Ši strategija apima naujų aukščiausios kokybės produktų, taip pat saugos ir patogumo sprendimų, pvz., pažangiųjų pagalbos vairuotojui sistemų, pardavimų didinimą pagal esamas užsakymų programas.</w:t>
      </w:r>
    </w:p>
    <w:p w14:paraId="5E0C0FBA" w14:textId="77777777" w:rsidR="00616870" w:rsidRPr="00616870" w:rsidRDefault="00616870" w:rsidP="00616870">
      <w:pPr>
        <w:widowControl w:val="0"/>
        <w:suppressAutoHyphens/>
        <w:spacing w:line="276" w:lineRule="auto"/>
        <w:ind w:right="-96"/>
        <w:jc w:val="both"/>
        <w:rPr>
          <w:lang w:bidi="lt-LT"/>
        </w:rPr>
      </w:pPr>
    </w:p>
    <w:p w14:paraId="0FC43075" w14:textId="77777777" w:rsidR="00616870" w:rsidRPr="00616870" w:rsidRDefault="00616870" w:rsidP="00616870">
      <w:pPr>
        <w:widowControl w:val="0"/>
        <w:suppressAutoHyphens/>
        <w:spacing w:line="276" w:lineRule="auto"/>
        <w:ind w:right="-96"/>
        <w:jc w:val="both"/>
        <w:rPr>
          <w:lang w:bidi="lt-LT"/>
        </w:rPr>
      </w:pPr>
      <w:r w:rsidRPr="00616870">
        <w:rPr>
          <w:lang w:bidi="lt-LT"/>
        </w:rPr>
        <w:t xml:space="preserve">„LG </w:t>
      </w:r>
      <w:proofErr w:type="spellStart"/>
      <w:r w:rsidRPr="00616870">
        <w:rPr>
          <w:lang w:bidi="lt-LT"/>
        </w:rPr>
        <w:t>Home</w:t>
      </w:r>
      <w:proofErr w:type="spellEnd"/>
      <w:r w:rsidRPr="00616870">
        <w:rPr>
          <w:lang w:bidi="lt-LT"/>
        </w:rPr>
        <w:t xml:space="preserve"> </w:t>
      </w:r>
      <w:proofErr w:type="spellStart"/>
      <w:r w:rsidRPr="00616870">
        <w:rPr>
          <w:lang w:bidi="lt-LT"/>
        </w:rPr>
        <w:t>Entertainment</w:t>
      </w:r>
      <w:proofErr w:type="spellEnd"/>
      <w:r w:rsidRPr="00616870">
        <w:rPr>
          <w:lang w:bidi="lt-LT"/>
        </w:rPr>
        <w:t xml:space="preserve"> Company“ antrojo ketvirčio pajamos siekė 3,62 </w:t>
      </w:r>
      <w:proofErr w:type="spellStart"/>
      <w:r w:rsidRPr="00616870">
        <w:rPr>
          <w:lang w:bidi="lt-LT"/>
        </w:rPr>
        <w:t>trln</w:t>
      </w:r>
      <w:proofErr w:type="spellEnd"/>
      <w:r w:rsidRPr="00616870">
        <w:rPr>
          <w:lang w:bidi="lt-LT"/>
        </w:rPr>
        <w:t>. KRW (2,42 mlrd. eurų), o veiklos pelnas – 97 mlrd. KRW (64,8 mln. eurų). Palyginti su tuo pačiu praėjusių metų laikotarpiu, pajamos padidėjo 15,3 proc., nes padidėjo paklausa Europoje – pagrindinėje aukščiausios klasės OLED televizorių rinkoje. Toliau augo ir „</w:t>
      </w:r>
      <w:proofErr w:type="spellStart"/>
      <w:r w:rsidRPr="00616870">
        <w:rPr>
          <w:lang w:bidi="lt-LT"/>
        </w:rPr>
        <w:t>webOS</w:t>
      </w:r>
      <w:proofErr w:type="spellEnd"/>
      <w:r w:rsidRPr="00616870">
        <w:rPr>
          <w:lang w:bidi="lt-LT"/>
        </w:rPr>
        <w:t>“ turinio ir paslaugų verslas. Tačiau veiklos pelnas sumažėjo dėl padidėjusių sąnaudų, įskaitant padidėjusias skystųjų kristalų ekranų kainas.</w:t>
      </w:r>
    </w:p>
    <w:p w14:paraId="7483C2D4" w14:textId="77777777" w:rsidR="00616870" w:rsidRPr="00616870" w:rsidRDefault="00616870" w:rsidP="00616870">
      <w:pPr>
        <w:widowControl w:val="0"/>
        <w:suppressAutoHyphens/>
        <w:spacing w:line="276" w:lineRule="auto"/>
        <w:ind w:right="-96"/>
        <w:jc w:val="both"/>
        <w:rPr>
          <w:lang w:bidi="lt-LT"/>
        </w:rPr>
      </w:pPr>
    </w:p>
    <w:p w14:paraId="7DD64668" w14:textId="77777777" w:rsidR="00616870" w:rsidRPr="00616870" w:rsidRDefault="00616870" w:rsidP="00616870">
      <w:pPr>
        <w:widowControl w:val="0"/>
        <w:suppressAutoHyphens/>
        <w:spacing w:line="276" w:lineRule="auto"/>
        <w:ind w:right="-96"/>
        <w:jc w:val="both"/>
        <w:rPr>
          <w:lang w:bidi="lt-LT"/>
        </w:rPr>
      </w:pPr>
      <w:r w:rsidRPr="00616870">
        <w:rPr>
          <w:lang w:bidi="lt-LT"/>
        </w:rPr>
        <w:t>Tikimasi, kad trečiąjį ketvirtį, palyginti su praėjusiais metais, bendra televizorių rinkos paklausa šiek tiek padidės, o aukščiausios klasės OLED televizoriai pranoks bendrosios rinkos gaminius. Didindama OLED televizorių pardavimus, LG sieks išlaikyti veiklos efektyvumą mažindama sąnaudų naštą, tokią kaip didėjančios skystųjų kristalų ekranų kainos.</w:t>
      </w:r>
    </w:p>
    <w:p w14:paraId="20580CAD" w14:textId="77777777" w:rsidR="00616870" w:rsidRPr="00616870" w:rsidRDefault="00616870" w:rsidP="00616870">
      <w:pPr>
        <w:widowControl w:val="0"/>
        <w:suppressAutoHyphens/>
        <w:spacing w:line="276" w:lineRule="auto"/>
        <w:ind w:right="-96"/>
        <w:jc w:val="both"/>
        <w:rPr>
          <w:lang w:bidi="lt-LT"/>
        </w:rPr>
      </w:pPr>
    </w:p>
    <w:p w14:paraId="6CEB1D4A" w14:textId="77777777" w:rsidR="00616870" w:rsidRPr="00616870" w:rsidRDefault="00616870" w:rsidP="00616870">
      <w:pPr>
        <w:widowControl w:val="0"/>
        <w:suppressAutoHyphens/>
        <w:spacing w:line="276" w:lineRule="auto"/>
        <w:ind w:right="-96"/>
        <w:jc w:val="both"/>
        <w:rPr>
          <w:lang w:bidi="lt-LT"/>
        </w:rPr>
      </w:pPr>
      <w:r w:rsidRPr="00616870">
        <w:rPr>
          <w:lang w:bidi="lt-LT"/>
        </w:rPr>
        <w:t xml:space="preserve">„LG </w:t>
      </w:r>
      <w:proofErr w:type="spellStart"/>
      <w:r w:rsidRPr="00616870">
        <w:rPr>
          <w:lang w:bidi="lt-LT"/>
        </w:rPr>
        <w:t>Business</w:t>
      </w:r>
      <w:proofErr w:type="spellEnd"/>
      <w:r w:rsidRPr="00616870">
        <w:rPr>
          <w:lang w:bidi="lt-LT"/>
        </w:rPr>
        <w:t xml:space="preserve"> </w:t>
      </w:r>
      <w:proofErr w:type="spellStart"/>
      <w:r w:rsidRPr="00616870">
        <w:rPr>
          <w:lang w:bidi="lt-LT"/>
        </w:rPr>
        <w:t>Solutions</w:t>
      </w:r>
      <w:proofErr w:type="spellEnd"/>
      <w:r w:rsidRPr="00616870">
        <w:rPr>
          <w:lang w:bidi="lt-LT"/>
        </w:rPr>
        <w:t xml:space="preserve"> Company“ antrojo ketvirčio pajamos siekė 1,46 </w:t>
      </w:r>
      <w:proofErr w:type="spellStart"/>
      <w:r w:rsidRPr="00616870">
        <w:rPr>
          <w:lang w:bidi="lt-LT"/>
        </w:rPr>
        <w:t>trln</w:t>
      </w:r>
      <w:proofErr w:type="spellEnd"/>
      <w:r w:rsidRPr="00616870">
        <w:rPr>
          <w:lang w:bidi="lt-LT"/>
        </w:rPr>
        <w:t xml:space="preserve">. KRW (975,5 mln. eurų), o veiklos nuostolis – 5,9 mlrd. KRW (3,9 mln. eurų). Pajamos, palyginti su praėjusiais metais, padidėjo 9,9 proc., nes parduota daugiau strateginių produktų (šviesos diodų iškabų, elektroninių lentų ir žaidimų monitorių). Tačiau pelningumui įtakos turėjo padidėjusios sąnaudos, įskaitant skystųjų kristalų ekranų kainas, ir nuolatinės investicijos į augimo sritis, pvz., elektrinių transporto priemonių įkrovimą ir </w:t>
      </w:r>
      <w:proofErr w:type="spellStart"/>
      <w:r w:rsidRPr="00616870">
        <w:rPr>
          <w:lang w:bidi="lt-LT"/>
        </w:rPr>
        <w:t>robotiką</w:t>
      </w:r>
      <w:proofErr w:type="spellEnd"/>
      <w:r w:rsidRPr="00616870">
        <w:rPr>
          <w:lang w:bidi="lt-LT"/>
        </w:rPr>
        <w:t>.</w:t>
      </w:r>
    </w:p>
    <w:p w14:paraId="12CF94ED" w14:textId="77777777" w:rsidR="00616870" w:rsidRPr="00616870" w:rsidRDefault="00616870" w:rsidP="00616870">
      <w:pPr>
        <w:widowControl w:val="0"/>
        <w:suppressAutoHyphens/>
        <w:spacing w:line="276" w:lineRule="auto"/>
        <w:ind w:right="-96"/>
        <w:jc w:val="both"/>
        <w:rPr>
          <w:lang w:bidi="lt-LT"/>
        </w:rPr>
      </w:pPr>
    </w:p>
    <w:p w14:paraId="067EF055" w14:textId="4090F0EF" w:rsidR="006726B8" w:rsidRDefault="00616870" w:rsidP="00616870">
      <w:pPr>
        <w:widowControl w:val="0"/>
        <w:suppressAutoHyphens/>
        <w:spacing w:line="276" w:lineRule="auto"/>
        <w:ind w:right="-96"/>
        <w:jc w:val="both"/>
        <w:rPr>
          <w:lang w:bidi="lt-LT"/>
        </w:rPr>
      </w:pPr>
      <w:r w:rsidRPr="00616870">
        <w:rPr>
          <w:lang w:bidi="lt-LT"/>
        </w:rPr>
        <w:t>Tikimasi, kad trečiąjį ketvirtį ir toliau augs aukščiausios kokybės produktų, pvz., komercinių ekranų ir žaidimų monitorių, rinka. Bendrovė, efektyviai valdydama išteklius, daugiausia dėmesio skirs strateginių produktų pardavimų plėtrai ir pelningumo didinimui.</w:t>
      </w:r>
    </w:p>
    <w:p w14:paraId="044BD253" w14:textId="77777777" w:rsidR="00616870" w:rsidRPr="00616870" w:rsidRDefault="00616870" w:rsidP="00616870">
      <w:pPr>
        <w:widowControl w:val="0"/>
        <w:suppressAutoHyphens/>
        <w:spacing w:line="276" w:lineRule="auto"/>
        <w:ind w:right="-96"/>
        <w:jc w:val="both"/>
        <w:rPr>
          <w:rFonts w:eastAsia="Batang"/>
          <w:lang w:eastAsia="ko-KR"/>
        </w:rPr>
      </w:pPr>
    </w:p>
    <w:p w14:paraId="6BFA816B" w14:textId="7DCE1D20" w:rsidR="007625F0" w:rsidRPr="007625F0" w:rsidRDefault="007625F0" w:rsidP="7DB38EE7">
      <w:pPr>
        <w:widowControl w:val="0"/>
        <w:suppressAutoHyphens/>
        <w:spacing w:line="360" w:lineRule="auto"/>
        <w:jc w:val="center"/>
        <w:rPr>
          <w:color w:val="000000" w:themeColor="text1"/>
          <w:lang w:eastAsia="ko-KR"/>
        </w:rPr>
      </w:pPr>
      <w:r w:rsidRPr="7DB38EE7">
        <w:rPr>
          <w:sz w:val="20"/>
          <w:szCs w:val="20"/>
          <w:lang w:bidi="lt-LT"/>
        </w:rPr>
        <w:t># # #</w:t>
      </w:r>
    </w:p>
    <w:p w14:paraId="3FD62E17" w14:textId="10EB4454" w:rsidR="007625F0" w:rsidRPr="007625F0" w:rsidRDefault="007625F0" w:rsidP="7DB38EE7">
      <w:pPr>
        <w:widowControl w:val="0"/>
        <w:suppressAutoHyphens/>
        <w:spacing w:line="360" w:lineRule="auto"/>
        <w:jc w:val="center"/>
        <w:rPr>
          <w:sz w:val="20"/>
          <w:szCs w:val="20"/>
          <w:lang w:bidi="lt-LT"/>
        </w:rPr>
      </w:pPr>
    </w:p>
    <w:p w14:paraId="65ECC6A5" w14:textId="3CF2A912" w:rsidR="007625F0" w:rsidRPr="007625F0" w:rsidRDefault="4D37C2F1" w:rsidP="7DB38EE7">
      <w:pPr>
        <w:widowControl w:val="0"/>
        <w:suppressAutoHyphens/>
        <w:spacing w:line="360" w:lineRule="auto"/>
        <w:jc w:val="both"/>
        <w:rPr>
          <w:rFonts w:eastAsia="Times New Roman"/>
          <w:color w:val="C00000"/>
          <w:sz w:val="18"/>
          <w:szCs w:val="18"/>
        </w:rPr>
      </w:pPr>
      <w:r w:rsidRPr="7DB38EE7">
        <w:rPr>
          <w:rFonts w:eastAsia="Times New Roman"/>
          <w:b/>
          <w:bCs/>
          <w:color w:val="C00000"/>
          <w:sz w:val="18"/>
          <w:szCs w:val="18"/>
        </w:rPr>
        <w:t>Apie LG Electronics </w:t>
      </w:r>
      <w:proofErr w:type="spellStart"/>
      <w:r w:rsidRPr="7DB38EE7">
        <w:rPr>
          <w:rFonts w:eastAsia="Times New Roman"/>
          <w:b/>
          <w:bCs/>
          <w:color w:val="C00000"/>
          <w:sz w:val="18"/>
          <w:szCs w:val="18"/>
        </w:rPr>
        <w:t>Inc</w:t>
      </w:r>
      <w:proofErr w:type="spellEnd"/>
      <w:r w:rsidRPr="7DB38EE7">
        <w:rPr>
          <w:rFonts w:eastAsia="Times New Roman"/>
          <w:b/>
          <w:bCs/>
          <w:color w:val="C00000"/>
          <w:sz w:val="18"/>
          <w:szCs w:val="18"/>
        </w:rPr>
        <w:t>.</w:t>
      </w:r>
    </w:p>
    <w:p w14:paraId="7A3EB87E" w14:textId="44B6BA73" w:rsidR="007625F0" w:rsidRPr="007625F0" w:rsidRDefault="4D37C2F1" w:rsidP="7DB38EE7">
      <w:pPr>
        <w:widowControl w:val="0"/>
        <w:suppressAutoHyphens/>
        <w:spacing w:line="360" w:lineRule="auto"/>
        <w:jc w:val="both"/>
        <w:rPr>
          <w:rFonts w:eastAsia="Times New Roman"/>
          <w:color w:val="212121"/>
          <w:sz w:val="18"/>
          <w:szCs w:val="18"/>
        </w:rPr>
      </w:pPr>
      <w:r w:rsidRPr="7DB38EE7">
        <w:rPr>
          <w:rFonts w:eastAsia="Times New Roman"/>
          <w:i/>
          <w:iCs/>
          <w:color w:val="212121"/>
          <w:sz w:val="18"/>
          <w:szCs w:val="18"/>
        </w:rPr>
        <w:t>LG Electronics</w:t>
      </w:r>
      <w:r w:rsidRPr="7DB38EE7">
        <w:rPr>
          <w:rFonts w:eastAsia="Times New Roman"/>
          <w:color w:val="212121"/>
          <w:sz w:val="18"/>
          <w:szCs w:val="18"/>
        </w:rPr>
        <w:t xml:space="preserve"> yra pasaulinė technologijų ir buitinės elektronikos naujovių </w:t>
      </w:r>
      <w:proofErr w:type="spellStart"/>
      <w:r w:rsidRPr="7DB38EE7">
        <w:rPr>
          <w:rFonts w:eastAsia="Times New Roman"/>
          <w:color w:val="212121"/>
          <w:sz w:val="18"/>
          <w:szCs w:val="18"/>
        </w:rPr>
        <w:t>diegėja</w:t>
      </w:r>
      <w:proofErr w:type="spellEnd"/>
      <w:r w:rsidRPr="7DB38EE7">
        <w:rPr>
          <w:rFonts w:eastAsia="Times New Roman"/>
          <w:color w:val="212121"/>
          <w:sz w:val="18"/>
          <w:szCs w:val="18"/>
        </w:rPr>
        <w:t xml:space="preserve">, veikianti beveik visose šalyse. Įmonėje dirba daugiau nei 74 000 darbuotojų. Keturių LG padalinių – </w:t>
      </w:r>
      <w:proofErr w:type="spellStart"/>
      <w:r w:rsidRPr="7DB38EE7">
        <w:rPr>
          <w:rFonts w:eastAsia="Times New Roman"/>
          <w:i/>
          <w:iCs/>
          <w:color w:val="212121"/>
          <w:sz w:val="18"/>
          <w:szCs w:val="18"/>
        </w:rPr>
        <w:t>Home</w:t>
      </w:r>
      <w:proofErr w:type="spellEnd"/>
      <w:r w:rsidRPr="7DB38EE7">
        <w:rPr>
          <w:rFonts w:eastAsia="Times New Roman"/>
          <w:i/>
          <w:iCs/>
          <w:color w:val="212121"/>
          <w:sz w:val="18"/>
          <w:szCs w:val="18"/>
        </w:rPr>
        <w:t xml:space="preserve"> </w:t>
      </w:r>
      <w:proofErr w:type="spellStart"/>
      <w:r w:rsidRPr="7DB38EE7">
        <w:rPr>
          <w:rFonts w:eastAsia="Times New Roman"/>
          <w:i/>
          <w:iCs/>
          <w:color w:val="212121"/>
          <w:sz w:val="18"/>
          <w:szCs w:val="18"/>
        </w:rPr>
        <w:t>Appliance</w:t>
      </w:r>
      <w:proofErr w:type="spellEnd"/>
      <w:r w:rsidRPr="7DB38EE7">
        <w:rPr>
          <w:rFonts w:eastAsia="Times New Roman"/>
          <w:i/>
          <w:iCs/>
          <w:color w:val="212121"/>
          <w:sz w:val="18"/>
          <w:szCs w:val="18"/>
        </w:rPr>
        <w:t xml:space="preserve"> &amp; </w:t>
      </w:r>
      <w:proofErr w:type="spellStart"/>
      <w:r w:rsidRPr="7DB38EE7">
        <w:rPr>
          <w:rFonts w:eastAsia="Times New Roman"/>
          <w:i/>
          <w:iCs/>
          <w:color w:val="212121"/>
          <w:sz w:val="18"/>
          <w:szCs w:val="18"/>
        </w:rPr>
        <w:t>Air</w:t>
      </w:r>
      <w:proofErr w:type="spellEnd"/>
      <w:r w:rsidRPr="7DB38EE7">
        <w:rPr>
          <w:rFonts w:eastAsia="Times New Roman"/>
          <w:i/>
          <w:iCs/>
          <w:color w:val="212121"/>
          <w:sz w:val="18"/>
          <w:szCs w:val="18"/>
        </w:rPr>
        <w:t xml:space="preserve"> </w:t>
      </w:r>
      <w:proofErr w:type="spellStart"/>
      <w:r w:rsidRPr="7DB38EE7">
        <w:rPr>
          <w:rFonts w:eastAsia="Times New Roman"/>
          <w:i/>
          <w:iCs/>
          <w:color w:val="212121"/>
          <w:sz w:val="18"/>
          <w:szCs w:val="18"/>
        </w:rPr>
        <w:t>Solution</w:t>
      </w:r>
      <w:proofErr w:type="spellEnd"/>
      <w:r w:rsidRPr="7DB38EE7">
        <w:rPr>
          <w:rFonts w:eastAsia="Times New Roman"/>
          <w:color w:val="212121"/>
          <w:sz w:val="18"/>
          <w:szCs w:val="18"/>
        </w:rPr>
        <w:t xml:space="preserve">, </w:t>
      </w:r>
      <w:proofErr w:type="spellStart"/>
      <w:r w:rsidRPr="7DB38EE7">
        <w:rPr>
          <w:rFonts w:eastAsia="Times New Roman"/>
          <w:i/>
          <w:iCs/>
          <w:color w:val="212121"/>
          <w:sz w:val="18"/>
          <w:szCs w:val="18"/>
        </w:rPr>
        <w:t>Home</w:t>
      </w:r>
      <w:proofErr w:type="spellEnd"/>
      <w:r w:rsidRPr="7DB38EE7">
        <w:rPr>
          <w:rFonts w:eastAsia="Times New Roman"/>
          <w:i/>
          <w:iCs/>
          <w:color w:val="212121"/>
          <w:sz w:val="18"/>
          <w:szCs w:val="18"/>
        </w:rPr>
        <w:t xml:space="preserve"> </w:t>
      </w:r>
      <w:proofErr w:type="spellStart"/>
      <w:r w:rsidRPr="7DB38EE7">
        <w:rPr>
          <w:rFonts w:eastAsia="Times New Roman"/>
          <w:i/>
          <w:iCs/>
          <w:color w:val="212121"/>
          <w:sz w:val="18"/>
          <w:szCs w:val="18"/>
        </w:rPr>
        <w:t>Entertainment</w:t>
      </w:r>
      <w:proofErr w:type="spellEnd"/>
      <w:r w:rsidRPr="7DB38EE7">
        <w:rPr>
          <w:rFonts w:eastAsia="Times New Roman"/>
          <w:color w:val="212121"/>
          <w:sz w:val="18"/>
          <w:szCs w:val="18"/>
        </w:rPr>
        <w:t xml:space="preserve">, </w:t>
      </w:r>
      <w:proofErr w:type="spellStart"/>
      <w:r w:rsidRPr="7DB38EE7">
        <w:rPr>
          <w:rFonts w:eastAsia="Times New Roman"/>
          <w:i/>
          <w:iCs/>
          <w:color w:val="212121"/>
          <w:sz w:val="18"/>
          <w:szCs w:val="18"/>
        </w:rPr>
        <w:t>Vehicle</w:t>
      </w:r>
      <w:proofErr w:type="spellEnd"/>
      <w:r w:rsidRPr="7DB38EE7">
        <w:rPr>
          <w:rFonts w:eastAsia="Times New Roman"/>
          <w:i/>
          <w:iCs/>
          <w:color w:val="212121"/>
          <w:sz w:val="18"/>
          <w:szCs w:val="18"/>
        </w:rPr>
        <w:t xml:space="preserve"> </w:t>
      </w:r>
      <w:proofErr w:type="spellStart"/>
      <w:r w:rsidRPr="7DB38EE7">
        <w:rPr>
          <w:rFonts w:eastAsia="Times New Roman"/>
          <w:i/>
          <w:iCs/>
          <w:color w:val="212121"/>
          <w:sz w:val="18"/>
          <w:szCs w:val="18"/>
        </w:rPr>
        <w:t>Component</w:t>
      </w:r>
      <w:proofErr w:type="spellEnd"/>
      <w:r w:rsidRPr="7DB38EE7">
        <w:rPr>
          <w:rFonts w:eastAsia="Times New Roman"/>
          <w:i/>
          <w:iCs/>
          <w:color w:val="212121"/>
          <w:sz w:val="18"/>
          <w:szCs w:val="18"/>
        </w:rPr>
        <w:t xml:space="preserve"> </w:t>
      </w:r>
      <w:proofErr w:type="spellStart"/>
      <w:r w:rsidRPr="7DB38EE7">
        <w:rPr>
          <w:rFonts w:eastAsia="Times New Roman"/>
          <w:i/>
          <w:iCs/>
          <w:color w:val="212121"/>
          <w:sz w:val="18"/>
          <w:szCs w:val="18"/>
        </w:rPr>
        <w:t>Solutions</w:t>
      </w:r>
      <w:proofErr w:type="spellEnd"/>
      <w:r w:rsidRPr="7DB38EE7">
        <w:rPr>
          <w:rFonts w:eastAsia="Times New Roman"/>
          <w:color w:val="212121"/>
          <w:sz w:val="18"/>
          <w:szCs w:val="18"/>
        </w:rPr>
        <w:t xml:space="preserve"> ir </w:t>
      </w:r>
      <w:proofErr w:type="spellStart"/>
      <w:r w:rsidRPr="7DB38EE7">
        <w:rPr>
          <w:rFonts w:eastAsia="Times New Roman"/>
          <w:i/>
          <w:iCs/>
          <w:color w:val="212121"/>
          <w:sz w:val="18"/>
          <w:szCs w:val="18"/>
        </w:rPr>
        <w:t>Business</w:t>
      </w:r>
      <w:proofErr w:type="spellEnd"/>
      <w:r w:rsidRPr="7DB38EE7">
        <w:rPr>
          <w:rFonts w:eastAsia="Times New Roman"/>
          <w:i/>
          <w:iCs/>
          <w:color w:val="212121"/>
          <w:sz w:val="18"/>
          <w:szCs w:val="18"/>
        </w:rPr>
        <w:t xml:space="preserve"> </w:t>
      </w:r>
      <w:proofErr w:type="spellStart"/>
      <w:r w:rsidRPr="7DB38EE7">
        <w:rPr>
          <w:rFonts w:eastAsia="Times New Roman"/>
          <w:i/>
          <w:iCs/>
          <w:color w:val="212121"/>
          <w:sz w:val="18"/>
          <w:szCs w:val="18"/>
        </w:rPr>
        <w:t>Solutions</w:t>
      </w:r>
      <w:proofErr w:type="spellEnd"/>
      <w:r w:rsidRPr="7DB38EE7">
        <w:rPr>
          <w:rFonts w:eastAsia="Times New Roman"/>
          <w:color w:val="212121"/>
          <w:sz w:val="18"/>
          <w:szCs w:val="18"/>
        </w:rPr>
        <w:t xml:space="preserve"> – 2023 m. pardavimai viršijo 57,68 milijardo eurų </w:t>
      </w:r>
      <w:r w:rsidRPr="7DB38EE7">
        <w:rPr>
          <w:rFonts w:eastAsia="Times New Roman"/>
          <w:color w:val="212121"/>
          <w:sz w:val="18"/>
          <w:szCs w:val="18"/>
        </w:rPr>
        <w:lastRenderedPageBreak/>
        <w:t xml:space="preserve">(84 trilijonus Pietų Korėjos </w:t>
      </w:r>
      <w:proofErr w:type="spellStart"/>
      <w:r w:rsidRPr="7DB38EE7">
        <w:rPr>
          <w:rFonts w:eastAsia="Times New Roman"/>
          <w:color w:val="212121"/>
          <w:sz w:val="18"/>
          <w:szCs w:val="18"/>
        </w:rPr>
        <w:t>vonų</w:t>
      </w:r>
      <w:proofErr w:type="spellEnd"/>
      <w:r w:rsidRPr="7DB38EE7">
        <w:rPr>
          <w:rFonts w:eastAsia="Times New Roman"/>
          <w:color w:val="212121"/>
          <w:sz w:val="18"/>
          <w:szCs w:val="18"/>
        </w:rPr>
        <w:t>). </w:t>
      </w:r>
      <w:r w:rsidRPr="7DB38EE7">
        <w:rPr>
          <w:rFonts w:eastAsia="Times New Roman"/>
          <w:i/>
          <w:iCs/>
          <w:color w:val="212121"/>
          <w:sz w:val="18"/>
          <w:szCs w:val="18"/>
        </w:rPr>
        <w:t>LG</w:t>
      </w:r>
      <w:r w:rsidRPr="7DB38EE7">
        <w:rPr>
          <w:rFonts w:eastAsia="Times New Roman"/>
          <w:color w:val="212121"/>
          <w:sz w:val="18"/>
          <w:szCs w:val="18"/>
        </w:rPr>
        <w:t xml:space="preserve"> yra pasaulyje pirmaujanti įmonė, gaminanti plataus vartojimo ir komercinius gaminius – televizorius, buitinę techniką, oro valymo įrangą, monitorius, valymo robotus, automobilių komponentus, taip pat aukščiausios kokybės </w:t>
      </w:r>
      <w:r w:rsidRPr="7DB38EE7">
        <w:rPr>
          <w:rFonts w:eastAsia="Times New Roman"/>
          <w:i/>
          <w:iCs/>
          <w:color w:val="212121"/>
          <w:sz w:val="18"/>
          <w:szCs w:val="18"/>
        </w:rPr>
        <w:t>LG SIGNATURE</w:t>
      </w:r>
      <w:r w:rsidRPr="7DB38EE7">
        <w:rPr>
          <w:rFonts w:eastAsia="Times New Roman"/>
          <w:color w:val="212121"/>
          <w:sz w:val="18"/>
          <w:szCs w:val="18"/>
        </w:rPr>
        <w:t xml:space="preserve"> gaminius ir </w:t>
      </w:r>
      <w:r w:rsidRPr="7DB38EE7">
        <w:rPr>
          <w:rFonts w:eastAsia="Times New Roman"/>
          <w:i/>
          <w:iCs/>
          <w:color w:val="212121"/>
          <w:sz w:val="18"/>
          <w:szCs w:val="18"/>
        </w:rPr>
        <w:t>LG </w:t>
      </w:r>
      <w:proofErr w:type="spellStart"/>
      <w:r w:rsidRPr="7DB38EE7">
        <w:rPr>
          <w:rFonts w:eastAsia="Times New Roman"/>
          <w:i/>
          <w:iCs/>
          <w:color w:val="212121"/>
          <w:sz w:val="18"/>
          <w:szCs w:val="18"/>
        </w:rPr>
        <w:t>ThinQ</w:t>
      </w:r>
      <w:proofErr w:type="spellEnd"/>
      <w:r w:rsidRPr="7DB38EE7">
        <w:rPr>
          <w:rFonts w:eastAsia="Times New Roman"/>
          <w:color w:val="212121"/>
          <w:sz w:val="18"/>
          <w:szCs w:val="18"/>
        </w:rPr>
        <w:t xml:space="preserve"> gaminius su dirbtiniu intelektu, žinomus visame pasaulyje. Naujienas rasite interneto svetainėje </w:t>
      </w:r>
      <w:hyperlink>
        <w:r w:rsidRPr="7DB38EE7">
          <w:rPr>
            <w:rStyle w:val="Hyperlink"/>
            <w:rFonts w:ascii="Times New Roman" w:eastAsia="Times New Roman" w:hAnsi="Times New Roman"/>
            <w:sz w:val="18"/>
            <w:szCs w:val="18"/>
            <w:lang w:val="lt-LT"/>
          </w:rPr>
          <w:t>www.LGnewsroom.com</w:t>
        </w:r>
      </w:hyperlink>
      <w:r w:rsidRPr="7DB38EE7">
        <w:rPr>
          <w:rFonts w:eastAsia="Times New Roman"/>
          <w:color w:val="212121"/>
          <w:sz w:val="18"/>
          <w:szCs w:val="18"/>
        </w:rPr>
        <w:t xml:space="preserve"> </w:t>
      </w:r>
    </w:p>
    <w:p w14:paraId="7EDFE16A" w14:textId="22F56C95" w:rsidR="007625F0" w:rsidRPr="007625F0" w:rsidRDefault="4D37C2F1" w:rsidP="7DB38EE7">
      <w:pPr>
        <w:widowControl w:val="0"/>
        <w:suppressAutoHyphens/>
        <w:spacing w:line="360" w:lineRule="auto"/>
        <w:rPr>
          <w:rFonts w:eastAsia="Times New Roman"/>
          <w:color w:val="212121"/>
          <w:sz w:val="20"/>
          <w:szCs w:val="20"/>
        </w:rPr>
      </w:pPr>
      <w:r w:rsidRPr="7DB38EE7">
        <w:rPr>
          <w:rFonts w:eastAsia="Times New Roman"/>
          <w:color w:val="212121"/>
          <w:sz w:val="20"/>
          <w:szCs w:val="20"/>
        </w:rPr>
        <w:t> </w:t>
      </w:r>
    </w:p>
    <w:p w14:paraId="32CDCC0F" w14:textId="72E64415" w:rsidR="007625F0" w:rsidRPr="007625F0" w:rsidRDefault="007625F0" w:rsidP="7DB38EE7">
      <w:pPr>
        <w:widowControl w:val="0"/>
        <w:suppressAutoHyphens/>
        <w:spacing w:line="360" w:lineRule="auto"/>
        <w:rPr>
          <w:rFonts w:ascii="Calibri" w:eastAsia="Calibri" w:hAnsi="Calibri" w:cs="Calibri"/>
          <w:color w:val="212121"/>
          <w:sz w:val="20"/>
          <w:szCs w:val="20"/>
        </w:rPr>
      </w:pPr>
    </w:p>
    <w:p w14:paraId="572DF8A2" w14:textId="499E8F3F" w:rsidR="007625F0" w:rsidRPr="007625F0" w:rsidRDefault="4D37C2F1" w:rsidP="7DB38EE7">
      <w:pPr>
        <w:widowControl w:val="0"/>
        <w:suppressAutoHyphens/>
        <w:spacing w:line="360" w:lineRule="auto"/>
        <w:jc w:val="both"/>
        <w:rPr>
          <w:rFonts w:eastAsia="Times New Roman"/>
          <w:color w:val="C00000"/>
          <w:sz w:val="18"/>
          <w:szCs w:val="18"/>
        </w:rPr>
      </w:pPr>
      <w:r w:rsidRPr="7DB38EE7">
        <w:rPr>
          <w:rFonts w:eastAsia="Times New Roman"/>
          <w:b/>
          <w:bCs/>
          <w:color w:val="C00000"/>
          <w:sz w:val="18"/>
          <w:szCs w:val="18"/>
        </w:rPr>
        <w:t>Daugiau informacijos:</w:t>
      </w:r>
    </w:p>
    <w:p w14:paraId="31746E8E" w14:textId="427AE769" w:rsidR="007625F0" w:rsidRPr="007625F0" w:rsidRDefault="4D37C2F1" w:rsidP="7DB38EE7">
      <w:pPr>
        <w:keepNext/>
        <w:keepLines/>
        <w:widowControl w:val="0"/>
        <w:suppressAutoHyphens/>
        <w:spacing w:line="360" w:lineRule="auto"/>
        <w:jc w:val="both"/>
        <w:rPr>
          <w:rFonts w:eastAsia="Times New Roman"/>
          <w:color w:val="000000" w:themeColor="text1"/>
          <w:sz w:val="18"/>
          <w:szCs w:val="18"/>
        </w:rPr>
      </w:pPr>
      <w:r w:rsidRPr="7DB38EE7">
        <w:rPr>
          <w:rFonts w:eastAsia="Times New Roman"/>
          <w:color w:val="000000" w:themeColor="text1"/>
          <w:sz w:val="18"/>
          <w:szCs w:val="18"/>
        </w:rPr>
        <w:t xml:space="preserve">Ramunė </w:t>
      </w:r>
      <w:proofErr w:type="spellStart"/>
      <w:r w:rsidRPr="7DB38EE7">
        <w:rPr>
          <w:rFonts w:eastAsia="Times New Roman"/>
          <w:color w:val="000000" w:themeColor="text1"/>
          <w:sz w:val="18"/>
          <w:szCs w:val="18"/>
        </w:rPr>
        <w:t>Milerytė</w:t>
      </w:r>
      <w:proofErr w:type="spellEnd"/>
    </w:p>
    <w:p w14:paraId="13959D67" w14:textId="01D4194E" w:rsidR="007625F0" w:rsidRPr="007625F0" w:rsidRDefault="4D37C2F1" w:rsidP="7DB38EE7">
      <w:pPr>
        <w:keepNext/>
        <w:keepLines/>
        <w:widowControl w:val="0"/>
        <w:suppressAutoHyphens/>
        <w:spacing w:line="360" w:lineRule="auto"/>
        <w:jc w:val="both"/>
        <w:rPr>
          <w:rFonts w:eastAsia="Times New Roman"/>
          <w:color w:val="000000" w:themeColor="text1"/>
          <w:sz w:val="18"/>
          <w:szCs w:val="18"/>
        </w:rPr>
      </w:pPr>
      <w:r w:rsidRPr="7DB38EE7">
        <w:rPr>
          <w:rFonts w:eastAsia="Times New Roman"/>
          <w:color w:val="000000" w:themeColor="text1"/>
          <w:sz w:val="18"/>
          <w:szCs w:val="18"/>
        </w:rPr>
        <w:t xml:space="preserve">Fabula </w:t>
      </w:r>
      <w:proofErr w:type="spellStart"/>
      <w:r w:rsidRPr="7DB38EE7">
        <w:rPr>
          <w:rFonts w:eastAsia="Times New Roman"/>
          <w:color w:val="000000" w:themeColor="text1"/>
          <w:sz w:val="18"/>
          <w:szCs w:val="18"/>
        </w:rPr>
        <w:t>Rud</w:t>
      </w:r>
      <w:proofErr w:type="spellEnd"/>
      <w:r w:rsidRPr="7DB38EE7">
        <w:rPr>
          <w:rFonts w:eastAsia="Times New Roman"/>
          <w:color w:val="000000" w:themeColor="text1"/>
          <w:sz w:val="18"/>
          <w:szCs w:val="18"/>
        </w:rPr>
        <w:t xml:space="preserve"> </w:t>
      </w:r>
      <w:proofErr w:type="spellStart"/>
      <w:r w:rsidRPr="7DB38EE7">
        <w:rPr>
          <w:rFonts w:eastAsia="Times New Roman"/>
          <w:color w:val="000000" w:themeColor="text1"/>
          <w:sz w:val="18"/>
          <w:szCs w:val="18"/>
        </w:rPr>
        <w:t>Pedersen</w:t>
      </w:r>
      <w:proofErr w:type="spellEnd"/>
      <w:r w:rsidRPr="7DB38EE7">
        <w:rPr>
          <w:rFonts w:eastAsia="Times New Roman"/>
          <w:color w:val="000000" w:themeColor="text1"/>
          <w:sz w:val="18"/>
          <w:szCs w:val="18"/>
        </w:rPr>
        <w:t xml:space="preserve"> Group </w:t>
      </w:r>
    </w:p>
    <w:p w14:paraId="2025C692" w14:textId="7C6414E3" w:rsidR="007625F0" w:rsidRPr="007625F0" w:rsidRDefault="4D37C2F1" w:rsidP="7DB38EE7">
      <w:pPr>
        <w:keepNext/>
        <w:keepLines/>
        <w:widowControl w:val="0"/>
        <w:suppressAutoHyphens/>
        <w:spacing w:line="360" w:lineRule="auto"/>
        <w:jc w:val="both"/>
        <w:rPr>
          <w:rFonts w:eastAsia="Times New Roman"/>
          <w:color w:val="000000" w:themeColor="text1"/>
          <w:sz w:val="18"/>
          <w:szCs w:val="18"/>
        </w:rPr>
      </w:pPr>
      <w:r w:rsidRPr="7DB38EE7">
        <w:rPr>
          <w:rFonts w:eastAsia="Times New Roman"/>
          <w:color w:val="000000" w:themeColor="text1"/>
          <w:sz w:val="18"/>
          <w:szCs w:val="18"/>
        </w:rPr>
        <w:t>Tel.: +37068264084</w:t>
      </w:r>
    </w:p>
    <w:p w14:paraId="16020A75" w14:textId="60983405" w:rsidR="007625F0" w:rsidRPr="007625F0" w:rsidRDefault="00000000" w:rsidP="7DB38EE7">
      <w:pPr>
        <w:keepNext/>
        <w:keepLines/>
        <w:widowControl w:val="0"/>
        <w:suppressAutoHyphens/>
        <w:spacing w:line="360" w:lineRule="auto"/>
        <w:jc w:val="both"/>
        <w:rPr>
          <w:rFonts w:eastAsia="Times New Roman"/>
          <w:color w:val="000000" w:themeColor="text1"/>
          <w:sz w:val="18"/>
          <w:szCs w:val="18"/>
        </w:rPr>
      </w:pPr>
      <w:hyperlink r:id="rId11">
        <w:r w:rsidR="4D37C2F1" w:rsidRPr="7DB38EE7">
          <w:rPr>
            <w:rStyle w:val="Hyperlink"/>
            <w:rFonts w:ascii="Times New Roman" w:eastAsia="Times New Roman" w:hAnsi="Times New Roman"/>
            <w:sz w:val="18"/>
            <w:szCs w:val="18"/>
            <w:lang w:val="lt-LT"/>
          </w:rPr>
          <w:t>Ramune@fabula.lt</w:t>
        </w:r>
      </w:hyperlink>
    </w:p>
    <w:p w14:paraId="5089800D" w14:textId="17366EAD" w:rsidR="007625F0" w:rsidRPr="007625F0" w:rsidRDefault="007625F0" w:rsidP="00725A3D">
      <w:pPr>
        <w:widowControl w:val="0"/>
        <w:suppressAutoHyphens/>
        <w:spacing w:line="360" w:lineRule="auto"/>
        <w:ind w:right="-96"/>
        <w:rPr>
          <w:rFonts w:eastAsia="Calibri"/>
          <w:lang w:eastAsia="ko-KR"/>
        </w:rPr>
      </w:pPr>
    </w:p>
    <w:sectPr w:rsidR="007625F0" w:rsidRPr="007625F0" w:rsidSect="00B02311">
      <w:headerReference w:type="default" r:id="rId12"/>
      <w:footerReference w:type="default" r:id="rId13"/>
      <w:endnotePr>
        <w:numFmt w:val="decimal"/>
      </w:endnotePr>
      <w:pgSz w:w="11907" w:h="16840"/>
      <w:pgMar w:top="2268" w:right="1701" w:bottom="1701"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BAAA3E" w14:textId="77777777" w:rsidR="000E57A7" w:rsidRDefault="000E57A7">
      <w:r>
        <w:separator/>
      </w:r>
    </w:p>
  </w:endnote>
  <w:endnote w:type="continuationSeparator" w:id="0">
    <w:p w14:paraId="68E1A6A5" w14:textId="77777777" w:rsidR="000E57A7" w:rsidRDefault="000E57A7">
      <w:r>
        <w:continuationSeparator/>
      </w:r>
    </w:p>
  </w:endnote>
  <w:endnote w:type="continuationNotice" w:id="1">
    <w:p w14:paraId="594AC593" w14:textId="77777777" w:rsidR="000E57A7" w:rsidRDefault="000E57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Gulim">
    <w:altName w:val="굴림"/>
    <w:panose1 w:val="020B0600000101010101"/>
    <w:charset w:val="81"/>
    <w:family w:val="swiss"/>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Times">
    <w:altName w:val="Times New Roman"/>
    <w:panose1 w:val="00000000000000000000"/>
    <w:charset w:val="BA"/>
    <w:family w:val="roman"/>
    <w:pitch w:val="variable"/>
    <w:sig w:usb0="E0002EFF" w:usb1="C000785B" w:usb2="00000009" w:usb3="00000000" w:csb0="000001FF" w:csb1="00000000"/>
  </w:font>
  <w:font w:name="SamsungIFBd">
    <w:altName w:val="Times New Roman"/>
    <w:panose1 w:val="020B0604020202020204"/>
    <w:charset w:val="00"/>
    <w:family w:val="auto"/>
    <w:pitch w:val="default"/>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BA"/>
    <w:family w:val="swiss"/>
    <w:pitch w:val="variable"/>
    <w:sig w:usb0="E4002EFF" w:usb1="C200247B" w:usb2="00000009" w:usb3="00000000" w:csb0="000001FF" w:csb1="00000000"/>
  </w:font>
  <w:font w:name="Trebuchet MS">
    <w:panose1 w:val="020B0603020202020204"/>
    <w:charset w:val="BA"/>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1AC4CC" w14:textId="77777777" w:rsidR="00D31F24" w:rsidRDefault="00D31F24">
    <w:pPr>
      <w:pStyle w:val="Footer"/>
      <w:ind w:right="360"/>
    </w:pPr>
    <w:r>
      <w:rPr>
        <w:noProof/>
        <w:lang w:val="lt-LT" w:bidi="lt-LT"/>
      </w:rPr>
      <mc:AlternateContent>
        <mc:Choice Requires="wps">
          <w:drawing>
            <wp:anchor distT="0" distB="0" distL="0" distR="0" simplePos="0" relativeHeight="251658240" behindDoc="0" locked="0" layoutInCell="0" hidden="0" allowOverlap="1" wp14:anchorId="33D6F6DA" wp14:editId="58C8C955">
              <wp:simplePos x="0" y="0"/>
              <wp:positionH relativeFrom="margin">
                <wp:align>right</wp:align>
              </wp:positionH>
              <wp:positionV relativeFrom="paragraph">
                <wp:posOffset>-224790</wp:posOffset>
              </wp:positionV>
              <wp:extent cx="114300" cy="231140"/>
              <wp:effectExtent l="0" t="0" r="0" b="0"/>
              <wp:wrapSquare wrapText="bothSides"/>
              <wp:docPr id="2" name="Text Box 2"/>
              <wp:cNvGraphicFramePr/>
              <a:graphic xmlns:a="http://schemas.openxmlformats.org/drawingml/2006/main">
                <a:graphicData uri="http://schemas.microsoft.com/office/word/2010/wordprocessingShape">
                  <wps:wsp>
                    <wps:cNvSpPr txBox="1">
                      <a:extLst>
                        <a:ext uri="smNativeData">
                          <sm:smNativeData xmlns:arto="http://schemas.microsoft.com/office/word/2006/arto" xmlns:sm="smo" xmlns:w10="urn:schemas-microsoft-com:office:word" xmlns:v="urn:schemas-microsoft-com:vml" xmlns:o="urn:schemas-microsoft-com:office:office" xmlns:w="http://schemas.openxmlformats.org/wordprocessingml/2006/main" xmlns="" val="SMDATA_11_G+YzXBMAAAAlAAAAEgAAAA0AAAAAAAAAAAAAAAAAAAAAA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BcAAAAUAAAAAAAAAGwBAAA5IQAARzIAAAACAAAJAAAABAAAAAAAAAAMAAAAEAAAAAAAAAAAAAAAAAAAAAAAAAAeAAAAaAAAAAAAAAAAAAAAAAAAAAAAAAAAAAAAECcAABAnAAAAAAAAAAAAAAAAAAAAAAAAAAAAAAAAAAAAAAAAAAAAABQAAAAAAAAAwMD/AAAAAABkAAAAMgAAAAAAAABkAAAAAAAAAH9/fwAKAAAAIQAAAEAAAAA8AAAAAAAAAJDiAABAAAAAAAAAAAMAAAABAAAAAAAAAAEAAAACAAAAnv7//7QAAABsAQAAAAAAAConAAAuPAAA"/>
                        </a:ext>
                      </a:extLst>
                    </wps:cNvSpPr>
                    <wps:spPr>
                      <a:xfrm>
                        <a:off x="0" y="0"/>
                        <a:ext cx="114300" cy="231140"/>
                      </a:xfrm>
                      <a:prstGeom prst="rect">
                        <a:avLst/>
                      </a:prstGeom>
                      <a:noFill/>
                      <a:ln w="12700">
                        <a:noFill/>
                      </a:ln>
                    </wps:spPr>
                    <wps:txbx>
                      <w:txbxContent>
                        <w:p w14:paraId="24A43D3B" w14:textId="77777777" w:rsidR="00D31F24" w:rsidRDefault="00D31F24">
                          <w:pPr>
                            <w:pStyle w:val="Footer"/>
                            <w:rPr>
                              <w:rStyle w:val="PageNumber"/>
                              <w:rFonts w:ascii="Times New Roman" w:hAnsi="Times New Roman"/>
                            </w:rPr>
                          </w:pPr>
                          <w:r>
                            <w:rPr>
                              <w:rStyle w:val="PageNumber"/>
                              <w:lang w:val="lt-LT" w:bidi="lt-LT"/>
                            </w:rPr>
                            <w:fldChar w:fldCharType="begin"/>
                          </w:r>
                          <w:r>
                            <w:rPr>
                              <w:rStyle w:val="PageNumber"/>
                              <w:lang w:val="lt-LT" w:bidi="lt-LT"/>
                            </w:rPr>
                            <w:instrText xml:space="preserve"> PAGE \* Arabic </w:instrText>
                          </w:r>
                          <w:r>
                            <w:rPr>
                              <w:rStyle w:val="PageNumber"/>
                              <w:lang w:val="lt-LT" w:bidi="lt-LT"/>
                            </w:rPr>
                            <w:fldChar w:fldCharType="separate"/>
                          </w:r>
                          <w:r w:rsidR="00B730C9">
                            <w:rPr>
                              <w:rStyle w:val="PageNumber"/>
                              <w:noProof/>
                              <w:lang w:val="lt-LT" w:bidi="lt-LT"/>
                            </w:rPr>
                            <w:t>5</w:t>
                          </w:r>
                          <w:r>
                            <w:rPr>
                              <w:rStyle w:val="PageNumber"/>
                              <w:lang w:val="lt-LT" w:bidi="lt-LT"/>
                            </w:rPr>
                            <w:fldChar w:fldCharType="end"/>
                          </w:r>
                        </w:p>
                      </w:txbxContent>
                    </wps:txbx>
                    <wps:bodyPr spcFirstLastPara="1" vertOverflow="clip" horzOverflow="clip" wrap="none" lIns="0" tIns="0" rIns="0" bIns="0">
                      <a:prstTxWarp prst="textNoShape">
                        <a:avLst/>
                      </a:prstTxWarp>
                      <a:noAutofit/>
                    </wps:bodyPr>
                  </wps:wsp>
                </a:graphicData>
              </a:graphic>
            </wp:anchor>
          </w:drawing>
        </mc:Choice>
        <mc:Fallback>
          <w:pict>
            <v:shapetype w14:anchorId="33D6F6DA" id="_x0000_t202" coordsize="21600,21600" o:spt="202" path="m,l,21600r21600,l21600,xe">
              <v:stroke joinstyle="miter"/>
              <v:path gradientshapeok="t" o:connecttype="rect"/>
            </v:shapetype>
            <v:shape id="Text Box 2" o:spid="_x0000_s1028" type="#_x0000_t202" style="position:absolute;left:0;text-align:left;margin-left:-42.2pt;margin-top:-17.7pt;width:9pt;height:18.2pt;z-index:251658240;visibility:visible;mso-wrap-style:non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" o:allowincell="f" filled="f" stroked="f" strokeweight="1pt">
              <v:textbox inset="0,0,0,0">
                <w:txbxContent>
                  <w:p w14:paraId="24A43D3B" w14:textId="77777777" w:rsidR="00D31F24" w:rsidRDefault="00D31F24">
                    <w:pPr>
                      <w:pStyle w:val="Footer"/>
                      <w:rPr>
                        <w:rStyle w:val="PageNumber"/>
                        <w:rFonts w:ascii="Times New Roman" w:hAnsi="Times New Roman"/>
                      </w:rPr>
                    </w:pPr>
                    <w:r>
                      <w:rPr>
                        <w:rStyle w:val="PageNumber"/>
                        <w:lang w:val="lt-LT" w:bidi="lt-LT"/>
                      </w:rPr>
                      <w:fldChar w:fldCharType="begin"/>
                    </w:r>
                    <w:r>
                      <w:rPr>
                        <w:rStyle w:val="PageNumber"/>
                        <w:lang w:val="lt-LT" w:bidi="lt-LT"/>
                      </w:rPr>
                      <w:instrText xml:space="preserve"> PAGE \* Arabic </w:instrText>
                    </w:r>
                    <w:r>
                      <w:rPr>
                        <w:rStyle w:val="PageNumber"/>
                        <w:lang w:val="lt-LT" w:bidi="lt-LT"/>
                      </w:rPr>
                      <w:fldChar w:fldCharType="separate"/>
                    </w:r>
                    <w:r w:rsidR="00B730C9">
                      <w:rPr>
                        <w:rStyle w:val="PageNumber"/>
                        <w:noProof/>
                        <w:lang w:val="lt-LT" w:bidi="lt-LT"/>
                      </w:rPr>
                      <w:t>5</w:t>
                    </w:r>
                    <w:r>
                      <w:rPr>
                        <w:rStyle w:val="PageNumber"/>
                        <w:lang w:val="lt-LT" w:bidi="lt-LT"/>
                      </w:rP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FE2F6E" w14:textId="77777777" w:rsidR="000E57A7" w:rsidRDefault="000E57A7">
      <w:r>
        <w:separator/>
      </w:r>
    </w:p>
  </w:footnote>
  <w:footnote w:type="continuationSeparator" w:id="0">
    <w:p w14:paraId="44BC3856" w14:textId="77777777" w:rsidR="000E57A7" w:rsidRDefault="000E57A7">
      <w:r>
        <w:continuationSeparator/>
      </w:r>
    </w:p>
  </w:footnote>
  <w:footnote w:type="continuationNotice" w:id="1">
    <w:p w14:paraId="7A6F5A1C" w14:textId="77777777" w:rsidR="000E57A7" w:rsidRDefault="000E57A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AEC3BF" w14:textId="6C2214BE" w:rsidR="00D31F24" w:rsidRDefault="00894228" w:rsidP="00903FF7">
    <w:pPr>
      <w:pBdr>
        <w:top w:val="nil"/>
        <w:left w:val="nil"/>
        <w:bottom w:val="nil"/>
        <w:right w:val="nil"/>
        <w:between w:val="nil"/>
      </w:pBdr>
      <w:tabs>
        <w:tab w:val="center" w:pos="4320"/>
        <w:tab w:val="right" w:pos="8640"/>
      </w:tabs>
      <w:jc w:val="right"/>
      <w:rPr>
        <w:rFonts w:ascii="Trebuchet MS" w:eastAsia="Trebuchet MS" w:hAnsi="Trebuchet MS" w:cs="Trebuchet MS"/>
        <w:b/>
        <w:color w:val="808080"/>
        <w:sz w:val="18"/>
        <w:szCs w:val="18"/>
      </w:rPr>
    </w:pPr>
    <w:r>
      <w:rPr>
        <w:noProof/>
        <w:lang w:bidi="lt-LT"/>
      </w:rPr>
      <w:drawing>
        <wp:anchor distT="0" distB="0" distL="114300" distR="114300" simplePos="0" relativeHeight="251660296" behindDoc="0" locked="0" layoutInCell="1" allowOverlap="1" wp14:anchorId="7E0F4C32" wp14:editId="2B12EB46">
          <wp:simplePos x="0" y="0"/>
          <wp:positionH relativeFrom="leftMargin">
            <wp:align>right</wp:align>
          </wp:positionH>
          <wp:positionV relativeFrom="paragraph">
            <wp:posOffset>259080</wp:posOffset>
          </wp:positionV>
          <wp:extent cx="502920" cy="230203"/>
          <wp:effectExtent l="0" t="0" r="0" b="0"/>
          <wp:wrapNone/>
          <wp:docPr id="3" name="그림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502920" cy="230203"/>
                  </a:xfrm>
                  <a:prstGeom prst="rect">
                    <a:avLst/>
                  </a:prstGeom>
                </pic:spPr>
              </pic:pic>
            </a:graphicData>
          </a:graphic>
          <wp14:sizeRelH relativeFrom="page">
            <wp14:pctWidth>0</wp14:pctWidth>
          </wp14:sizeRelH>
          <wp14:sizeRelV relativeFrom="page">
            <wp14:pctHeight>0</wp14:pctHeight>
          </wp14:sizeRelV>
        </wp:anchor>
      </w:drawing>
    </w:r>
    <w:r w:rsidR="00D31F24">
      <w:rPr>
        <w:noProof/>
        <w:lang w:bidi="lt-LT"/>
      </w:rPr>
      <mc:AlternateContent>
        <mc:Choice Requires="wps">
          <w:drawing>
            <wp:anchor distT="0" distB="0" distL="114300" distR="114300" simplePos="0" relativeHeight="251658247" behindDoc="0" locked="0" layoutInCell="0" allowOverlap="1" wp14:anchorId="204438BD" wp14:editId="7282B368">
              <wp:simplePos x="0" y="0"/>
              <wp:positionH relativeFrom="page">
                <wp:posOffset>0</wp:posOffset>
              </wp:positionH>
              <wp:positionV relativeFrom="page">
                <wp:posOffset>190500</wp:posOffset>
              </wp:positionV>
              <wp:extent cx="7560945" cy="273050"/>
              <wp:effectExtent l="0" t="0" r="0" b="12700"/>
              <wp:wrapNone/>
              <wp:docPr id="6" name="Text Box 6" descr="{&quot;HashCode&quot;:966751382,&quot;Height&quot;:842.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C8A820A" w14:textId="77777777" w:rsidR="00D31F24" w:rsidRPr="00B34644" w:rsidRDefault="00D31F24" w:rsidP="00903FF7">
                          <w:pPr>
                            <w:jc w:val="center"/>
                            <w:rPr>
                              <w:rFonts w:ascii="Calibri" w:hAnsi="Calibri" w:cs="Calibri"/>
                              <w:color w:val="000000"/>
                            </w:rPr>
                          </w:pP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w:pict>
            <v:shapetype w14:anchorId="204438BD" id="_x0000_t202" coordsize="21600,21600" o:spt="202" path="m,l,21600r21600,l21600,xe">
              <v:stroke joinstyle="miter"/>
              <v:path gradientshapeok="t" o:connecttype="rect"/>
            </v:shapetype>
            <v:shape id="Text Box 6" o:spid="_x0000_s1026" type="#_x0000_t202" alt="{&quot;HashCode&quot;:966751382,&quot;Height&quot;:842.0,&quot;Width&quot;:595.0,&quot;Placement&quot;:&quot;Header&quot;,&quot;Index&quot;:&quot;Primary&quot;,&quot;Section&quot;:1,&quot;Top&quot;:0.0,&quot;Left&quot;:0.0}" style="position:absolute;left:0;text-align:left;margin-left:0;margin-top:15pt;width:595.35pt;height:21.5pt;z-index:251658247;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" o:allowincell="f" filled="f" stroked="f" strokeweight=".5pt">
              <v:textbox inset=",0,,0">
                <w:txbxContent>
                  <w:p w14:paraId="3C8A820A" w14:textId="77777777" w:rsidR="00D31F24" w:rsidRPr="00B34644" w:rsidRDefault="00D31F24" w:rsidP="00903FF7">
                    <w:pPr>
                      <w:jc w:val="center"/>
                      <w:rPr>
                        <w:rFonts w:ascii="Calibri" w:hAnsi="Calibri" w:cs="Calibri"/>
                        <w:color w:val="000000"/>
                      </w:rPr>
                    </w:pPr>
                  </w:p>
                </w:txbxContent>
              </v:textbox>
              <w10:wrap anchorx="page" anchory="page"/>
            </v:shape>
          </w:pict>
        </mc:Fallback>
      </mc:AlternateContent>
    </w:r>
    <w:r w:rsidR="00D31F24">
      <w:rPr>
        <w:noProof/>
        <w:lang w:bidi="lt-LT"/>
      </w:rPr>
      <mc:AlternateContent>
        <mc:Choice Requires="wps">
          <w:drawing>
            <wp:anchor distT="0" distB="0" distL="114300" distR="114300" simplePos="0" relativeHeight="251658246" behindDoc="0" locked="0" layoutInCell="0" allowOverlap="1" wp14:anchorId="0BA56C4E" wp14:editId="643890D3">
              <wp:simplePos x="0" y="0"/>
              <wp:positionH relativeFrom="page">
                <wp:posOffset>0</wp:posOffset>
              </wp:positionH>
              <wp:positionV relativeFrom="page">
                <wp:posOffset>190500</wp:posOffset>
              </wp:positionV>
              <wp:extent cx="7560945" cy="273050"/>
              <wp:effectExtent l="0" t="0" r="0" b="12700"/>
              <wp:wrapNone/>
              <wp:docPr id="703376107" name="Text Box 703376107" descr="{&quot;HashCode&quot;:966751382,&quot;Height&quot;:842.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59341B67" w14:textId="77777777" w:rsidR="00D31F24" w:rsidRPr="00804423" w:rsidRDefault="00D31F24" w:rsidP="00903FF7">
                          <w:pPr>
                            <w:jc w:val="center"/>
                            <w:rPr>
                              <w:rFonts w:ascii="Calibri" w:hAnsi="Calibri" w:cs="Calibri"/>
                              <w:color w:val="000000"/>
                            </w:rPr>
                          </w:pP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w:pict>
            <v:shape w14:anchorId="0BA56C4E" id="Text Box 703376107" o:spid="_x0000_s1027" type="#_x0000_t202" alt="{&quot;HashCode&quot;:966751382,&quot;Height&quot;:842.0,&quot;Width&quot;:595.0,&quot;Placement&quot;:&quot;Header&quot;,&quot;Index&quot;:&quot;Primary&quot;,&quot;Section&quot;:1,&quot;Top&quot;:0.0,&quot;Left&quot;:0.0}" style="position:absolute;left:0;text-align:left;margin-left:0;margin-top:15pt;width:595.35pt;height:21.5pt;z-index:25165824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" o:allowincell="f" filled="f" stroked="f" strokeweight=".5pt">
              <v:textbox inset=",0,,0">
                <w:txbxContent>
                  <w:p w14:paraId="59341B67" w14:textId="77777777" w:rsidR="00D31F24" w:rsidRPr="00804423" w:rsidRDefault="00D31F24" w:rsidP="00903FF7">
                    <w:pPr>
                      <w:jc w:val="center"/>
                      <w:rPr>
                        <w:rFonts w:ascii="Calibri" w:hAnsi="Calibri" w:cs="Calibri"/>
                        <w:color w:val="000000"/>
                      </w:rPr>
                    </w:pPr>
                  </w:p>
                </w:txbxContent>
              </v:textbox>
              <w10:wrap anchorx="page" anchory="page"/>
            </v:shape>
          </w:pict>
        </mc:Fallback>
      </mc:AlternateContent>
    </w:r>
    <w:r w:rsidR="00D31F24">
      <w:rPr>
        <w:noProof/>
        <w:lang w:bidi="lt-LT"/>
      </w:rPr>
      <w:drawing>
        <wp:anchor distT="0" distB="0" distL="114300" distR="114300" simplePos="0" relativeHeight="251658245" behindDoc="0" locked="0" layoutInCell="1" allowOverlap="1" wp14:anchorId="6918DA19" wp14:editId="7973DD0D">
          <wp:simplePos x="0" y="0"/>
          <wp:positionH relativeFrom="column">
            <wp:posOffset>4922713</wp:posOffset>
          </wp:positionH>
          <wp:positionV relativeFrom="paragraph">
            <wp:posOffset>266065</wp:posOffset>
          </wp:positionV>
          <wp:extent cx="950595" cy="163195"/>
          <wp:effectExtent l="0" t="0" r="1905" b="8255"/>
          <wp:wrapTopAndBottom/>
          <wp:docPr id="1719959219" name="Picture 1719959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50595" cy="163195"/>
                  </a:xfrm>
                  <a:prstGeom prst="rect">
                    <a:avLst/>
                  </a:prstGeom>
                  <a:noFill/>
                </pic:spPr>
              </pic:pic>
            </a:graphicData>
          </a:graphic>
        </wp:anchor>
      </w:drawing>
    </w:r>
  </w:p>
  <w:p w14:paraId="38985745" w14:textId="77777777" w:rsidR="00D31F24" w:rsidRDefault="00D31F24" w:rsidP="00903FF7">
    <w:pPr>
      <w:pStyle w:val="Header"/>
      <w:jc w:val="right"/>
    </w:pPr>
  </w:p>
  <w:p w14:paraId="4758C696" w14:textId="77777777" w:rsidR="00D31F24" w:rsidRDefault="00D31F24" w:rsidP="00903FF7">
    <w:pPr>
      <w:pStyle w:val="Header"/>
    </w:pPr>
  </w:p>
  <w:p w14:paraId="1819B512" w14:textId="77777777" w:rsidR="00D31F24" w:rsidRDefault="00D31F2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1F137A"/>
    <w:multiLevelType w:val="singleLevel"/>
    <w:tmpl w:val="B5168A86"/>
    <w:name w:val="Bullet 7"/>
    <w:lvl w:ilvl="0">
      <w:numFmt w:val="bullet"/>
      <w:lvlText w:val=""/>
      <w:lvlJc w:val="left"/>
      <w:pPr>
        <w:tabs>
          <w:tab w:val="num" w:pos="0"/>
        </w:tabs>
        <w:ind w:left="0" w:firstLine="0"/>
      </w:pPr>
      <w:rPr>
        <w:rFonts w:ascii="Wingdings" w:hAnsi="Wingdings"/>
      </w:rPr>
    </w:lvl>
  </w:abstractNum>
  <w:abstractNum w:abstractNumId="1" w15:restartNumberingAfterBreak="0">
    <w:nsid w:val="24E93E89"/>
    <w:multiLevelType w:val="singleLevel"/>
    <w:tmpl w:val="7870C0D6"/>
    <w:name w:val="Bullet 2"/>
    <w:lvl w:ilvl="0">
      <w:numFmt w:val="bullet"/>
      <w:lvlText w:val="o"/>
      <w:lvlJc w:val="left"/>
      <w:pPr>
        <w:tabs>
          <w:tab w:val="num" w:pos="0"/>
        </w:tabs>
        <w:ind w:left="0" w:firstLine="0"/>
      </w:pPr>
      <w:rPr>
        <w:rFonts w:ascii="Courier New" w:hAnsi="Courier New" w:cs="Times New Roman"/>
        <w:sz w:val="20"/>
      </w:rPr>
    </w:lvl>
  </w:abstractNum>
  <w:abstractNum w:abstractNumId="2" w15:restartNumberingAfterBreak="0">
    <w:nsid w:val="3B097E39"/>
    <w:multiLevelType w:val="singleLevel"/>
    <w:tmpl w:val="3DE4D708"/>
    <w:name w:val="Bullet 3"/>
    <w:lvl w:ilvl="0">
      <w:numFmt w:val="bullet"/>
      <w:lvlText w:val=""/>
      <w:lvlJc w:val="left"/>
      <w:pPr>
        <w:tabs>
          <w:tab w:val="num" w:pos="0"/>
        </w:tabs>
        <w:ind w:left="0" w:firstLine="0"/>
      </w:pPr>
      <w:rPr>
        <w:rFonts w:ascii="Wingdings" w:eastAsia="Wingdings" w:hAnsi="Wingdings" w:cs="Wingdings"/>
        <w:sz w:val="20"/>
      </w:rPr>
    </w:lvl>
  </w:abstractNum>
  <w:abstractNum w:abstractNumId="3" w15:restartNumberingAfterBreak="0">
    <w:nsid w:val="4A8B8004"/>
    <w:multiLevelType w:val="hybridMultilevel"/>
    <w:tmpl w:val="A8CC0DB2"/>
    <w:lvl w:ilvl="0" w:tplc="E0A6FB20">
      <w:start w:val="1"/>
      <w:numFmt w:val="bullet"/>
      <w:lvlText w:val=""/>
      <w:lvlJc w:val="left"/>
      <w:pPr>
        <w:ind w:left="720" w:hanging="360"/>
      </w:pPr>
      <w:rPr>
        <w:rFonts w:ascii="Symbol" w:hAnsi="Symbol" w:hint="default"/>
      </w:rPr>
    </w:lvl>
    <w:lvl w:ilvl="1" w:tplc="9C3E7844">
      <w:start w:val="1"/>
      <w:numFmt w:val="bullet"/>
      <w:lvlText w:val="o"/>
      <w:lvlJc w:val="left"/>
      <w:pPr>
        <w:ind w:left="1440" w:hanging="360"/>
      </w:pPr>
      <w:rPr>
        <w:rFonts w:ascii="Courier New" w:hAnsi="Courier New" w:hint="default"/>
      </w:rPr>
    </w:lvl>
    <w:lvl w:ilvl="2" w:tplc="5FC47F7C">
      <w:start w:val="1"/>
      <w:numFmt w:val="bullet"/>
      <w:lvlText w:val=""/>
      <w:lvlJc w:val="left"/>
      <w:pPr>
        <w:ind w:left="2160" w:hanging="360"/>
      </w:pPr>
      <w:rPr>
        <w:rFonts w:ascii="Wingdings" w:hAnsi="Wingdings" w:hint="default"/>
      </w:rPr>
    </w:lvl>
    <w:lvl w:ilvl="3" w:tplc="1B54A54E">
      <w:start w:val="1"/>
      <w:numFmt w:val="bullet"/>
      <w:lvlText w:val=""/>
      <w:lvlJc w:val="left"/>
      <w:pPr>
        <w:ind w:left="2880" w:hanging="360"/>
      </w:pPr>
      <w:rPr>
        <w:rFonts w:ascii="Symbol" w:hAnsi="Symbol" w:hint="default"/>
      </w:rPr>
    </w:lvl>
    <w:lvl w:ilvl="4" w:tplc="3E28E632">
      <w:start w:val="1"/>
      <w:numFmt w:val="bullet"/>
      <w:lvlText w:val="o"/>
      <w:lvlJc w:val="left"/>
      <w:pPr>
        <w:ind w:left="3600" w:hanging="360"/>
      </w:pPr>
      <w:rPr>
        <w:rFonts w:ascii="Courier New" w:hAnsi="Courier New" w:hint="default"/>
      </w:rPr>
    </w:lvl>
    <w:lvl w:ilvl="5" w:tplc="AB78B7FA">
      <w:start w:val="1"/>
      <w:numFmt w:val="bullet"/>
      <w:lvlText w:val=""/>
      <w:lvlJc w:val="left"/>
      <w:pPr>
        <w:ind w:left="4320" w:hanging="360"/>
      </w:pPr>
      <w:rPr>
        <w:rFonts w:ascii="Wingdings" w:hAnsi="Wingdings" w:hint="default"/>
      </w:rPr>
    </w:lvl>
    <w:lvl w:ilvl="6" w:tplc="6DD89792">
      <w:start w:val="1"/>
      <w:numFmt w:val="bullet"/>
      <w:lvlText w:val=""/>
      <w:lvlJc w:val="left"/>
      <w:pPr>
        <w:ind w:left="5040" w:hanging="360"/>
      </w:pPr>
      <w:rPr>
        <w:rFonts w:ascii="Symbol" w:hAnsi="Symbol" w:hint="default"/>
      </w:rPr>
    </w:lvl>
    <w:lvl w:ilvl="7" w:tplc="4DD44082">
      <w:start w:val="1"/>
      <w:numFmt w:val="bullet"/>
      <w:lvlText w:val="o"/>
      <w:lvlJc w:val="left"/>
      <w:pPr>
        <w:ind w:left="5760" w:hanging="360"/>
      </w:pPr>
      <w:rPr>
        <w:rFonts w:ascii="Courier New" w:hAnsi="Courier New" w:hint="default"/>
      </w:rPr>
    </w:lvl>
    <w:lvl w:ilvl="8" w:tplc="3D2640DA">
      <w:start w:val="1"/>
      <w:numFmt w:val="bullet"/>
      <w:lvlText w:val=""/>
      <w:lvlJc w:val="left"/>
      <w:pPr>
        <w:ind w:left="6480" w:hanging="360"/>
      </w:pPr>
      <w:rPr>
        <w:rFonts w:ascii="Wingdings" w:hAnsi="Wingdings" w:hint="default"/>
      </w:rPr>
    </w:lvl>
  </w:abstractNum>
  <w:abstractNum w:abstractNumId="4" w15:restartNumberingAfterBreak="0">
    <w:nsid w:val="52FB2062"/>
    <w:multiLevelType w:val="singleLevel"/>
    <w:tmpl w:val="F68E58F6"/>
    <w:name w:val="Bullet 6"/>
    <w:lvl w:ilvl="0">
      <w:numFmt w:val="bullet"/>
      <w:lvlText w:val=""/>
      <w:lvlJc w:val="left"/>
      <w:pPr>
        <w:tabs>
          <w:tab w:val="num" w:pos="0"/>
        </w:tabs>
        <w:ind w:left="0" w:firstLine="0"/>
      </w:pPr>
      <w:rPr>
        <w:rFonts w:ascii="Wingdings" w:hAnsi="Wingdings"/>
      </w:rPr>
    </w:lvl>
  </w:abstractNum>
  <w:abstractNum w:abstractNumId="5" w15:restartNumberingAfterBreak="0">
    <w:nsid w:val="574704D1"/>
    <w:multiLevelType w:val="singleLevel"/>
    <w:tmpl w:val="E8BCF294"/>
    <w:name w:val="Bullet 5"/>
    <w:lvl w:ilvl="0">
      <w:numFmt w:val="bullet"/>
      <w:lvlText w:val=""/>
      <w:lvlJc w:val="left"/>
      <w:pPr>
        <w:tabs>
          <w:tab w:val="num" w:pos="0"/>
        </w:tabs>
        <w:ind w:left="0" w:firstLine="0"/>
      </w:pPr>
      <w:rPr>
        <w:rFonts w:ascii="Wingdings" w:hAnsi="Wingdings"/>
      </w:rPr>
    </w:lvl>
  </w:abstractNum>
  <w:abstractNum w:abstractNumId="6" w15:restartNumberingAfterBreak="0">
    <w:nsid w:val="59E32EB4"/>
    <w:multiLevelType w:val="multilevel"/>
    <w:tmpl w:val="EF08C4D6"/>
    <w:lvl w:ilvl="0">
      <w:numFmt w:val="none"/>
      <w:lvlText w:val=""/>
      <w:lvlJc w:val="left"/>
      <w:pPr>
        <w:tabs>
          <w:tab w:val="num" w:pos="360"/>
        </w:tabs>
        <w:ind w:left="360" w:hanging="360"/>
      </w:pPr>
    </w:lvl>
    <w:lvl w:ilvl="1">
      <w:numFmt w:val="none"/>
      <w:lvlText w:val=""/>
      <w:lvlJc w:val="left"/>
      <w:pPr>
        <w:tabs>
          <w:tab w:val="num" w:pos="360"/>
        </w:tabs>
        <w:ind w:left="360" w:hanging="360"/>
      </w:pPr>
    </w:lvl>
    <w:lvl w:ilvl="2">
      <w:numFmt w:val="none"/>
      <w:lvlText w:val=""/>
      <w:lvlJc w:val="left"/>
      <w:pPr>
        <w:tabs>
          <w:tab w:val="num" w:pos="360"/>
        </w:tabs>
        <w:ind w:left="360" w:hanging="360"/>
      </w:pPr>
    </w:lvl>
    <w:lvl w:ilvl="3">
      <w:numFmt w:val="none"/>
      <w:lvlText w:val=""/>
      <w:lvlJc w:val="left"/>
      <w:pPr>
        <w:tabs>
          <w:tab w:val="num" w:pos="360"/>
        </w:tabs>
        <w:ind w:left="360" w:hanging="360"/>
      </w:pPr>
    </w:lvl>
    <w:lvl w:ilvl="4">
      <w:numFmt w:val="none"/>
      <w:lvlText w:val=""/>
      <w:lvlJc w:val="left"/>
      <w:pPr>
        <w:tabs>
          <w:tab w:val="num" w:pos="360"/>
        </w:tabs>
        <w:ind w:left="360" w:hanging="360"/>
      </w:pPr>
    </w:lvl>
    <w:lvl w:ilvl="5">
      <w:numFmt w:val="none"/>
      <w:lvlText w:val=""/>
      <w:lvlJc w:val="left"/>
      <w:pPr>
        <w:tabs>
          <w:tab w:val="num" w:pos="360"/>
        </w:tabs>
        <w:ind w:left="360" w:hanging="360"/>
      </w:pPr>
    </w:lvl>
    <w:lvl w:ilvl="6">
      <w:numFmt w:val="none"/>
      <w:lvlText w:val=""/>
      <w:lvlJc w:val="left"/>
      <w:pPr>
        <w:tabs>
          <w:tab w:val="num" w:pos="360"/>
        </w:tabs>
        <w:ind w:left="360" w:hanging="360"/>
      </w:pPr>
    </w:lvl>
    <w:lvl w:ilvl="7">
      <w:numFmt w:val="none"/>
      <w:lvlText w:val=""/>
      <w:lvlJc w:val="left"/>
      <w:pPr>
        <w:tabs>
          <w:tab w:val="num" w:pos="360"/>
        </w:tabs>
        <w:ind w:left="360" w:hanging="360"/>
      </w:pPr>
    </w:lvl>
    <w:lvl w:ilvl="8">
      <w:numFmt w:val="none"/>
      <w:lvlText w:val=""/>
      <w:lvlJc w:val="left"/>
      <w:pPr>
        <w:tabs>
          <w:tab w:val="num" w:pos="360"/>
        </w:tabs>
        <w:ind w:left="360" w:hanging="360"/>
      </w:pPr>
    </w:lvl>
  </w:abstractNum>
  <w:abstractNum w:abstractNumId="7" w15:restartNumberingAfterBreak="0">
    <w:nsid w:val="653B4F1B"/>
    <w:multiLevelType w:val="singleLevel"/>
    <w:tmpl w:val="23AC0294"/>
    <w:name w:val="Bullet 1"/>
    <w:lvl w:ilvl="0">
      <w:numFmt w:val="bullet"/>
      <w:lvlText w:val=""/>
      <w:lvlJc w:val="left"/>
      <w:pPr>
        <w:tabs>
          <w:tab w:val="num" w:pos="0"/>
        </w:tabs>
        <w:ind w:left="0" w:firstLine="0"/>
      </w:pPr>
      <w:rPr>
        <w:rFonts w:ascii="Symbol" w:hAnsi="Symbol"/>
        <w:sz w:val="20"/>
      </w:rPr>
    </w:lvl>
  </w:abstractNum>
  <w:abstractNum w:abstractNumId="8" w15:restartNumberingAfterBreak="0">
    <w:nsid w:val="6F7F1B54"/>
    <w:multiLevelType w:val="singleLevel"/>
    <w:tmpl w:val="444A1AFC"/>
    <w:name w:val="Bullet 4"/>
    <w:lvl w:ilvl="0">
      <w:numFmt w:val="bullet"/>
      <w:lvlText w:val="-"/>
      <w:lvlJc w:val="left"/>
      <w:pPr>
        <w:tabs>
          <w:tab w:val="num" w:pos="0"/>
        </w:tabs>
        <w:ind w:left="0" w:firstLine="0"/>
      </w:pPr>
      <w:rPr>
        <w:rFonts w:ascii="Times New Roman" w:eastAsia="Times New Roman" w:hAnsi="Times New Roman"/>
        <w:i/>
      </w:rPr>
    </w:lvl>
  </w:abstractNum>
  <w:num w:numId="1" w16cid:durableId="1481463575">
    <w:abstractNumId w:val="3"/>
  </w:num>
  <w:num w:numId="2" w16cid:durableId="353965095">
    <w:abstractNumId w:val="7"/>
  </w:num>
  <w:num w:numId="3" w16cid:durableId="1050034777">
    <w:abstractNumId w:val="1"/>
  </w:num>
  <w:num w:numId="4" w16cid:durableId="1173489006">
    <w:abstractNumId w:val="2"/>
  </w:num>
  <w:num w:numId="5" w16cid:durableId="12389271">
    <w:abstractNumId w:val="8"/>
  </w:num>
  <w:num w:numId="6" w16cid:durableId="1717848668">
    <w:abstractNumId w:val="5"/>
  </w:num>
  <w:num w:numId="7" w16cid:durableId="1186015482">
    <w:abstractNumId w:val="4"/>
  </w:num>
  <w:num w:numId="8" w16cid:durableId="296301855">
    <w:abstractNumId w:val="0"/>
  </w:num>
  <w:num w:numId="9" w16cid:durableId="187596840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8"/>
  <w:bordersDoNotSurroundHeader/>
  <w:bordersDoNotSurroundFooter/>
  <w:proofState w:spelling="clean" w:grammar="clean"/>
  <w:defaultTabStop w:val="800"/>
  <w:autoHyphenation/>
  <w:hyphenationZone w:val="396"/>
  <w:drawingGridHorizontalSpacing w:val="283"/>
  <w:drawingGridVerticalSpacing w:val="283"/>
  <w:characterSpacingControl w:val="doNotCompress"/>
  <w:hdrShapeDefaults>
    <o:shapedefaults v:ext="edit" spidmax="2050"/>
  </w:hdrShapeDefaults>
  <w:footnotePr>
    <w:footnote w:id="-1"/>
    <w:footnote w:id="0"/>
    <w:footnote w:id="1"/>
  </w:footnotePr>
  <w:endnotePr>
    <w:numFmt w:val="decimal"/>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5E36"/>
    <w:rsid w:val="00023327"/>
    <w:rsid w:val="000403F4"/>
    <w:rsid w:val="00041038"/>
    <w:rsid w:val="00043432"/>
    <w:rsid w:val="000644C7"/>
    <w:rsid w:val="0007439D"/>
    <w:rsid w:val="00075ECE"/>
    <w:rsid w:val="0007612F"/>
    <w:rsid w:val="000A49A2"/>
    <w:rsid w:val="000A708C"/>
    <w:rsid w:val="000D0FF9"/>
    <w:rsid w:val="000D2E5A"/>
    <w:rsid w:val="000D4C80"/>
    <w:rsid w:val="000E57A7"/>
    <w:rsid w:val="000F060C"/>
    <w:rsid w:val="000F66D2"/>
    <w:rsid w:val="00100E27"/>
    <w:rsid w:val="00103301"/>
    <w:rsid w:val="001100E2"/>
    <w:rsid w:val="001163E5"/>
    <w:rsid w:val="00120E7F"/>
    <w:rsid w:val="00121BEB"/>
    <w:rsid w:val="001352B9"/>
    <w:rsid w:val="001454C2"/>
    <w:rsid w:val="00145F5F"/>
    <w:rsid w:val="00151985"/>
    <w:rsid w:val="001633F9"/>
    <w:rsid w:val="001637B5"/>
    <w:rsid w:val="00177B4E"/>
    <w:rsid w:val="00180647"/>
    <w:rsid w:val="00192A71"/>
    <w:rsid w:val="001C0F53"/>
    <w:rsid w:val="001D7A3A"/>
    <w:rsid w:val="001E0DF3"/>
    <w:rsid w:val="001F1205"/>
    <w:rsid w:val="001F16EB"/>
    <w:rsid w:val="001F3E44"/>
    <w:rsid w:val="001F4D61"/>
    <w:rsid w:val="002023D4"/>
    <w:rsid w:val="00207D03"/>
    <w:rsid w:val="00216C71"/>
    <w:rsid w:val="00222521"/>
    <w:rsid w:val="002250A9"/>
    <w:rsid w:val="00255A0F"/>
    <w:rsid w:val="00271B19"/>
    <w:rsid w:val="0027311A"/>
    <w:rsid w:val="002763CF"/>
    <w:rsid w:val="00276867"/>
    <w:rsid w:val="0028555E"/>
    <w:rsid w:val="002A0FA3"/>
    <w:rsid w:val="002A1D8C"/>
    <w:rsid w:val="002A49FA"/>
    <w:rsid w:val="002B3738"/>
    <w:rsid w:val="002B4849"/>
    <w:rsid w:val="002B58ED"/>
    <w:rsid w:val="002B7E9C"/>
    <w:rsid w:val="002C257D"/>
    <w:rsid w:val="002C27DF"/>
    <w:rsid w:val="002C312F"/>
    <w:rsid w:val="002E3292"/>
    <w:rsid w:val="002E405C"/>
    <w:rsid w:val="002F03F2"/>
    <w:rsid w:val="002F0C4C"/>
    <w:rsid w:val="002F5C95"/>
    <w:rsid w:val="002F76C1"/>
    <w:rsid w:val="003067BB"/>
    <w:rsid w:val="00313CF2"/>
    <w:rsid w:val="0032642D"/>
    <w:rsid w:val="00334B85"/>
    <w:rsid w:val="0036588D"/>
    <w:rsid w:val="003713DB"/>
    <w:rsid w:val="003757DD"/>
    <w:rsid w:val="0037625D"/>
    <w:rsid w:val="00386023"/>
    <w:rsid w:val="003A3ED5"/>
    <w:rsid w:val="003A3F43"/>
    <w:rsid w:val="003C26F4"/>
    <w:rsid w:val="003C2DC3"/>
    <w:rsid w:val="003C7D4A"/>
    <w:rsid w:val="003D09CC"/>
    <w:rsid w:val="003D10AD"/>
    <w:rsid w:val="003D75F3"/>
    <w:rsid w:val="003E18B2"/>
    <w:rsid w:val="003E7D18"/>
    <w:rsid w:val="00404AAF"/>
    <w:rsid w:val="0042133E"/>
    <w:rsid w:val="004221D0"/>
    <w:rsid w:val="004265C4"/>
    <w:rsid w:val="00444A4F"/>
    <w:rsid w:val="00447A66"/>
    <w:rsid w:val="0045576B"/>
    <w:rsid w:val="00465A2D"/>
    <w:rsid w:val="00466442"/>
    <w:rsid w:val="00482A3D"/>
    <w:rsid w:val="00486752"/>
    <w:rsid w:val="00486B88"/>
    <w:rsid w:val="0049235E"/>
    <w:rsid w:val="004A7B37"/>
    <w:rsid w:val="004B61A5"/>
    <w:rsid w:val="004B7CD5"/>
    <w:rsid w:val="004C1447"/>
    <w:rsid w:val="004C44B3"/>
    <w:rsid w:val="004D78C4"/>
    <w:rsid w:val="004E2FC1"/>
    <w:rsid w:val="004E5E12"/>
    <w:rsid w:val="004F7727"/>
    <w:rsid w:val="00504A21"/>
    <w:rsid w:val="00505F26"/>
    <w:rsid w:val="0050643E"/>
    <w:rsid w:val="00507E48"/>
    <w:rsid w:val="00513449"/>
    <w:rsid w:val="00524C27"/>
    <w:rsid w:val="0053592A"/>
    <w:rsid w:val="0053789B"/>
    <w:rsid w:val="00546712"/>
    <w:rsid w:val="00552837"/>
    <w:rsid w:val="00556211"/>
    <w:rsid w:val="00556ECD"/>
    <w:rsid w:val="00560C4F"/>
    <w:rsid w:val="00584659"/>
    <w:rsid w:val="0058471F"/>
    <w:rsid w:val="00585F65"/>
    <w:rsid w:val="005A0EC7"/>
    <w:rsid w:val="005A21BC"/>
    <w:rsid w:val="005B058D"/>
    <w:rsid w:val="005C08CB"/>
    <w:rsid w:val="005C0E32"/>
    <w:rsid w:val="005C48F6"/>
    <w:rsid w:val="005C5D6E"/>
    <w:rsid w:val="005C6CB5"/>
    <w:rsid w:val="005D12E4"/>
    <w:rsid w:val="005E08DD"/>
    <w:rsid w:val="005E7157"/>
    <w:rsid w:val="005F6A2E"/>
    <w:rsid w:val="005F6B90"/>
    <w:rsid w:val="006016BF"/>
    <w:rsid w:val="00612667"/>
    <w:rsid w:val="006152C7"/>
    <w:rsid w:val="00616742"/>
    <w:rsid w:val="00616870"/>
    <w:rsid w:val="00642368"/>
    <w:rsid w:val="006449C7"/>
    <w:rsid w:val="00650069"/>
    <w:rsid w:val="00653635"/>
    <w:rsid w:val="006636BB"/>
    <w:rsid w:val="006654DA"/>
    <w:rsid w:val="00667209"/>
    <w:rsid w:val="00672280"/>
    <w:rsid w:val="006726B8"/>
    <w:rsid w:val="00675E72"/>
    <w:rsid w:val="006879CD"/>
    <w:rsid w:val="00690C73"/>
    <w:rsid w:val="00691228"/>
    <w:rsid w:val="00697AB6"/>
    <w:rsid w:val="006A2781"/>
    <w:rsid w:val="006A581E"/>
    <w:rsid w:val="006B1A74"/>
    <w:rsid w:val="006C649A"/>
    <w:rsid w:val="006C6A4B"/>
    <w:rsid w:val="006D4177"/>
    <w:rsid w:val="006E1B36"/>
    <w:rsid w:val="006E3D3E"/>
    <w:rsid w:val="006F09E5"/>
    <w:rsid w:val="007007FF"/>
    <w:rsid w:val="0070311F"/>
    <w:rsid w:val="007057F4"/>
    <w:rsid w:val="00713FB5"/>
    <w:rsid w:val="00723126"/>
    <w:rsid w:val="00725A3D"/>
    <w:rsid w:val="0073233B"/>
    <w:rsid w:val="00734AF7"/>
    <w:rsid w:val="007365D6"/>
    <w:rsid w:val="00741881"/>
    <w:rsid w:val="00750576"/>
    <w:rsid w:val="00761CBA"/>
    <w:rsid w:val="007625F0"/>
    <w:rsid w:val="00765992"/>
    <w:rsid w:val="007733BD"/>
    <w:rsid w:val="00781393"/>
    <w:rsid w:val="00795EB5"/>
    <w:rsid w:val="007A0672"/>
    <w:rsid w:val="007A135D"/>
    <w:rsid w:val="007A5DEF"/>
    <w:rsid w:val="007A674F"/>
    <w:rsid w:val="007A67E4"/>
    <w:rsid w:val="007A6A09"/>
    <w:rsid w:val="007B6308"/>
    <w:rsid w:val="007B66F3"/>
    <w:rsid w:val="007B7405"/>
    <w:rsid w:val="007C2D1A"/>
    <w:rsid w:val="007D1B69"/>
    <w:rsid w:val="007E6171"/>
    <w:rsid w:val="007F7076"/>
    <w:rsid w:val="007F7843"/>
    <w:rsid w:val="0080530E"/>
    <w:rsid w:val="0081128A"/>
    <w:rsid w:val="00817235"/>
    <w:rsid w:val="00822EE0"/>
    <w:rsid w:val="00826BDA"/>
    <w:rsid w:val="00833EB7"/>
    <w:rsid w:val="008406BE"/>
    <w:rsid w:val="00844610"/>
    <w:rsid w:val="008639BA"/>
    <w:rsid w:val="00865790"/>
    <w:rsid w:val="008666B5"/>
    <w:rsid w:val="00867D58"/>
    <w:rsid w:val="00870DB6"/>
    <w:rsid w:val="0087597A"/>
    <w:rsid w:val="00875E36"/>
    <w:rsid w:val="008773DA"/>
    <w:rsid w:val="00890644"/>
    <w:rsid w:val="00894228"/>
    <w:rsid w:val="008A4A06"/>
    <w:rsid w:val="008B0AE0"/>
    <w:rsid w:val="008C4548"/>
    <w:rsid w:val="008D5BCA"/>
    <w:rsid w:val="008D6426"/>
    <w:rsid w:val="008F4F80"/>
    <w:rsid w:val="009004E8"/>
    <w:rsid w:val="00903FF7"/>
    <w:rsid w:val="009057BD"/>
    <w:rsid w:val="009135A6"/>
    <w:rsid w:val="00920F37"/>
    <w:rsid w:val="00923FB4"/>
    <w:rsid w:val="00933AB5"/>
    <w:rsid w:val="00935D77"/>
    <w:rsid w:val="00936BB1"/>
    <w:rsid w:val="0094331A"/>
    <w:rsid w:val="009618B5"/>
    <w:rsid w:val="0096258B"/>
    <w:rsid w:val="00977E92"/>
    <w:rsid w:val="0099255E"/>
    <w:rsid w:val="009959FE"/>
    <w:rsid w:val="009B36E4"/>
    <w:rsid w:val="009B5775"/>
    <w:rsid w:val="009C1AFB"/>
    <w:rsid w:val="009C1E9C"/>
    <w:rsid w:val="009C2C9B"/>
    <w:rsid w:val="009C3585"/>
    <w:rsid w:val="009C5482"/>
    <w:rsid w:val="009E0B9F"/>
    <w:rsid w:val="00A008FD"/>
    <w:rsid w:val="00A17FB0"/>
    <w:rsid w:val="00A2271D"/>
    <w:rsid w:val="00A266FA"/>
    <w:rsid w:val="00A33EC6"/>
    <w:rsid w:val="00A35587"/>
    <w:rsid w:val="00A36A2C"/>
    <w:rsid w:val="00A36D16"/>
    <w:rsid w:val="00A41650"/>
    <w:rsid w:val="00A551E7"/>
    <w:rsid w:val="00A86097"/>
    <w:rsid w:val="00A8794E"/>
    <w:rsid w:val="00AA3B32"/>
    <w:rsid w:val="00AA4AC3"/>
    <w:rsid w:val="00AB7976"/>
    <w:rsid w:val="00AD2820"/>
    <w:rsid w:val="00AD5C4C"/>
    <w:rsid w:val="00AD7632"/>
    <w:rsid w:val="00B01398"/>
    <w:rsid w:val="00B01B8C"/>
    <w:rsid w:val="00B02311"/>
    <w:rsid w:val="00B026D0"/>
    <w:rsid w:val="00B04467"/>
    <w:rsid w:val="00B07767"/>
    <w:rsid w:val="00B1654D"/>
    <w:rsid w:val="00B37E19"/>
    <w:rsid w:val="00B404A3"/>
    <w:rsid w:val="00B44266"/>
    <w:rsid w:val="00B446FF"/>
    <w:rsid w:val="00B45B5F"/>
    <w:rsid w:val="00B55C07"/>
    <w:rsid w:val="00B66EBF"/>
    <w:rsid w:val="00B72B71"/>
    <w:rsid w:val="00B7304D"/>
    <w:rsid w:val="00B730C9"/>
    <w:rsid w:val="00B74528"/>
    <w:rsid w:val="00B94999"/>
    <w:rsid w:val="00BA1024"/>
    <w:rsid w:val="00BA1F1C"/>
    <w:rsid w:val="00BB3E61"/>
    <w:rsid w:val="00BB4F03"/>
    <w:rsid w:val="00BB516E"/>
    <w:rsid w:val="00BB57E4"/>
    <w:rsid w:val="00BE45B8"/>
    <w:rsid w:val="00BF1CD9"/>
    <w:rsid w:val="00BF7B0F"/>
    <w:rsid w:val="00C0375A"/>
    <w:rsid w:val="00C153DA"/>
    <w:rsid w:val="00C1731C"/>
    <w:rsid w:val="00C233E7"/>
    <w:rsid w:val="00C2709C"/>
    <w:rsid w:val="00C27CB5"/>
    <w:rsid w:val="00C30815"/>
    <w:rsid w:val="00C4595B"/>
    <w:rsid w:val="00C519AC"/>
    <w:rsid w:val="00C6161F"/>
    <w:rsid w:val="00C801D5"/>
    <w:rsid w:val="00C81A3F"/>
    <w:rsid w:val="00CA79AD"/>
    <w:rsid w:val="00CC42D2"/>
    <w:rsid w:val="00D06368"/>
    <w:rsid w:val="00D21822"/>
    <w:rsid w:val="00D219C9"/>
    <w:rsid w:val="00D23391"/>
    <w:rsid w:val="00D26D93"/>
    <w:rsid w:val="00D31F24"/>
    <w:rsid w:val="00D32B4B"/>
    <w:rsid w:val="00D548BD"/>
    <w:rsid w:val="00D679CC"/>
    <w:rsid w:val="00D71141"/>
    <w:rsid w:val="00D7488F"/>
    <w:rsid w:val="00D83BEA"/>
    <w:rsid w:val="00D92A57"/>
    <w:rsid w:val="00DA19C2"/>
    <w:rsid w:val="00DD4AC7"/>
    <w:rsid w:val="00DD7215"/>
    <w:rsid w:val="00DE2D56"/>
    <w:rsid w:val="00DE770D"/>
    <w:rsid w:val="00DF1572"/>
    <w:rsid w:val="00DF5AE4"/>
    <w:rsid w:val="00E060AE"/>
    <w:rsid w:val="00E1580C"/>
    <w:rsid w:val="00E15F3C"/>
    <w:rsid w:val="00E17D63"/>
    <w:rsid w:val="00E242EA"/>
    <w:rsid w:val="00E2474C"/>
    <w:rsid w:val="00E5789A"/>
    <w:rsid w:val="00E614F5"/>
    <w:rsid w:val="00E82DE8"/>
    <w:rsid w:val="00EB5DB7"/>
    <w:rsid w:val="00EC66B7"/>
    <w:rsid w:val="00ED0E02"/>
    <w:rsid w:val="00ED4120"/>
    <w:rsid w:val="00EE29F6"/>
    <w:rsid w:val="00F043D3"/>
    <w:rsid w:val="00F0533C"/>
    <w:rsid w:val="00F07CD1"/>
    <w:rsid w:val="00F23215"/>
    <w:rsid w:val="00F446C0"/>
    <w:rsid w:val="00F56EBA"/>
    <w:rsid w:val="00F576FB"/>
    <w:rsid w:val="00F63910"/>
    <w:rsid w:val="00F676EF"/>
    <w:rsid w:val="00F9172C"/>
    <w:rsid w:val="00F92D17"/>
    <w:rsid w:val="00F96E24"/>
    <w:rsid w:val="00FA1E4F"/>
    <w:rsid w:val="00FA3E49"/>
    <w:rsid w:val="00FA615E"/>
    <w:rsid w:val="00FB5C13"/>
    <w:rsid w:val="00FC1CAA"/>
    <w:rsid w:val="00FD36A3"/>
    <w:rsid w:val="0506A658"/>
    <w:rsid w:val="0FA62474"/>
    <w:rsid w:val="108F40CC"/>
    <w:rsid w:val="115D3A3A"/>
    <w:rsid w:val="1A1E9D6D"/>
    <w:rsid w:val="1A72E4D4"/>
    <w:rsid w:val="1ADD4C32"/>
    <w:rsid w:val="1C113725"/>
    <w:rsid w:val="22722FBA"/>
    <w:rsid w:val="23E5D369"/>
    <w:rsid w:val="2767BBD0"/>
    <w:rsid w:val="2DC60FCE"/>
    <w:rsid w:val="319D2BAC"/>
    <w:rsid w:val="360DA099"/>
    <w:rsid w:val="3C45D848"/>
    <w:rsid w:val="4169BD51"/>
    <w:rsid w:val="49BFACE3"/>
    <w:rsid w:val="4B4AFC5F"/>
    <w:rsid w:val="4D37C2F1"/>
    <w:rsid w:val="4D979180"/>
    <w:rsid w:val="52A2AAE6"/>
    <w:rsid w:val="544ADFB4"/>
    <w:rsid w:val="58DE39F1"/>
    <w:rsid w:val="5B9DEEFD"/>
    <w:rsid w:val="629A8AD0"/>
    <w:rsid w:val="63C2E7FA"/>
    <w:rsid w:val="65F44E38"/>
    <w:rsid w:val="6CA3C5E8"/>
    <w:rsid w:val="70958192"/>
    <w:rsid w:val="76FE6B9E"/>
    <w:rsid w:val="797CF1D1"/>
    <w:rsid w:val="7B04E6EF"/>
    <w:rsid w:val="7DB38EE7"/>
    <w:rsid w:val="7EB9A40C"/>
    <w:rsid w:val="7EFFC63D"/>
  </w:rsids>
  <m:mathPr>
    <m:mathFont m:val="Cambria Math"/>
    <m:brkBin m:val="before"/>
    <m:brkBinSub m:val="--"/>
    <m:smallFrac m:val="0"/>
    <m:dispDef/>
    <m:lMargin m:val="0"/>
    <m:rMargin m:val="0"/>
    <m:defJc m:val="centerGroup"/>
    <m:wrapIndent m:val="1440"/>
    <m:intLim m:val="subSup"/>
    <m:naryLim m:val="undOvr"/>
  </m:mathPr>
  <w:themeFontLang w:val="en-US" w:eastAsia="ko-K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F9E386"/>
  <w15:docId w15:val="{C1F74153-8B48-4E7A-89C0-C73D6BB84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sz w:val="24"/>
        <w:szCs w:val="24"/>
        <w:lang w:val="lt-L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qFormat/>
    <w:pPr>
      <w:outlineLvl w:val="1"/>
    </w:pPr>
    <w:rPr>
      <w:rFonts w:ascii="Gulim" w:eastAsia="Malgun Gothic" w:hAnsi="Gulim" w:cs="Gulim"/>
      <w:b/>
      <w:bCs/>
      <w:color w:val="212634"/>
      <w:sz w:val="21"/>
      <w:szCs w:val="21"/>
      <w:lang w:val="en-US"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qFormat/>
    <w:pPr>
      <w:tabs>
        <w:tab w:val="center" w:pos="4320"/>
        <w:tab w:val="right" w:pos="8640"/>
      </w:tabs>
    </w:pPr>
    <w:rPr>
      <w:rFonts w:ascii="Times" w:eastAsia="Malgun Gothic" w:hAnsi="Times"/>
      <w:szCs w:val="20"/>
      <w:lang w:val="en-US" w:eastAsia="ko-KR"/>
    </w:rPr>
  </w:style>
  <w:style w:type="paragraph" w:styleId="Footer">
    <w:name w:val="footer"/>
    <w:basedOn w:val="Normal"/>
    <w:qFormat/>
    <w:pPr>
      <w:widowControl w:val="0"/>
      <w:tabs>
        <w:tab w:val="center" w:pos="4252"/>
        <w:tab w:val="right" w:pos="8504"/>
      </w:tabs>
      <w:spacing w:line="360" w:lineRule="atLeast"/>
      <w:jc w:val="both"/>
    </w:pPr>
    <w:rPr>
      <w:rFonts w:eastAsia="Malgun Gothic"/>
      <w:sz w:val="20"/>
      <w:szCs w:val="20"/>
      <w:lang w:val="en-US" w:eastAsia="ko-KR"/>
    </w:rPr>
  </w:style>
  <w:style w:type="paragraph" w:styleId="BodyText">
    <w:name w:val="Body Text"/>
    <w:basedOn w:val="Normal"/>
    <w:qFormat/>
    <w:pPr>
      <w:widowControl w:val="0"/>
      <w:suppressAutoHyphens/>
      <w:spacing w:after="120"/>
    </w:pPr>
    <w:rPr>
      <w:rFonts w:eastAsia="Malgun Gothic"/>
      <w:kern w:val="1"/>
      <w:sz w:val="20"/>
      <w:lang w:val="en-US"/>
    </w:rPr>
  </w:style>
  <w:style w:type="paragraph" w:styleId="BalloonText">
    <w:name w:val="Balloon Text"/>
    <w:basedOn w:val="Normal"/>
    <w:qFormat/>
    <w:rPr>
      <w:rFonts w:ascii="Malgun Gothic" w:eastAsia="Malgun Gothic" w:hAnsi="Malgun Gothic"/>
      <w:sz w:val="18"/>
      <w:szCs w:val="18"/>
    </w:rPr>
  </w:style>
  <w:style w:type="paragraph" w:customStyle="1" w:styleId="1">
    <w:name w:val="메모 텍스트1"/>
    <w:basedOn w:val="Normal"/>
    <w:qFormat/>
  </w:style>
  <w:style w:type="paragraph" w:customStyle="1" w:styleId="10">
    <w:name w:val="메모 주제1"/>
    <w:basedOn w:val="1"/>
    <w:next w:val="1"/>
    <w:qFormat/>
    <w:rPr>
      <w:b/>
      <w:bCs/>
    </w:rPr>
  </w:style>
  <w:style w:type="paragraph" w:customStyle="1" w:styleId="11">
    <w:name w:val="수정1"/>
    <w:qFormat/>
  </w:style>
  <w:style w:type="character" w:customStyle="1" w:styleId="2Char">
    <w:name w:val="제목 2 Char"/>
    <w:rPr>
      <w:rFonts w:ascii="Gulim" w:eastAsia="Malgun Gothic" w:hAnsi="Gulim" w:cs="Gulim"/>
      <w:b/>
      <w:bCs/>
      <w:color w:val="212634"/>
      <w:sz w:val="21"/>
      <w:szCs w:val="21"/>
      <w:lang w:val="en-US" w:eastAsia="ko-KR"/>
    </w:rPr>
  </w:style>
  <w:style w:type="character" w:customStyle="1" w:styleId="Char">
    <w:name w:val="머리글 Char"/>
    <w:rPr>
      <w:rFonts w:ascii="Times" w:eastAsia="Malgun Gothic" w:hAnsi="Times"/>
      <w:sz w:val="20"/>
      <w:szCs w:val="20"/>
      <w:lang w:val="en-US" w:eastAsia="ko-KR"/>
    </w:rPr>
  </w:style>
  <w:style w:type="character" w:customStyle="1" w:styleId="Char0">
    <w:name w:val="바닥글 Char"/>
    <w:rPr>
      <w:rFonts w:eastAsia="Malgun Gothic"/>
      <w:sz w:val="20"/>
      <w:szCs w:val="20"/>
      <w:lang w:val="en-US" w:eastAsia="ko-KR"/>
    </w:rPr>
  </w:style>
  <w:style w:type="character" w:styleId="PageNumber">
    <w:name w:val="page number"/>
    <w:rPr>
      <w:rFonts w:ascii="Malgun Gothic" w:eastAsia="Malgun Gothic" w:hAnsi="Malgun Gothic"/>
      <w:sz w:val="20"/>
      <w:szCs w:val="20"/>
      <w:lang w:val="en-US" w:eastAsia="ko-KR"/>
    </w:rPr>
  </w:style>
  <w:style w:type="character" w:customStyle="1" w:styleId="Char1">
    <w:name w:val="본문 Char"/>
    <w:rPr>
      <w:rFonts w:eastAsia="Malgun Gothic"/>
      <w:kern w:val="1"/>
      <w:lang w:val="en-US"/>
    </w:rPr>
  </w:style>
  <w:style w:type="character" w:customStyle="1" w:styleId="Char2">
    <w:name w:val="풍선 도움말 텍스트 Char"/>
    <w:rPr>
      <w:rFonts w:ascii="Malgun Gothic" w:eastAsia="Malgun Gothic" w:hAnsi="Malgun Gothic"/>
      <w:sz w:val="18"/>
      <w:szCs w:val="18"/>
    </w:rPr>
  </w:style>
  <w:style w:type="character" w:customStyle="1" w:styleId="12">
    <w:name w:val="메모 참조1"/>
    <w:rPr>
      <w:rFonts w:ascii="Malgun Gothic" w:eastAsia="Malgun Gothic" w:hAnsi="Malgun Gothic"/>
      <w:sz w:val="18"/>
      <w:szCs w:val="18"/>
      <w:lang w:val="en-US" w:eastAsia="ko-KR"/>
    </w:rPr>
  </w:style>
  <w:style w:type="character" w:customStyle="1" w:styleId="Char3">
    <w:name w:val="메모 텍스트 Char"/>
  </w:style>
  <w:style w:type="character" w:customStyle="1" w:styleId="Char4">
    <w:name w:val="메모 주제 Char"/>
    <w:rPr>
      <w:b/>
      <w:bCs/>
    </w:rPr>
  </w:style>
  <w:style w:type="character" w:styleId="Hyperlink">
    <w:name w:val="Hyperlink"/>
    <w:rPr>
      <w:rFonts w:ascii="Malgun Gothic" w:eastAsia="Malgun Gothic" w:hAnsi="Malgun Gothic"/>
      <w:color w:val="0000FF"/>
      <w:sz w:val="20"/>
      <w:szCs w:val="20"/>
      <w:u w:val="single"/>
      <w:lang w:val="en-US" w:eastAsia="ko-KR"/>
    </w:rPr>
  </w:style>
  <w:style w:type="character" w:customStyle="1" w:styleId="EmailStyle31">
    <w:name w:val="EmailStyle31"/>
    <w:rPr>
      <w:rFonts w:ascii="Malgun Gothic" w:eastAsia="Malgun Gothic" w:hAnsi="Malgun Gothic"/>
      <w:lang w:val="en-US" w:eastAsia="ko-KR"/>
    </w:rPr>
  </w:style>
  <w:style w:type="character" w:styleId="Strong">
    <w:name w:val="Strong"/>
    <w:basedOn w:val="DefaultParagraphFont"/>
    <w:rPr>
      <w:rFonts w:ascii="SamsungIFBd" w:hAnsi="SamsungIFBd"/>
      <w:b w:val="0"/>
      <w:bCs w:val="0"/>
    </w:rPr>
  </w:style>
  <w:style w:type="paragraph" w:styleId="Revision">
    <w:name w:val="Revision"/>
    <w:hidden/>
    <w:uiPriority w:val="99"/>
    <w:semiHidden/>
    <w:rsid w:val="0058471F"/>
  </w:style>
  <w:style w:type="character" w:styleId="CommentReference">
    <w:name w:val="annotation reference"/>
    <w:basedOn w:val="DefaultParagraphFont"/>
    <w:uiPriority w:val="99"/>
    <w:semiHidden/>
    <w:unhideWhenUsed/>
    <w:rsid w:val="0037625D"/>
    <w:rPr>
      <w:sz w:val="18"/>
      <w:szCs w:val="18"/>
    </w:rPr>
  </w:style>
  <w:style w:type="paragraph" w:styleId="CommentText">
    <w:name w:val="annotation text"/>
    <w:basedOn w:val="Normal"/>
    <w:link w:val="CommentTextChar"/>
    <w:uiPriority w:val="99"/>
    <w:unhideWhenUsed/>
    <w:rsid w:val="0037625D"/>
  </w:style>
  <w:style w:type="character" w:customStyle="1" w:styleId="CommentTextChar">
    <w:name w:val="Comment Text Char"/>
    <w:basedOn w:val="DefaultParagraphFont"/>
    <w:link w:val="CommentText"/>
    <w:uiPriority w:val="99"/>
    <w:rsid w:val="0037625D"/>
  </w:style>
  <w:style w:type="paragraph" w:styleId="CommentSubject">
    <w:name w:val="annotation subject"/>
    <w:basedOn w:val="CommentText"/>
    <w:next w:val="CommentText"/>
    <w:link w:val="CommentSubjectChar"/>
    <w:uiPriority w:val="99"/>
    <w:semiHidden/>
    <w:unhideWhenUsed/>
    <w:rsid w:val="0037625D"/>
    <w:rPr>
      <w:b/>
      <w:bCs/>
    </w:rPr>
  </w:style>
  <w:style w:type="character" w:customStyle="1" w:styleId="CommentSubjectChar">
    <w:name w:val="Comment Subject Char"/>
    <w:basedOn w:val="CommentTextChar"/>
    <w:link w:val="CommentSubject"/>
    <w:uiPriority w:val="99"/>
    <w:semiHidden/>
    <w:rsid w:val="0037625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067682">
      <w:bodyDiv w:val="1"/>
      <w:marLeft w:val="0"/>
      <w:marRight w:val="0"/>
      <w:marTop w:val="0"/>
      <w:marBottom w:val="0"/>
      <w:divBdr>
        <w:top w:val="none" w:sz="0" w:space="0" w:color="auto"/>
        <w:left w:val="none" w:sz="0" w:space="0" w:color="auto"/>
        <w:bottom w:val="none" w:sz="0" w:space="0" w:color="auto"/>
        <w:right w:val="none" w:sz="0" w:space="0" w:color="auto"/>
      </w:divBdr>
    </w:div>
    <w:div w:id="680205173">
      <w:bodyDiv w:val="1"/>
      <w:marLeft w:val="0"/>
      <w:marRight w:val="0"/>
      <w:marTop w:val="0"/>
      <w:marBottom w:val="0"/>
      <w:divBdr>
        <w:top w:val="none" w:sz="0" w:space="0" w:color="auto"/>
        <w:left w:val="none" w:sz="0" w:space="0" w:color="auto"/>
        <w:bottom w:val="none" w:sz="0" w:space="0" w:color="auto"/>
        <w:right w:val="none" w:sz="0" w:space="0" w:color="auto"/>
      </w:divBdr>
    </w:div>
    <w:div w:id="1034112061">
      <w:bodyDiv w:val="1"/>
      <w:marLeft w:val="0"/>
      <w:marRight w:val="0"/>
      <w:marTop w:val="0"/>
      <w:marBottom w:val="0"/>
      <w:divBdr>
        <w:top w:val="none" w:sz="0" w:space="0" w:color="auto"/>
        <w:left w:val="none" w:sz="0" w:space="0" w:color="auto"/>
        <w:bottom w:val="none" w:sz="0" w:space="0" w:color="auto"/>
        <w:right w:val="none" w:sz="0" w:space="0" w:color="auto"/>
      </w:divBdr>
    </w:div>
    <w:div w:id="1077706657">
      <w:bodyDiv w:val="1"/>
      <w:marLeft w:val="0"/>
      <w:marRight w:val="0"/>
      <w:marTop w:val="0"/>
      <w:marBottom w:val="0"/>
      <w:divBdr>
        <w:top w:val="none" w:sz="0" w:space="0" w:color="auto"/>
        <w:left w:val="none" w:sz="0" w:space="0" w:color="auto"/>
        <w:bottom w:val="none" w:sz="0" w:space="0" w:color="auto"/>
        <w:right w:val="none" w:sz="0" w:space="0" w:color="auto"/>
      </w:divBdr>
    </w:div>
    <w:div w:id="1083339944">
      <w:bodyDiv w:val="1"/>
      <w:marLeft w:val="0"/>
      <w:marRight w:val="0"/>
      <w:marTop w:val="0"/>
      <w:marBottom w:val="0"/>
      <w:divBdr>
        <w:top w:val="none" w:sz="0" w:space="0" w:color="auto"/>
        <w:left w:val="none" w:sz="0" w:space="0" w:color="auto"/>
        <w:bottom w:val="none" w:sz="0" w:space="0" w:color="auto"/>
        <w:right w:val="none" w:sz="0" w:space="0" w:color="auto"/>
      </w:divBdr>
      <w:divsChild>
        <w:div w:id="937181517">
          <w:marLeft w:val="0"/>
          <w:marRight w:val="0"/>
          <w:marTop w:val="0"/>
          <w:marBottom w:val="0"/>
          <w:divBdr>
            <w:top w:val="none" w:sz="0" w:space="0" w:color="auto"/>
            <w:left w:val="none" w:sz="0" w:space="0" w:color="auto"/>
            <w:bottom w:val="none" w:sz="0" w:space="0" w:color="auto"/>
            <w:right w:val="none" w:sz="0" w:space="0" w:color="auto"/>
          </w:divBdr>
          <w:divsChild>
            <w:div w:id="1476725602">
              <w:marLeft w:val="0"/>
              <w:marRight w:val="0"/>
              <w:marTop w:val="0"/>
              <w:marBottom w:val="0"/>
              <w:divBdr>
                <w:top w:val="none" w:sz="0" w:space="0" w:color="auto"/>
                <w:left w:val="none" w:sz="0" w:space="0" w:color="auto"/>
                <w:bottom w:val="none" w:sz="0" w:space="0" w:color="auto"/>
                <w:right w:val="none" w:sz="0" w:space="0" w:color="auto"/>
              </w:divBdr>
              <w:divsChild>
                <w:div w:id="28990619">
                  <w:marLeft w:val="0"/>
                  <w:marRight w:val="0"/>
                  <w:marTop w:val="0"/>
                  <w:marBottom w:val="0"/>
                  <w:divBdr>
                    <w:top w:val="none" w:sz="0" w:space="0" w:color="auto"/>
                    <w:left w:val="none" w:sz="0" w:space="0" w:color="auto"/>
                    <w:bottom w:val="none" w:sz="0" w:space="0" w:color="auto"/>
                    <w:right w:val="none" w:sz="0" w:space="0" w:color="auto"/>
                  </w:divBdr>
                  <w:divsChild>
                    <w:div w:id="81549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9123918">
      <w:bodyDiv w:val="1"/>
      <w:marLeft w:val="0"/>
      <w:marRight w:val="0"/>
      <w:marTop w:val="0"/>
      <w:marBottom w:val="0"/>
      <w:divBdr>
        <w:top w:val="none" w:sz="0" w:space="0" w:color="auto"/>
        <w:left w:val="none" w:sz="0" w:space="0" w:color="auto"/>
        <w:bottom w:val="none" w:sz="0" w:space="0" w:color="auto"/>
        <w:right w:val="none" w:sz="0" w:space="0" w:color="auto"/>
      </w:divBdr>
    </w:div>
    <w:div w:id="1639064967">
      <w:bodyDiv w:val="1"/>
      <w:marLeft w:val="0"/>
      <w:marRight w:val="0"/>
      <w:marTop w:val="0"/>
      <w:marBottom w:val="0"/>
      <w:divBdr>
        <w:top w:val="none" w:sz="0" w:space="0" w:color="auto"/>
        <w:left w:val="none" w:sz="0" w:space="0" w:color="auto"/>
        <w:bottom w:val="none" w:sz="0" w:space="0" w:color="auto"/>
        <w:right w:val="none" w:sz="0" w:space="0" w:color="auto"/>
      </w:divBdr>
    </w:div>
    <w:div w:id="1944417751">
      <w:bodyDiv w:val="1"/>
      <w:marLeft w:val="0"/>
      <w:marRight w:val="0"/>
      <w:marTop w:val="0"/>
      <w:marBottom w:val="0"/>
      <w:divBdr>
        <w:top w:val="none" w:sz="0" w:space="0" w:color="auto"/>
        <w:left w:val="none" w:sz="0" w:space="0" w:color="auto"/>
        <w:bottom w:val="none" w:sz="0" w:space="0" w:color="auto"/>
        <w:right w:val="none" w:sz="0" w:space="0" w:color="auto"/>
      </w:divBdr>
    </w:div>
    <w:div w:id="2024161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amune@fabula.l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굴림"/>
        <a:ea typeface="맑은 고딕"/>
        <a:cs typeface="굴림"/>
      </a:majorFont>
      <a:minorFont>
        <a:latin typeface="Times New Roman"/>
        <a:ea typeface="SimSu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 StyleName="" Version="0"/>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1D010F01400B7418A93364AB117E8A4" ma:contentTypeVersion="20" ma:contentTypeDescription="Create a new document." ma:contentTypeScope="" ma:versionID="d8cb13d1900a55d29189b85a09544ac2">
  <xsd:schema xmlns:xsd="http://www.w3.org/2001/XMLSchema" xmlns:xs="http://www.w3.org/2001/XMLSchema" xmlns:p="http://schemas.microsoft.com/office/2006/metadata/properties" xmlns:ns2="6078598c-14c1-4f90-8a5f-4e3168f7f274" xmlns:ns3="46bb7cfa-39cb-463e-8227-8eb399c3b904" targetNamespace="http://schemas.microsoft.com/office/2006/metadata/properties" ma:root="true" ma:fieldsID="c270f21acc1f4aa0852efb3081c48502" ns2:_="" ns3:_="">
    <xsd:import namespace="6078598c-14c1-4f90-8a5f-4e3168f7f274"/>
    <xsd:import namespace="46bb7cfa-39cb-463e-8227-8eb399c3b904"/>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78598c-14c1-4f90-8a5f-4e3168f7f274"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element name="TaxCatchAll" ma:index="25" nillable="true" ma:displayName="Taxonomy Catch All Column" ma:hidden="true" ma:list="{0c14d24c-3ab5-4ceb-b655-819b013f8442}" ma:internalName="TaxCatchAll" ma:showField="CatchAllData" ma:web="6078598c-14c1-4f90-8a5f-4e3168f7f27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6bb7cfa-39cb-463e-8227-8eb399c3b904"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AutoTags" ma:index="15" nillable="true" ma:displayName="MediaServiceAutoTags" ma:description=""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MediaServiceLocation" ma:index="22" nillable="true" ma:displayName="Location" ma:internalName="MediaServiceLocation" ma:readOnly="true">
      <xsd:simpleType>
        <xsd:restriction base="dms:Text"/>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482dacf4-7a6f-4d7a-a489-47a8915adfb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6078598c-14c1-4f90-8a5f-4e3168f7f274" xsi:nil="true"/>
    <lcf76f155ced4ddcb4097134ff3c332f xmlns="46bb7cfa-39cb-463e-8227-8eb399c3b904">
      <Terms xmlns="http://schemas.microsoft.com/office/infopath/2007/PartnerControls"/>
    </lcf76f155ced4ddcb4097134ff3c332f>
    <SharedWithUsers xmlns="6078598c-14c1-4f90-8a5f-4e3168f7f274">
      <UserInfo>
        <DisplayName/>
        <AccountId xsi:nil="true"/>
        <AccountType/>
      </UserInfo>
    </SharedWithUsers>
    <MediaLengthInSeconds xmlns="46bb7cfa-39cb-463e-8227-8eb399c3b904" xsi:nil="true"/>
  </documentManagement>
</p:properties>
</file>

<file path=customXml/itemProps1.xml><?xml version="1.0" encoding="utf-8"?>
<ds:datastoreItem xmlns:ds="http://schemas.openxmlformats.org/officeDocument/2006/customXml" ds:itemID="{687497FD-C381-4605-82FD-F512FED4C6B1}">
  <ds:schemaRefs>
    <ds:schemaRef ds:uri="http://schemas.openxmlformats.org/officeDocument/2006/bibliography"/>
  </ds:schemaRefs>
</ds:datastoreItem>
</file>

<file path=customXml/itemProps2.xml><?xml version="1.0" encoding="utf-8"?>
<ds:datastoreItem xmlns:ds="http://schemas.openxmlformats.org/officeDocument/2006/customXml" ds:itemID="{F5419F26-FE2C-4233-8BDE-08ACA4CBF79E}">
  <ds:schemaRefs>
    <ds:schemaRef ds:uri="http://schemas.microsoft.com/sharepoint/v3/contenttype/forms"/>
  </ds:schemaRefs>
</ds:datastoreItem>
</file>

<file path=customXml/itemProps3.xml><?xml version="1.0" encoding="utf-8"?>
<ds:datastoreItem xmlns:ds="http://schemas.openxmlformats.org/officeDocument/2006/customXml" ds:itemID="{119C2F60-D043-4A75-ABC9-E06E3A200C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78598c-14c1-4f90-8a5f-4e3168f7f274"/>
    <ds:schemaRef ds:uri="46bb7cfa-39cb-463e-8227-8eb399c3b9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820B4B3-0575-4E7D-9A4A-7672F676DF35}">
  <ds:schemaRefs>
    <ds:schemaRef ds:uri="http://schemas.microsoft.com/office/2006/metadata/properties"/>
    <ds:schemaRef ds:uri="http://schemas.microsoft.com/office/infopath/2007/PartnerControls"/>
    <ds:schemaRef ds:uri="6078598c-14c1-4f90-8a5f-4e3168f7f274"/>
    <ds:schemaRef ds:uri="46bb7cfa-39cb-463e-8227-8eb399c3b904"/>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1254</Words>
  <Characters>7152</Characters>
  <Application>Microsoft Office Word</Application>
  <DocSecurity>0</DocSecurity>
  <Lines>59</Lines>
  <Paragraphs>16</Paragraphs>
  <ScaleCrop>false</ScaleCrop>
  <Company/>
  <LinksUpToDate>false</LinksUpToDate>
  <CharactersWithSpaces>8390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TAYLOR/LGEUS Public Relations Team(john.taylor@lge.com)</dc:creator>
  <cp:keywords/>
  <dc:description/>
  <cp:lastModifiedBy>Katrīna Antmane</cp:lastModifiedBy>
  <cp:revision>3</cp:revision>
  <cp:lastPrinted>2018-10-05T18:51:00Z</cp:lastPrinted>
  <dcterms:created xsi:type="dcterms:W3CDTF">2024-07-31T04:00:00Z</dcterms:created>
  <dcterms:modified xsi:type="dcterms:W3CDTF">2024-07-31T04:04:00Z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0ae8e04af1389516b7f186dd77b6d02ec786d382d4561b01f5dba32c9962fe8f</vt:lpwstr>
  </property>
  <property fmtid="{D5CDD505-2E9C-101B-9397-08002B2CF9AE}" pid="3" name="ContentTypeId">
    <vt:lpwstr>0x010100B1D010F01400B7418A93364AB117E8A4</vt:lpwstr>
  </property>
  <property fmtid="{D5CDD505-2E9C-101B-9397-08002B2CF9AE}" pid="4" name="MediaServiceImageTags">
    <vt:lpwstr/>
  </property>
  <property fmtid="{D5CDD505-2E9C-101B-9397-08002B2CF9AE}" pid="5" name="Order">
    <vt:r8>41400</vt:r8>
  </property>
  <property fmtid="{D5CDD505-2E9C-101B-9397-08002B2CF9AE}" pid="6" name="ComplianceAssetId">
    <vt:lpwstr/>
  </property>
  <property fmtid="{D5CDD505-2E9C-101B-9397-08002B2CF9AE}" pid="7" name="_ExtendedDescription">
    <vt:lpwstr/>
  </property>
  <property fmtid="{D5CDD505-2E9C-101B-9397-08002B2CF9AE}" pid="8" name="TriggerFlowInfo">
    <vt:lpwstr/>
  </property>
  <property fmtid="{D5CDD505-2E9C-101B-9397-08002B2CF9AE}" pid="9" name="MSIP_Label_cc6ed9fc-fefc-4a0c-a6d6-10cf236c0d4f_Enabled">
    <vt:lpwstr>true</vt:lpwstr>
  </property>
  <property fmtid="{D5CDD505-2E9C-101B-9397-08002B2CF9AE}" pid="10" name="MSIP_Label_cc6ed9fc-fefc-4a0c-a6d6-10cf236c0d4f_SetDate">
    <vt:lpwstr>2024-07-05T00:23:33Z</vt:lpwstr>
  </property>
  <property fmtid="{D5CDD505-2E9C-101B-9397-08002B2CF9AE}" pid="11" name="MSIP_Label_cc6ed9fc-fefc-4a0c-a6d6-10cf236c0d4f_Method">
    <vt:lpwstr>Standard</vt:lpwstr>
  </property>
  <property fmtid="{D5CDD505-2E9C-101B-9397-08002B2CF9AE}" pid="12" name="MSIP_Label_cc6ed9fc-fefc-4a0c-a6d6-10cf236c0d4f_Name">
    <vt:lpwstr>Internal use only</vt:lpwstr>
  </property>
  <property fmtid="{D5CDD505-2E9C-101B-9397-08002B2CF9AE}" pid="13" name="MSIP_Label_cc6ed9fc-fefc-4a0c-a6d6-10cf236c0d4f_SiteId">
    <vt:lpwstr>5069cde4-642a-45c0-8094-d0c2dec10be3</vt:lpwstr>
  </property>
  <property fmtid="{D5CDD505-2E9C-101B-9397-08002B2CF9AE}" pid="14" name="MSIP_Label_cc6ed9fc-fefc-4a0c-a6d6-10cf236c0d4f_ActionId">
    <vt:lpwstr>a6092335-57d9-46a2-b27c-5ebf6dc8675e</vt:lpwstr>
  </property>
  <property fmtid="{D5CDD505-2E9C-101B-9397-08002B2CF9AE}" pid="15" name="MSIP_Label_cc6ed9fc-fefc-4a0c-a6d6-10cf236c0d4f_ContentBits">
    <vt:lpwstr>1</vt:lpwstr>
  </property>
  <property fmtid="{D5CDD505-2E9C-101B-9397-08002B2CF9AE}" pid="16" name="MSIP_Label_97c4f187-5e78-4ccc-ba06-bd72f8c5cc80_Enabled">
    <vt:lpwstr>true</vt:lpwstr>
  </property>
  <property fmtid="{D5CDD505-2E9C-101B-9397-08002B2CF9AE}" pid="17" name="MSIP_Label_97c4f187-5e78-4ccc-ba06-bd72f8c5cc80_SetDate">
    <vt:lpwstr>2024-07-30T06:14:42Z</vt:lpwstr>
  </property>
  <property fmtid="{D5CDD505-2E9C-101B-9397-08002B2CF9AE}" pid="18" name="MSIP_Label_97c4f187-5e78-4ccc-ba06-bd72f8c5cc80_Method">
    <vt:lpwstr>Standard</vt:lpwstr>
  </property>
  <property fmtid="{D5CDD505-2E9C-101B-9397-08002B2CF9AE}" pid="19" name="MSIP_Label_97c4f187-5e78-4ccc-ba06-bd72f8c5cc80_Name">
    <vt:lpwstr>Strictly confidential Personal data</vt:lpwstr>
  </property>
  <property fmtid="{D5CDD505-2E9C-101B-9397-08002B2CF9AE}" pid="20" name="MSIP_Label_97c4f187-5e78-4ccc-ba06-bd72f8c5cc80_SiteId">
    <vt:lpwstr>34f1fd88-d36a-47a9-8619-30213cb4f586</vt:lpwstr>
  </property>
  <property fmtid="{D5CDD505-2E9C-101B-9397-08002B2CF9AE}" pid="21" name="MSIP_Label_97c4f187-5e78-4ccc-ba06-bd72f8c5cc80_ActionId">
    <vt:lpwstr>04092861-6dfc-4a20-870d-5cf4ae598824</vt:lpwstr>
  </property>
  <property fmtid="{D5CDD505-2E9C-101B-9397-08002B2CF9AE}" pid="22" name="MSIP_Label_97c4f187-5e78-4ccc-ba06-bd72f8c5cc80_ContentBits">
    <vt:lpwstr>0</vt:lpwstr>
  </property>
</Properties>
</file>