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BB409" w14:textId="77777777" w:rsidR="000B6EE3" w:rsidRPr="00C7380B" w:rsidRDefault="000B6EE3" w:rsidP="000B6E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380B">
        <w:rPr>
          <w:rFonts w:ascii="Times New Roman" w:hAnsi="Times New Roman" w:cs="Times New Roman"/>
          <w:sz w:val="24"/>
          <w:szCs w:val="24"/>
        </w:rPr>
        <w:t>Pranešimas spaudai</w:t>
      </w:r>
    </w:p>
    <w:p w14:paraId="7964BBA0" w14:textId="2E41857A" w:rsidR="000B6EE3" w:rsidRPr="000B6EE3" w:rsidRDefault="000B6EE3" w:rsidP="000B6E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380B">
        <w:rPr>
          <w:rFonts w:ascii="Times New Roman" w:hAnsi="Times New Roman" w:cs="Times New Roman"/>
          <w:sz w:val="24"/>
          <w:szCs w:val="24"/>
        </w:rPr>
        <w:t xml:space="preserve">2024 m. </w:t>
      </w:r>
      <w:r w:rsidR="00627AB9">
        <w:rPr>
          <w:rFonts w:ascii="Times New Roman" w:hAnsi="Times New Roman" w:cs="Times New Roman"/>
          <w:sz w:val="24"/>
          <w:szCs w:val="24"/>
        </w:rPr>
        <w:t>rugpjūčio</w:t>
      </w:r>
      <w:r w:rsidRPr="00C7380B">
        <w:rPr>
          <w:rFonts w:ascii="Times New Roman" w:hAnsi="Times New Roman" w:cs="Times New Roman"/>
          <w:sz w:val="24"/>
          <w:szCs w:val="24"/>
        </w:rPr>
        <w:t xml:space="preserve"> </w:t>
      </w:r>
      <w:r w:rsidR="00C92E62">
        <w:rPr>
          <w:rFonts w:ascii="Times New Roman" w:hAnsi="Times New Roman" w:cs="Times New Roman"/>
          <w:sz w:val="24"/>
          <w:szCs w:val="24"/>
        </w:rPr>
        <w:t>21</w:t>
      </w:r>
      <w:r w:rsidRPr="00C7380B">
        <w:rPr>
          <w:rFonts w:ascii="Times New Roman" w:hAnsi="Times New Roman" w:cs="Times New Roman"/>
          <w:sz w:val="24"/>
          <w:szCs w:val="24"/>
        </w:rPr>
        <w:t xml:space="preserve"> d.</w:t>
      </w:r>
    </w:p>
    <w:p w14:paraId="25856763" w14:textId="77777777" w:rsidR="000B6EE3" w:rsidRDefault="000B6EE3" w:rsidP="000B6EE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BA94450" w14:textId="486A8EC3" w:rsidR="00D77B62" w:rsidRPr="000B6EE3" w:rsidRDefault="00AE1C0D" w:rsidP="000B6EE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7AB9">
        <w:rPr>
          <w:rFonts w:ascii="Times New Roman" w:hAnsi="Times New Roman" w:cs="Times New Roman"/>
          <w:b/>
          <w:bCs/>
          <w:sz w:val="28"/>
          <w:szCs w:val="28"/>
        </w:rPr>
        <w:t>NT vystytojams nėra kada atsikvėpti: kelią skinasi nauja metodologija</w:t>
      </w:r>
    </w:p>
    <w:p w14:paraId="7205323A" w14:textId="05FF29BB" w:rsidR="006370B6" w:rsidRDefault="001306B0" w:rsidP="000B6EE3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lt-LT"/>
        </w:rPr>
      </w:pPr>
      <w:r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Renkantis nekilnojamąjį turtą</w:t>
      </w:r>
      <w:r w:rsidR="00A2561C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 xml:space="preserve"> </w:t>
      </w:r>
      <w:r w:rsidR="005D03F2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 xml:space="preserve">(NT) </w:t>
      </w:r>
      <w:r w:rsidR="00A2561C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Lietuvos gyventojams rūpi</w:t>
      </w:r>
      <w:r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 xml:space="preserve"> ne </w:t>
      </w:r>
      <w:r w:rsidR="005D03F2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vien</w:t>
      </w:r>
      <w:r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 xml:space="preserve"> jo kaina</w:t>
      </w:r>
      <w:r w:rsidR="00A2561C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, vieta ar plotas.</w:t>
      </w:r>
      <w:r w:rsidR="0031572A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 xml:space="preserve"> </w:t>
      </w:r>
      <w:r w:rsidR="00D75A9B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Daugiau nei pusei</w:t>
      </w:r>
      <w:r w:rsidR="0031572A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 xml:space="preserve"> respondentų</w:t>
      </w:r>
      <w:r w:rsidR="00D75A9B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 xml:space="preserve"> (55 proc.) svarbu, kad NT vystytoja</w:t>
      </w:r>
      <w:r w:rsidR="006370B6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i</w:t>
      </w:r>
      <w:r w:rsidR="00D75A9B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 xml:space="preserve"> turėtų išsikeltus aiškius tvarumo tikslus</w:t>
      </w:r>
      <w:r w:rsidR="006370B6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, rodo reprezentatyvi „</w:t>
      </w:r>
      <w:proofErr w:type="spellStart"/>
      <w:r w:rsidR="006370B6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Spinter</w:t>
      </w:r>
      <w:proofErr w:type="spellEnd"/>
      <w:r w:rsidR="006370B6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 xml:space="preserve"> tyrimai“ apklausa.</w:t>
      </w:r>
      <w:r w:rsidR="00307E37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 xml:space="preserve"> Pasak tvarumo eksperto, </w:t>
      </w:r>
      <w:r w:rsidR="002F2B37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nors</w:t>
      </w:r>
      <w:r w:rsidR="00273A3C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 xml:space="preserve"> </w:t>
      </w:r>
      <w:r w:rsidR="00CC607D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NT industrija viena pirmųjų</w:t>
      </w:r>
      <w:r w:rsidR="002F2B37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 xml:space="preserve"> </w:t>
      </w:r>
      <w:r w:rsidR="000F3996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Lietuvo</w:t>
      </w:r>
      <w:r w:rsidR="00CC607D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je savanoriškai</w:t>
      </w:r>
      <w:r w:rsidR="00715D15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 xml:space="preserve"> ėm</w:t>
      </w:r>
      <w:r w:rsidR="793E5543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ėsi</w:t>
      </w:r>
      <w:r w:rsidR="00715D15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 xml:space="preserve"> tvarumo principų įgyvendinimo, vis dar atsiliekame </w:t>
      </w:r>
      <w:r w:rsidR="0AD52D38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 xml:space="preserve">nuo </w:t>
      </w:r>
      <w:r w:rsidR="00715D15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kitų Europos šalių</w:t>
      </w:r>
      <w:r w:rsidR="000F3996" w:rsidRPr="17F1AC03"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.</w:t>
      </w:r>
    </w:p>
    <w:p w14:paraId="4AC0DC51" w14:textId="13544B6F" w:rsidR="00D72483" w:rsidRDefault="364372DA" w:rsidP="000B6EE3">
      <w:pPr>
        <w:jc w:val="both"/>
        <w:rPr>
          <w:rFonts w:ascii="Times New Roman" w:hAnsi="Times New Roman" w:cs="Times New Roman"/>
          <w:sz w:val="24"/>
          <w:szCs w:val="24"/>
          <w:lang w:eastAsia="lt-LT"/>
        </w:rPr>
      </w:pPr>
      <w:r w:rsidRPr="7B364D79">
        <w:rPr>
          <w:rFonts w:ascii="Times New Roman" w:hAnsi="Times New Roman" w:cs="Times New Roman"/>
          <w:sz w:val="24"/>
          <w:szCs w:val="24"/>
          <w:lang w:eastAsia="lt-LT"/>
        </w:rPr>
        <w:t>A</w:t>
      </w:r>
      <w:r w:rsidR="00FF4225" w:rsidRPr="7B364D79">
        <w:rPr>
          <w:rFonts w:ascii="Times New Roman" w:hAnsi="Times New Roman" w:cs="Times New Roman"/>
          <w:sz w:val="24"/>
          <w:szCs w:val="24"/>
          <w:lang w:eastAsia="lt-LT"/>
        </w:rPr>
        <w:t xml:space="preserve">pklausos metu šalies gyventojų klausta, kiek jiems svarbu, kad NT vystytojas, iš kurio planuotų rinktis </w:t>
      </w:r>
      <w:r w:rsidR="56403DAB" w:rsidRPr="7B364D79">
        <w:rPr>
          <w:rFonts w:ascii="Times New Roman" w:hAnsi="Times New Roman" w:cs="Times New Roman"/>
          <w:sz w:val="24"/>
          <w:szCs w:val="24"/>
          <w:lang w:eastAsia="lt-LT"/>
        </w:rPr>
        <w:t>būstą</w:t>
      </w:r>
      <w:r w:rsidR="00FF4225" w:rsidRPr="7B364D79">
        <w:rPr>
          <w:rFonts w:ascii="Times New Roman" w:hAnsi="Times New Roman" w:cs="Times New Roman"/>
          <w:sz w:val="24"/>
          <w:szCs w:val="24"/>
          <w:lang w:eastAsia="lt-LT"/>
        </w:rPr>
        <w:t xml:space="preserve">, turėtų išsikeltus aiškius tvarumo tikslus </w:t>
      </w:r>
      <w:r w:rsidR="00604FFB" w:rsidRPr="7B364D79">
        <w:rPr>
          <w:rFonts w:ascii="Times New Roman" w:hAnsi="Times New Roman" w:cs="Times New Roman"/>
          <w:sz w:val="24"/>
          <w:szCs w:val="24"/>
          <w:lang w:eastAsia="lt-LT"/>
        </w:rPr>
        <w:t>–</w:t>
      </w:r>
      <w:r w:rsidR="00FF4225" w:rsidRPr="7B364D79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604FFB" w:rsidRPr="7B364D79">
        <w:rPr>
          <w:rFonts w:ascii="Times New Roman" w:hAnsi="Times New Roman" w:cs="Times New Roman"/>
          <w:sz w:val="24"/>
          <w:szCs w:val="24"/>
          <w:lang w:eastAsia="lt-LT"/>
        </w:rPr>
        <w:t>aplinkosauginius, socialinius ir valdysenos. 13 proc. respondentų  NT vystytojo tvarumas yra labai svarbu, 42 proc. – greičiau svarbu</w:t>
      </w:r>
      <w:r w:rsidR="007C18C2" w:rsidRPr="7B364D79">
        <w:rPr>
          <w:rFonts w:ascii="Times New Roman" w:hAnsi="Times New Roman" w:cs="Times New Roman"/>
          <w:sz w:val="24"/>
          <w:szCs w:val="24"/>
          <w:lang w:eastAsia="lt-LT"/>
        </w:rPr>
        <w:t>.</w:t>
      </w:r>
    </w:p>
    <w:p w14:paraId="48BBBE4B" w14:textId="108D0863" w:rsidR="00E81F7C" w:rsidRDefault="007C18C2" w:rsidP="000B6EE3">
      <w:pPr>
        <w:jc w:val="both"/>
        <w:rPr>
          <w:rFonts w:ascii="Times New Roman" w:hAnsi="Times New Roman" w:cs="Times New Roman"/>
          <w:sz w:val="24"/>
          <w:szCs w:val="24"/>
          <w:lang w:eastAsia="lt-LT"/>
        </w:rPr>
      </w:pPr>
      <w:r>
        <w:rPr>
          <w:rFonts w:ascii="Times New Roman" w:hAnsi="Times New Roman" w:cs="Times New Roman"/>
          <w:sz w:val="24"/>
          <w:szCs w:val="24"/>
          <w:lang w:eastAsia="lt-LT"/>
        </w:rPr>
        <w:t>„</w:t>
      </w:r>
      <w:r w:rsidR="00DA71E8">
        <w:rPr>
          <w:rFonts w:ascii="Times New Roman" w:hAnsi="Times New Roman" w:cs="Times New Roman"/>
          <w:sz w:val="24"/>
          <w:szCs w:val="24"/>
          <w:lang w:eastAsia="lt-LT"/>
        </w:rPr>
        <w:t>Tvarumas skirtingose rinkose bei pramonės šakose</w:t>
      </w:r>
      <w:r w:rsidR="00F73FE8">
        <w:rPr>
          <w:rFonts w:ascii="Times New Roman" w:hAnsi="Times New Roman" w:cs="Times New Roman"/>
          <w:sz w:val="24"/>
          <w:szCs w:val="24"/>
          <w:lang w:eastAsia="lt-LT"/>
        </w:rPr>
        <w:t>, tarp jų ir NT,</w:t>
      </w:r>
      <w:r w:rsidR="00DA71E8">
        <w:rPr>
          <w:rFonts w:ascii="Times New Roman" w:hAnsi="Times New Roman" w:cs="Times New Roman"/>
          <w:sz w:val="24"/>
          <w:szCs w:val="24"/>
          <w:lang w:eastAsia="lt-LT"/>
        </w:rPr>
        <w:t xml:space="preserve"> įgauna formą ir aiškesn</w:t>
      </w:r>
      <w:r w:rsidR="00475761">
        <w:rPr>
          <w:rFonts w:ascii="Times New Roman" w:hAnsi="Times New Roman" w:cs="Times New Roman"/>
          <w:sz w:val="24"/>
          <w:szCs w:val="24"/>
          <w:lang w:eastAsia="lt-LT"/>
        </w:rPr>
        <w:t>į apibrėžimą dėl griežtėjančių Europos Komisijos</w:t>
      </w:r>
      <w:r w:rsidR="00B144DC">
        <w:rPr>
          <w:rFonts w:ascii="Times New Roman" w:hAnsi="Times New Roman" w:cs="Times New Roman"/>
          <w:sz w:val="24"/>
          <w:szCs w:val="24"/>
          <w:lang w:eastAsia="lt-LT"/>
        </w:rPr>
        <w:t xml:space="preserve"> (EK)</w:t>
      </w:r>
      <w:r w:rsidR="00475761">
        <w:rPr>
          <w:rFonts w:ascii="Times New Roman" w:hAnsi="Times New Roman" w:cs="Times New Roman"/>
          <w:sz w:val="24"/>
          <w:szCs w:val="24"/>
          <w:lang w:eastAsia="lt-LT"/>
        </w:rPr>
        <w:t xml:space="preserve"> išleistų reglamentų bei investuotojų lūkesčių. Vis dėlto, </w:t>
      </w:r>
      <w:r w:rsidR="00F73FE8">
        <w:rPr>
          <w:rFonts w:ascii="Times New Roman" w:hAnsi="Times New Roman" w:cs="Times New Roman"/>
          <w:sz w:val="24"/>
          <w:szCs w:val="24"/>
          <w:lang w:eastAsia="lt-LT"/>
        </w:rPr>
        <w:t>pokytis nėra vienpusis</w:t>
      </w:r>
      <w:r w:rsidR="00475761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E95C8E">
        <w:rPr>
          <w:rFonts w:ascii="Times New Roman" w:hAnsi="Times New Roman" w:cs="Times New Roman"/>
          <w:sz w:val="24"/>
          <w:szCs w:val="24"/>
          <w:lang w:eastAsia="lt-LT"/>
        </w:rPr>
        <w:t>–</w:t>
      </w:r>
      <w:r w:rsidR="00475761">
        <w:rPr>
          <w:rFonts w:ascii="Times New Roman" w:hAnsi="Times New Roman" w:cs="Times New Roman"/>
          <w:sz w:val="24"/>
          <w:szCs w:val="24"/>
          <w:lang w:eastAsia="lt-LT"/>
        </w:rPr>
        <w:t xml:space="preserve"> keičiasi</w:t>
      </w:r>
      <w:r w:rsidR="00E95C8E">
        <w:rPr>
          <w:rFonts w:ascii="Times New Roman" w:hAnsi="Times New Roman" w:cs="Times New Roman"/>
          <w:sz w:val="24"/>
          <w:szCs w:val="24"/>
          <w:lang w:eastAsia="lt-LT"/>
        </w:rPr>
        <w:t xml:space="preserve"> ir visuomenės branda, supratimas apie pastatus, jų poveikį žmonėms, miesto formavimui ir ateities kartoms</w:t>
      </w:r>
      <w:r w:rsidR="00C51A19">
        <w:rPr>
          <w:rFonts w:ascii="Times New Roman" w:hAnsi="Times New Roman" w:cs="Times New Roman"/>
          <w:sz w:val="24"/>
          <w:szCs w:val="24"/>
          <w:lang w:eastAsia="lt-LT"/>
        </w:rPr>
        <w:t>. Tą matome ir iš apklausos duomenų</w:t>
      </w:r>
      <w:r w:rsidR="00574472">
        <w:rPr>
          <w:rFonts w:ascii="Times New Roman" w:hAnsi="Times New Roman" w:cs="Times New Roman"/>
          <w:sz w:val="24"/>
          <w:szCs w:val="24"/>
          <w:lang w:eastAsia="lt-LT"/>
        </w:rPr>
        <w:t xml:space="preserve"> – NT tvarumu labiausiai domisi </w:t>
      </w:r>
      <w:r w:rsidR="00DD74CE">
        <w:rPr>
          <w:rFonts w:ascii="Times New Roman" w:hAnsi="Times New Roman" w:cs="Times New Roman"/>
          <w:sz w:val="24"/>
          <w:szCs w:val="24"/>
          <w:lang w:eastAsia="lt-LT"/>
        </w:rPr>
        <w:t xml:space="preserve">respondentai, turintys </w:t>
      </w:r>
      <w:r w:rsidR="00574472">
        <w:rPr>
          <w:rFonts w:ascii="Times New Roman" w:hAnsi="Times New Roman" w:cs="Times New Roman"/>
          <w:sz w:val="24"/>
          <w:szCs w:val="24"/>
          <w:lang w:eastAsia="lt-LT"/>
        </w:rPr>
        <w:t>aukšt</w:t>
      </w:r>
      <w:r w:rsidR="00DD74CE">
        <w:rPr>
          <w:rFonts w:ascii="Times New Roman" w:hAnsi="Times New Roman" w:cs="Times New Roman"/>
          <w:sz w:val="24"/>
          <w:szCs w:val="24"/>
          <w:lang w:eastAsia="lt-LT"/>
        </w:rPr>
        <w:t>ąjį</w:t>
      </w:r>
      <w:r w:rsidR="00574472">
        <w:rPr>
          <w:rFonts w:ascii="Times New Roman" w:hAnsi="Times New Roman" w:cs="Times New Roman"/>
          <w:sz w:val="24"/>
          <w:szCs w:val="24"/>
          <w:lang w:eastAsia="lt-LT"/>
        </w:rPr>
        <w:t xml:space="preserve"> išsilavinim</w:t>
      </w:r>
      <w:r w:rsidR="00DD74CE">
        <w:rPr>
          <w:rFonts w:ascii="Times New Roman" w:hAnsi="Times New Roman" w:cs="Times New Roman"/>
          <w:sz w:val="24"/>
          <w:szCs w:val="24"/>
          <w:lang w:eastAsia="lt-LT"/>
        </w:rPr>
        <w:t>ą</w:t>
      </w:r>
      <w:r w:rsidR="00574472">
        <w:rPr>
          <w:rFonts w:ascii="Times New Roman" w:hAnsi="Times New Roman" w:cs="Times New Roman"/>
          <w:sz w:val="24"/>
          <w:szCs w:val="24"/>
          <w:lang w:eastAsia="lt-LT"/>
        </w:rPr>
        <w:t>, didmiesči</w:t>
      </w:r>
      <w:r w:rsidR="00DD74CE">
        <w:rPr>
          <w:rFonts w:ascii="Times New Roman" w:hAnsi="Times New Roman" w:cs="Times New Roman"/>
          <w:sz w:val="24"/>
          <w:szCs w:val="24"/>
          <w:lang w:eastAsia="lt-LT"/>
        </w:rPr>
        <w:t>ų</w:t>
      </w:r>
      <w:r w:rsidR="00574472">
        <w:rPr>
          <w:rFonts w:ascii="Times New Roman" w:hAnsi="Times New Roman" w:cs="Times New Roman"/>
          <w:sz w:val="24"/>
          <w:szCs w:val="24"/>
          <w:lang w:eastAsia="lt-LT"/>
        </w:rPr>
        <w:t xml:space="preserve"> gyventojai</w:t>
      </w:r>
      <w:r w:rsidR="00F73FE8">
        <w:rPr>
          <w:rFonts w:ascii="Times New Roman" w:hAnsi="Times New Roman" w:cs="Times New Roman"/>
          <w:sz w:val="24"/>
          <w:szCs w:val="24"/>
          <w:lang w:eastAsia="lt-LT"/>
        </w:rPr>
        <w:t xml:space="preserve">“, – komentuoja „Vesta </w:t>
      </w:r>
      <w:proofErr w:type="spellStart"/>
      <w:r w:rsidR="00F73FE8">
        <w:rPr>
          <w:rFonts w:ascii="Times New Roman" w:hAnsi="Times New Roman" w:cs="Times New Roman"/>
          <w:sz w:val="24"/>
          <w:szCs w:val="24"/>
          <w:lang w:eastAsia="lt-LT"/>
        </w:rPr>
        <w:t>Consulting</w:t>
      </w:r>
      <w:proofErr w:type="spellEnd"/>
      <w:r w:rsidR="00F73FE8">
        <w:rPr>
          <w:rFonts w:ascii="Times New Roman" w:hAnsi="Times New Roman" w:cs="Times New Roman"/>
          <w:sz w:val="24"/>
          <w:szCs w:val="24"/>
          <w:lang w:eastAsia="lt-LT"/>
        </w:rPr>
        <w:t>“ įkūrėjas</w:t>
      </w:r>
      <w:r w:rsidR="00876E11">
        <w:rPr>
          <w:rFonts w:ascii="Times New Roman" w:hAnsi="Times New Roman" w:cs="Times New Roman"/>
          <w:sz w:val="24"/>
          <w:szCs w:val="24"/>
          <w:lang w:eastAsia="lt-LT"/>
        </w:rPr>
        <w:t xml:space="preserve"> ir vadovas Evaldas Savi</w:t>
      </w:r>
      <w:r w:rsidR="00E81F7C">
        <w:rPr>
          <w:rFonts w:ascii="Times New Roman" w:hAnsi="Times New Roman" w:cs="Times New Roman"/>
          <w:sz w:val="24"/>
          <w:szCs w:val="24"/>
          <w:lang w:eastAsia="lt-LT"/>
        </w:rPr>
        <w:t>ckis.</w:t>
      </w:r>
    </w:p>
    <w:p w14:paraId="2F903F7D" w14:textId="2FBB69CD" w:rsidR="006E2E18" w:rsidRPr="006E2E18" w:rsidRDefault="001B2EB7" w:rsidP="000B6EE3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lt-LT"/>
        </w:rPr>
        <w:t>Tvarumas vertinamas vis platesne apimtimi</w:t>
      </w:r>
    </w:p>
    <w:p w14:paraId="7F0ACFAD" w14:textId="5C325374" w:rsidR="00E81F7C" w:rsidRDefault="006E2E18" w:rsidP="000B6EE3">
      <w:pPr>
        <w:jc w:val="both"/>
        <w:rPr>
          <w:rFonts w:ascii="Times New Roman" w:hAnsi="Times New Roman" w:cs="Times New Roman"/>
          <w:sz w:val="24"/>
          <w:szCs w:val="24"/>
          <w:lang w:eastAsia="lt-LT"/>
        </w:rPr>
      </w:pPr>
      <w:r>
        <w:rPr>
          <w:rFonts w:ascii="Times New Roman" w:hAnsi="Times New Roman" w:cs="Times New Roman"/>
          <w:sz w:val="24"/>
          <w:szCs w:val="24"/>
          <w:lang w:eastAsia="lt-LT"/>
        </w:rPr>
        <w:t>Pašnekov</w:t>
      </w:r>
      <w:r w:rsidR="00D36D71">
        <w:rPr>
          <w:rFonts w:ascii="Times New Roman" w:hAnsi="Times New Roman" w:cs="Times New Roman"/>
          <w:sz w:val="24"/>
          <w:szCs w:val="24"/>
          <w:lang w:eastAsia="lt-LT"/>
        </w:rPr>
        <w:t>o teigimu</w:t>
      </w:r>
      <w:r w:rsidR="002F2B37">
        <w:rPr>
          <w:rFonts w:ascii="Times New Roman" w:hAnsi="Times New Roman" w:cs="Times New Roman"/>
          <w:sz w:val="24"/>
          <w:szCs w:val="24"/>
          <w:lang w:eastAsia="lt-LT"/>
        </w:rPr>
        <w:t xml:space="preserve">, NT </w:t>
      </w:r>
      <w:r w:rsidR="00A91571">
        <w:rPr>
          <w:rFonts w:ascii="Times New Roman" w:hAnsi="Times New Roman" w:cs="Times New Roman"/>
          <w:sz w:val="24"/>
          <w:szCs w:val="24"/>
          <w:lang w:eastAsia="lt-LT"/>
        </w:rPr>
        <w:t>vystytojai Lietuvoje buvo vieni pirmųjų, kurie</w:t>
      </w:r>
      <w:r w:rsidR="009E6E9E">
        <w:rPr>
          <w:rFonts w:ascii="Times New Roman" w:hAnsi="Times New Roman" w:cs="Times New Roman"/>
          <w:sz w:val="24"/>
          <w:szCs w:val="24"/>
          <w:lang w:eastAsia="lt-LT"/>
        </w:rPr>
        <w:t xml:space="preserve"> ėmėsi savanoriškai į rinką įvesti tvaraus vystymo principus. Tam didelę įtaką turėjo</w:t>
      </w:r>
      <w:r w:rsidR="00311194">
        <w:rPr>
          <w:rFonts w:ascii="Times New Roman" w:hAnsi="Times New Roman" w:cs="Times New Roman"/>
          <w:sz w:val="24"/>
          <w:szCs w:val="24"/>
          <w:lang w:eastAsia="lt-LT"/>
        </w:rPr>
        <w:t xml:space="preserve"> šalyje ve</w:t>
      </w:r>
      <w:r w:rsidR="00212B00">
        <w:rPr>
          <w:rFonts w:ascii="Times New Roman" w:hAnsi="Times New Roman" w:cs="Times New Roman"/>
          <w:sz w:val="24"/>
          <w:szCs w:val="24"/>
          <w:lang w:eastAsia="lt-LT"/>
        </w:rPr>
        <w:t>iklą pradėjusios</w:t>
      </w:r>
      <w:r w:rsidR="009E6E9E">
        <w:rPr>
          <w:rFonts w:ascii="Times New Roman" w:hAnsi="Times New Roman" w:cs="Times New Roman"/>
          <w:sz w:val="24"/>
          <w:szCs w:val="24"/>
          <w:lang w:eastAsia="lt-LT"/>
        </w:rPr>
        <w:t xml:space="preserve"> Skandinavijos kapitalo NT vystymo bendrovės</w:t>
      </w:r>
      <w:r w:rsidR="00311194">
        <w:rPr>
          <w:rFonts w:ascii="Times New Roman" w:hAnsi="Times New Roman" w:cs="Times New Roman"/>
          <w:sz w:val="24"/>
          <w:szCs w:val="24"/>
          <w:lang w:eastAsia="lt-LT"/>
        </w:rPr>
        <w:t>.</w:t>
      </w:r>
    </w:p>
    <w:p w14:paraId="41A1E979" w14:textId="53A1064A" w:rsidR="005D0C21" w:rsidRDefault="00CA7443" w:rsidP="000B6EE3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lang w:eastAsia="lt-LT"/>
        </w:rPr>
        <w:t>„Jau prie</w:t>
      </w:r>
      <w:r w:rsidR="13F220AD">
        <w:rPr>
          <w:rFonts w:ascii="Times New Roman" w:hAnsi="Times New Roman" w:cs="Times New Roman"/>
          <w:sz w:val="24"/>
          <w:szCs w:val="24"/>
          <w:lang w:eastAsia="lt-LT"/>
        </w:rPr>
        <w:t>š</w:t>
      </w:r>
      <w:r>
        <w:rPr>
          <w:rFonts w:ascii="Times New Roman" w:hAnsi="Times New Roman" w:cs="Times New Roman"/>
          <w:sz w:val="24"/>
          <w:szCs w:val="24"/>
          <w:lang w:eastAsia="lt-LT"/>
        </w:rPr>
        <w:t xml:space="preserve"> 10-12 metų </w:t>
      </w:r>
      <w:r w:rsidR="00212B00">
        <w:rPr>
          <w:rFonts w:ascii="Times New Roman" w:hAnsi="Times New Roman" w:cs="Times New Roman"/>
          <w:sz w:val="24"/>
          <w:szCs w:val="24"/>
          <w:lang w:eastAsia="lt-LT"/>
        </w:rPr>
        <w:t xml:space="preserve">pažangūs </w:t>
      </w:r>
      <w:r>
        <w:rPr>
          <w:rFonts w:ascii="Times New Roman" w:hAnsi="Times New Roman" w:cs="Times New Roman"/>
          <w:sz w:val="24"/>
          <w:szCs w:val="24"/>
          <w:lang w:eastAsia="lt-LT"/>
        </w:rPr>
        <w:t>NT vystytojai Lietuvoje pradėjo projektuoti</w:t>
      </w:r>
      <w:r w:rsidR="002E4C22">
        <w:rPr>
          <w:rFonts w:ascii="Times New Roman" w:hAnsi="Times New Roman" w:cs="Times New Roman"/>
          <w:sz w:val="24"/>
          <w:szCs w:val="24"/>
          <w:lang w:eastAsia="lt-LT"/>
        </w:rPr>
        <w:t xml:space="preserve"> ir statyti </w:t>
      </w:r>
      <w:r w:rsidR="00DA5B71">
        <w:rPr>
          <w:rFonts w:ascii="Times New Roman" w:hAnsi="Times New Roman" w:cs="Times New Roman"/>
          <w:sz w:val="24"/>
          <w:szCs w:val="24"/>
          <w:lang w:eastAsia="lt-LT"/>
        </w:rPr>
        <w:t xml:space="preserve">tvaresnius </w:t>
      </w:r>
      <w:r w:rsidR="002E4C22">
        <w:rPr>
          <w:rFonts w:ascii="Times New Roman" w:hAnsi="Times New Roman" w:cs="Times New Roman"/>
          <w:sz w:val="24"/>
          <w:szCs w:val="24"/>
          <w:lang w:eastAsia="lt-LT"/>
        </w:rPr>
        <w:t xml:space="preserve">pastatus, atitinkančius pasaulyje plačiai naudojamus bei pripažintus </w:t>
      </w:r>
      <w:r w:rsidR="00A27770">
        <w:rPr>
          <w:rFonts w:ascii="Times New Roman" w:hAnsi="Times New Roman" w:cs="Times New Roman"/>
          <w:sz w:val="24"/>
          <w:szCs w:val="24"/>
          <w:lang w:eastAsia="lt-LT"/>
        </w:rPr>
        <w:t xml:space="preserve">pastatų tvarumo standartus BREEAM ar LEED. Per šį laikotarpį NT </w:t>
      </w:r>
      <w:r w:rsidR="00343106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rinkos dalyviai, nuo projektuotojų iki statybinių medžiagų gamintojų ir rangov</w:t>
      </w:r>
      <w:r w:rsidR="005D0C2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ų</w:t>
      </w:r>
      <w:r w:rsidR="00343106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r w:rsidR="005D0C2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gerai </w:t>
      </w:r>
      <w:r w:rsidR="00343106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įsisavino pastatų tvarumo principus</w:t>
      </w:r>
      <w:r w:rsidR="005D0C2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ir </w:t>
      </w:r>
      <w:r w:rsidR="00DA5B7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sėkmingai diegia </w:t>
      </w:r>
      <w:r w:rsidR="005D0C2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juos į</w:t>
      </w:r>
      <w:r w:rsidR="00343106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savo vidinius procesus, projektavimo, statybos bei gamybos standartus. O tai iš esmės pradėjo keisti </w:t>
      </w:r>
      <w:r w:rsidR="005D0C2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ir visą </w:t>
      </w:r>
      <w:r w:rsidR="00343106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NT sektorių</w:t>
      </w:r>
      <w:r w:rsidR="005D0C2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“, – sako E. Savickis.</w:t>
      </w:r>
    </w:p>
    <w:p w14:paraId="7C5AB5AC" w14:textId="210C2F04" w:rsidR="005D0C21" w:rsidRDefault="00E838CF" w:rsidP="000B6EE3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Įsitvirtinusius t</w:t>
      </w:r>
      <w:r w:rsidR="005D0C2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varumo</w:t>
      </w:r>
      <w:r w:rsidR="00FF0ECE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principus NT rinkoje atspindi ne tik išskirtinė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pastatų </w:t>
      </w:r>
      <w:r w:rsidR="00FF0ECE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architektūra, bet ir inžineriniai bei technologiniai sprendimai</w:t>
      </w:r>
      <w:r w:rsidR="0076090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, žalumo ir bioįvairovės principų diegimas</w:t>
      </w:r>
      <w:r w:rsidR="001602A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į naujų ar renovuojamų pastatų aplinką.</w:t>
      </w:r>
    </w:p>
    <w:p w14:paraId="4F6C0C72" w14:textId="0F606E8F" w:rsidR="001602AF" w:rsidRDefault="00A9042A" w:rsidP="000B6EE3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Pasak E. Savickio,</w:t>
      </w:r>
      <w:r w:rsidR="00CC0FF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pastatų sertifikavimas pagal tvarumo standartus (BREEAM, LEED, WELL ir kt.) seniai nebėra naujiena – tai tampa nusistovėjusia praktika Baltijos šalių NT rinkoje. Vis dėlto ir šioje srityje yra pokyčių.</w:t>
      </w:r>
    </w:p>
    <w:p w14:paraId="328ACD23" w14:textId="611BDF97" w:rsidR="00077B66" w:rsidRDefault="00CC0FFC" w:rsidP="000B6EE3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„</w:t>
      </w:r>
      <w:r w:rsidR="00DB73D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Stebime naują tendenciją Baltijos šalių rinkose – tvarumas yra vertinamas vis platesne apimti</w:t>
      </w:r>
      <w:r w:rsidR="4203CD6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mi</w:t>
      </w:r>
      <w:r w:rsidR="00DB73D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. Patys </w:t>
      </w:r>
      <w:r w:rsidR="00CD7BD9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instituciniai investuotojai, svarstantys apie investavimą į NT įmonės naujų projektų vystymą, rūpinasi ne tik pastat</w:t>
      </w:r>
      <w:r w:rsidR="0046401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o</w:t>
      </w:r>
      <w:r w:rsidR="00CD7BD9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, tačiau ir bendrovės tvarumu. </w:t>
      </w:r>
      <w:r w:rsidR="00DB73D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Jau</w:t>
      </w:r>
      <w:r w:rsidR="00CD7BD9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nebeužtenka parodyti, kad bendrovės kuriamas produktas yra tvarus ir atitinka tvarumo standartus</w:t>
      </w:r>
      <w:r w:rsidR="00DB73D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, būtina</w:t>
      </w:r>
      <w:r w:rsidR="00077B6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atskleisti ir pagrįsti informaciją apie pačios </w:t>
      </w:r>
      <w:r w:rsidR="00CD7BD9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bendrovės valdymo kultūrą, sprendimų priėmimo principus, įdiegtus standartus, politikas ir strateginius tikslus</w:t>
      </w:r>
      <w:r w:rsidR="00077B6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“, – vardina jis.</w:t>
      </w:r>
    </w:p>
    <w:p w14:paraId="3950BD61" w14:textId="2CDCCFB3" w:rsidR="00F51F1F" w:rsidRDefault="00B34FF4" w:rsidP="000B6EE3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Investuotojams vis labiau rūpi, kaip organizacija </w:t>
      </w:r>
      <w:r w:rsidR="00E271B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valdo rizikas – verslo tęstinumo, socialines, geopolitines, klimato kaitos ir kt., kas kuruoja tvarumo ir </w:t>
      </w:r>
      <w:r w:rsidR="00814B8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aplinkosaugines, socialines bei valdysenos (angl. </w:t>
      </w:r>
      <w:r w:rsidR="00E271B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ESG</w:t>
      </w:r>
      <w:r w:rsidR="00814B8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) veiklas</w:t>
      </w:r>
      <w:r w:rsidR="00E271B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,</w:t>
      </w:r>
      <w:r w:rsidR="00B144D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kaip užtikrinamas atitikimas EK reglamentams bei direktyvoms</w:t>
      </w:r>
      <w:r w:rsidR="00F237D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(CSRD, SFDR, Taksonomijos ir kt.). Tai yra visai kito lygio įsipareigojimai ir informacijos atskleidimai, kas reikalauja</w:t>
      </w:r>
      <w:r w:rsidR="009E52F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brandaus organizacijos valdymo ir planavimo.</w:t>
      </w:r>
      <w:r w:rsidR="00321B8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</w:p>
    <w:p w14:paraId="234BF0D2" w14:textId="2CFE3114" w:rsidR="00F51F1F" w:rsidRPr="00F51F1F" w:rsidRDefault="00B40CB4" w:rsidP="000B6EE3">
      <w:pPr>
        <w:jc w:val="both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lastRenderedPageBreak/>
        <w:t>Kelią skinasi nauja metodologija</w:t>
      </w:r>
    </w:p>
    <w:p w14:paraId="6B0EABC5" w14:textId="02EA254A" w:rsidR="00077B66" w:rsidRDefault="00321B84" w:rsidP="000B6EE3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Dėl </w:t>
      </w:r>
      <w:r w:rsidR="00F51F1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augančių reikalavimų atskleisti su tvarumu susijusią informaciją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NT rinkoje pamažu įsitvirtina GRESB metodologija, skirta įvertinti NT sektoriuje veikiančių įmonių tvarumo lygį</w:t>
      </w:r>
      <w:r w:rsidR="00E74DD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ir atlikti lyginamąją analizę (angl. </w:t>
      </w:r>
      <w:proofErr w:type="spellStart"/>
      <w:r w:rsidR="00E74DD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benchmark</w:t>
      </w:r>
      <w:proofErr w:type="spellEnd"/>
      <w:r w:rsidR="00E74DD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).</w:t>
      </w:r>
    </w:p>
    <w:p w14:paraId="6477615E" w14:textId="02F47F14" w:rsidR="007406D8" w:rsidRDefault="009E52F6" w:rsidP="000B6EE3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„</w:t>
      </w:r>
      <w:r w:rsidR="00B32A8E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GRESB tampa labai svarbiu instrumentu </w:t>
      </w:r>
      <w:r w:rsidR="00A375B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NT</w:t>
      </w:r>
      <w:r w:rsidR="00B32A8E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bendrovėms, kuris puikiai suderintas su privalomaisiais E</w:t>
      </w:r>
      <w:r w:rsidR="00DA5B7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uropos komisijos</w:t>
      </w:r>
      <w:r w:rsidR="00B32A8E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išleistais ESG atskleidimo reglamentais bei direktyvomis. </w:t>
      </w:r>
      <w:r w:rsidR="008B781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Šį standartą vis dažniau renkasi ir </w:t>
      </w:r>
      <w:r w:rsidR="00B32A8E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Lietuvos</w:t>
      </w:r>
      <w:r w:rsidR="008B781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bei kitų</w:t>
      </w:r>
      <w:r w:rsidR="00B32A8E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Baltijos šalių NT įmonės</w:t>
      </w:r>
      <w:r w:rsidR="008B781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, kad atskleistų</w:t>
      </w:r>
      <w:r w:rsidR="007406D8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su tvarumu susijusią informaciją ir stiprintų savo reputaciją bei konkurencingumą tarp kitų rinkos dalyvių“, – teigia „Vesta </w:t>
      </w:r>
      <w:proofErr w:type="spellStart"/>
      <w:r w:rsidR="007406D8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Consulting</w:t>
      </w:r>
      <w:proofErr w:type="spellEnd"/>
      <w:r w:rsidR="007406D8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“ vadovas.</w:t>
      </w:r>
    </w:p>
    <w:p w14:paraId="0E110B0D" w14:textId="31E18A25" w:rsidR="007E78D5" w:rsidRDefault="00D26D9A" w:rsidP="000B6EE3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Tačiau </w:t>
      </w:r>
      <w:r w:rsidR="0DE338C3" w:rsidRPr="39710D03">
        <w:rPr>
          <w:rFonts w:ascii="Times New Roman" w:hAnsi="Times New Roman" w:cs="Times New Roman"/>
          <w:sz w:val="24"/>
          <w:szCs w:val="24"/>
        </w:rPr>
        <w:t>dar yra</w:t>
      </w:r>
      <w:r w:rsidR="0DE338C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kur pasistengti, pastebi jis</w:t>
      </w:r>
      <w:r w:rsidR="007E78D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. P</w:t>
      </w:r>
      <w:r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raėjusiais m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etais daugiau kaip 2</w:t>
      </w:r>
      <w:r w:rsidR="00A5709C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tūkst. NT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 įmonių</w:t>
      </w:r>
      <w:r w:rsidR="007E78D5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visame pasaulyje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nusprendė atskleisti savo ESG rezultatus ir siekti GRESB įvertinimo. Didžioji dalis, daugiau kaip 1</w:t>
      </w:r>
      <w:r w:rsidR="00A5709C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tūkst.</w:t>
      </w:r>
      <w:r w:rsidRPr="39710D03">
        <w:rPr>
          <w:rFonts w:ascii="Times New Roman" w:hAnsi="Times New Roman" w:cs="Times New Roman"/>
          <w:sz w:val="24"/>
          <w:szCs w:val="24"/>
        </w:rPr>
        <w:t xml:space="preserve"> NT įmonių, yra registruotos Europoje, tuo tarpu </w:t>
      </w:r>
      <w:r w:rsidR="46331697" w:rsidRPr="39710D03">
        <w:rPr>
          <w:rFonts w:ascii="Times New Roman" w:hAnsi="Times New Roman" w:cs="Times New Roman"/>
          <w:sz w:val="24"/>
          <w:szCs w:val="24"/>
        </w:rPr>
        <w:t xml:space="preserve">iš </w:t>
      </w:r>
      <w:r w:rsidRPr="39710D03">
        <w:rPr>
          <w:rFonts w:ascii="Times New Roman" w:hAnsi="Times New Roman" w:cs="Times New Roman"/>
          <w:sz w:val="24"/>
          <w:szCs w:val="24"/>
        </w:rPr>
        <w:t xml:space="preserve">JAV buvo 433 įmonės, iš Australijos – 134, Japonijos – 135. </w:t>
      </w:r>
    </w:p>
    <w:p w14:paraId="74402807" w14:textId="01176E56" w:rsidR="007E78D5" w:rsidRDefault="00234C53" w:rsidP="000B6EE3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„</w:t>
      </w:r>
      <w:r w:rsidR="00A1432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Jungtinė Karalystė tvirtai už</w:t>
      </w:r>
      <w:r w:rsidR="00F014F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ėmė</w:t>
      </w:r>
      <w:r w:rsidR="00A1432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lyderės poziciją Europoje – net 285 </w:t>
      </w:r>
      <w:r w:rsidR="00F1037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šios šalies </w:t>
      </w:r>
      <w:r w:rsidR="00A5709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NT </w:t>
      </w:r>
      <w:r w:rsidR="00F1037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įmonės atsklei</w:t>
      </w:r>
      <w:r w:rsidR="00F014F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dė</w:t>
      </w:r>
      <w:r w:rsidR="00F1037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ESG rodiklius. Kiek mažesnės apimtys Vokietijoje (115 įmonių) ir Italijoje (95). Tuo tarpu Baltijos šalių </w:t>
      </w:r>
      <w:r w:rsidR="00A5709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NT vystytojų</w:t>
      </w:r>
      <w:r w:rsidR="00C550A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statistika yra gana kukli – Lietuvoje ESG rodiklius atskleid</w:t>
      </w:r>
      <w:r w:rsidR="005B2D9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ė</w:t>
      </w:r>
      <w:r w:rsidR="00C550A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tik 2 įmonės, Estijoje – 1, o Latvijoje </w:t>
      </w:r>
      <w:r w:rsidR="005B2D9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– nė viena</w:t>
      </w:r>
      <w:r w:rsidR="00C550A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“, – vardina E. Savickis.</w:t>
      </w:r>
    </w:p>
    <w:p w14:paraId="2E244DC5" w14:textId="347D8BC7" w:rsidR="00A82547" w:rsidRDefault="009362D4" w:rsidP="000B6EE3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Pašnekovo teigimu, priežastis paprasta</w:t>
      </w:r>
      <w:r w:rsidR="005B2D9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:</w:t>
      </w:r>
      <w:r w:rsidR="00D26D9A"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Baltijos šalys yra gana mažos ir nepatrauklios dėl savo rinkos dydžio didiesiems NT investuotojams, veikiantiems globalioje rinkoje ir reikalaujantiems ESG duomenų iš potencialiai investuojamų subjektų. </w:t>
      </w:r>
      <w:r w:rsidR="00A8254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Vis dėlto, situacija po truputį keičiasi, įsitikinęs jis: „Lietuvos NT vystytojai pradeda domėtis GRESB standartu. Tėra laiko klausimas, kada </w:t>
      </w:r>
      <w:r w:rsidR="00316C0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dauguma šalyje veikiančių </w:t>
      </w:r>
      <w:r w:rsidR="00A8254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NT vystytoj</w:t>
      </w:r>
      <w:r w:rsidR="00316C0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ų</w:t>
      </w:r>
      <w:r w:rsidR="00A8254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privalės atsigręžti į </w:t>
      </w:r>
      <w:r w:rsidR="00B12D8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šią metodologiją</w:t>
      </w:r>
      <w:r w:rsidR="00A8254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.“</w:t>
      </w:r>
    </w:p>
    <w:p w14:paraId="75C41E71" w14:textId="4F681F11" w:rsidR="00A92F72" w:rsidRDefault="00A92F72" w:rsidP="000B6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Balandžio 17-25 d. </w:t>
      </w:r>
      <w:r w:rsidR="00316C0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„</w:t>
      </w:r>
      <w:proofErr w:type="spellStart"/>
      <w:r w:rsidR="00316C0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Spinter</w:t>
      </w:r>
      <w:proofErr w:type="spellEnd"/>
      <w:r w:rsidR="00316C0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tyrim</w:t>
      </w:r>
      <w:r w:rsidR="631BB4C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ų</w:t>
      </w:r>
      <w:r w:rsidR="00316C0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“ vykdytos apklausos duomenimis,</w:t>
      </w:r>
      <w:r w:rsidR="000F14E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NT vystytojo išsikelti tvarumo tikslai visiškai nesvarbūs 11 proc., greičiau nesvarbūs – 15 proc. respondentų. Į klausimą negalėjo atsakyti 19 proc. apklaustųjų. Apklausoje dalyvavo </w:t>
      </w:r>
      <w:r>
        <w:rPr>
          <w:rFonts w:ascii="Times New Roman" w:hAnsi="Times New Roman" w:cs="Times New Roman"/>
          <w:sz w:val="24"/>
          <w:szCs w:val="24"/>
        </w:rPr>
        <w:t>1015 respondentų nuo 18 iki 75 metų amžiaus.</w:t>
      </w:r>
    </w:p>
    <w:p w14:paraId="24ECD301" w14:textId="62241FA6" w:rsidR="00D75A9B" w:rsidRPr="00A6076F" w:rsidRDefault="00D75A9B" w:rsidP="000B6EE3">
      <w:pPr>
        <w:jc w:val="both"/>
        <w:rPr>
          <w:rFonts w:ascii="Times New Roman" w:hAnsi="Times New Roman" w:cs="Times New Roman"/>
          <w:sz w:val="24"/>
          <w:szCs w:val="24"/>
          <w:lang w:eastAsia="lt-LT"/>
        </w:rPr>
      </w:pPr>
    </w:p>
    <w:p w14:paraId="5F1EE590" w14:textId="77777777" w:rsidR="00D77B62" w:rsidRDefault="00D77B62" w:rsidP="000B6EE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p w14:paraId="38AD04DE" w14:textId="77777777" w:rsidR="005030D9" w:rsidRPr="005030D9" w:rsidRDefault="005030D9" w:rsidP="000B6EE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p w14:paraId="4E58495F" w14:textId="0C426A1B" w:rsidR="00B20ED1" w:rsidRPr="00C924C4" w:rsidRDefault="00B20ED1" w:rsidP="000B6EE3">
      <w:pPr>
        <w:jc w:val="both"/>
        <w:rPr>
          <w:rFonts w:ascii="Times New Roman" w:hAnsi="Times New Roman" w:cs="Times New Roman"/>
          <w:sz w:val="24"/>
          <w:szCs w:val="24"/>
          <w:lang w:eastAsia="lt-LT"/>
        </w:rPr>
      </w:pPr>
      <w:r w:rsidRPr="00C924C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14:paraId="484862F6" w14:textId="77777777" w:rsidR="00E030A8" w:rsidRPr="00DA732D" w:rsidRDefault="00E030A8" w:rsidP="000B6EE3">
      <w:pPr>
        <w:jc w:val="both"/>
        <w:rPr>
          <w:rFonts w:ascii="Times New Roman" w:hAnsi="Times New Roman" w:cs="Times New Roman"/>
          <w:sz w:val="24"/>
          <w:szCs w:val="24"/>
          <w:lang w:eastAsia="lt-LT"/>
        </w:rPr>
      </w:pPr>
    </w:p>
    <w:sectPr w:rsidR="00E030A8" w:rsidRPr="00DA732D" w:rsidSect="000B6EE3">
      <w:headerReference w:type="default" r:id="rId10"/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C1C3D" w14:textId="77777777" w:rsidR="00073B31" w:rsidRDefault="00073B31" w:rsidP="000B6EE3">
      <w:pPr>
        <w:spacing w:after="0" w:line="240" w:lineRule="auto"/>
      </w:pPr>
      <w:r>
        <w:separator/>
      </w:r>
    </w:p>
  </w:endnote>
  <w:endnote w:type="continuationSeparator" w:id="0">
    <w:p w14:paraId="629514B4" w14:textId="77777777" w:rsidR="00073B31" w:rsidRDefault="00073B31" w:rsidP="000B6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EA6FC" w14:textId="77777777" w:rsidR="00073B31" w:rsidRDefault="00073B31" w:rsidP="000B6EE3">
      <w:pPr>
        <w:spacing w:after="0" w:line="240" w:lineRule="auto"/>
      </w:pPr>
      <w:r>
        <w:separator/>
      </w:r>
    </w:p>
  </w:footnote>
  <w:footnote w:type="continuationSeparator" w:id="0">
    <w:p w14:paraId="5AC8B9D9" w14:textId="77777777" w:rsidR="00073B31" w:rsidRDefault="00073B31" w:rsidP="000B6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90272" w14:textId="3FAB5592" w:rsidR="000B6EE3" w:rsidRDefault="000B6EE3" w:rsidP="000B6EE3">
    <w:pPr>
      <w:pStyle w:val="Header"/>
      <w:jc w:val="right"/>
    </w:pPr>
    <w:r>
      <w:rPr>
        <w:noProof/>
      </w:rPr>
      <w:drawing>
        <wp:inline distT="0" distB="0" distL="0" distR="0" wp14:anchorId="2AFEA2B3" wp14:editId="05B46CA5">
          <wp:extent cx="2764155" cy="434340"/>
          <wp:effectExtent l="0" t="0" r="0" b="3810"/>
          <wp:docPr id="737195519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7195519" name="Picture 2" descr="A black background with a black square&#10;&#10;Description automatically generated with medium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4155" cy="434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F274F3"/>
    <w:multiLevelType w:val="multilevel"/>
    <w:tmpl w:val="E2522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AA602C"/>
    <w:multiLevelType w:val="hybridMultilevel"/>
    <w:tmpl w:val="78FAB5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1397866">
    <w:abstractNumId w:val="0"/>
  </w:num>
  <w:num w:numId="2" w16cid:durableId="10799115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0D9"/>
    <w:rsid w:val="00045ED0"/>
    <w:rsid w:val="000674D1"/>
    <w:rsid w:val="00073B31"/>
    <w:rsid w:val="00077B66"/>
    <w:rsid w:val="000B6EE3"/>
    <w:rsid w:val="000D0440"/>
    <w:rsid w:val="000E78D3"/>
    <w:rsid w:val="000F14EC"/>
    <w:rsid w:val="000F3996"/>
    <w:rsid w:val="0011533F"/>
    <w:rsid w:val="001306B0"/>
    <w:rsid w:val="001602AF"/>
    <w:rsid w:val="0019317A"/>
    <w:rsid w:val="00197C11"/>
    <w:rsid w:val="001B2EB7"/>
    <w:rsid w:val="001B4882"/>
    <w:rsid w:val="001B66CC"/>
    <w:rsid w:val="00212B00"/>
    <w:rsid w:val="00212CB0"/>
    <w:rsid w:val="00234C53"/>
    <w:rsid w:val="00273A3C"/>
    <w:rsid w:val="002E4C22"/>
    <w:rsid w:val="002E4F75"/>
    <w:rsid w:val="002F0C43"/>
    <w:rsid w:val="002F2B37"/>
    <w:rsid w:val="00307E37"/>
    <w:rsid w:val="00311194"/>
    <w:rsid w:val="0031572A"/>
    <w:rsid w:val="00316C06"/>
    <w:rsid w:val="00321B84"/>
    <w:rsid w:val="00343106"/>
    <w:rsid w:val="00351C9B"/>
    <w:rsid w:val="00393B83"/>
    <w:rsid w:val="00394159"/>
    <w:rsid w:val="004118DA"/>
    <w:rsid w:val="004273B2"/>
    <w:rsid w:val="00464015"/>
    <w:rsid w:val="00475019"/>
    <w:rsid w:val="00475761"/>
    <w:rsid w:val="004A3D3A"/>
    <w:rsid w:val="004B1910"/>
    <w:rsid w:val="004D55A3"/>
    <w:rsid w:val="004F7D83"/>
    <w:rsid w:val="005030D9"/>
    <w:rsid w:val="00512941"/>
    <w:rsid w:val="00527751"/>
    <w:rsid w:val="005309B5"/>
    <w:rsid w:val="005314B3"/>
    <w:rsid w:val="00574472"/>
    <w:rsid w:val="005B2D99"/>
    <w:rsid w:val="005B68CB"/>
    <w:rsid w:val="005D03F2"/>
    <w:rsid w:val="005D0C21"/>
    <w:rsid w:val="005E0A92"/>
    <w:rsid w:val="00604FFB"/>
    <w:rsid w:val="00612159"/>
    <w:rsid w:val="00627AB9"/>
    <w:rsid w:val="006370B6"/>
    <w:rsid w:val="0064183D"/>
    <w:rsid w:val="006A14F7"/>
    <w:rsid w:val="006C0F18"/>
    <w:rsid w:val="006E2E18"/>
    <w:rsid w:val="006E7A9B"/>
    <w:rsid w:val="00715D15"/>
    <w:rsid w:val="007406D8"/>
    <w:rsid w:val="0076090A"/>
    <w:rsid w:val="00780B22"/>
    <w:rsid w:val="007C18C2"/>
    <w:rsid w:val="007E78D5"/>
    <w:rsid w:val="008007C0"/>
    <w:rsid w:val="008053C0"/>
    <w:rsid w:val="00814B81"/>
    <w:rsid w:val="008152A2"/>
    <w:rsid w:val="00834F1A"/>
    <w:rsid w:val="00854B8B"/>
    <w:rsid w:val="00864DA7"/>
    <w:rsid w:val="00876E11"/>
    <w:rsid w:val="008924D9"/>
    <w:rsid w:val="008B781A"/>
    <w:rsid w:val="008E1562"/>
    <w:rsid w:val="009312EB"/>
    <w:rsid w:val="009362D4"/>
    <w:rsid w:val="0094382B"/>
    <w:rsid w:val="009621AB"/>
    <w:rsid w:val="00980ADC"/>
    <w:rsid w:val="0098792C"/>
    <w:rsid w:val="009B3A2C"/>
    <w:rsid w:val="009C2FB0"/>
    <w:rsid w:val="009D386D"/>
    <w:rsid w:val="009D55AB"/>
    <w:rsid w:val="009E52F6"/>
    <w:rsid w:val="009E6E9E"/>
    <w:rsid w:val="00A1432D"/>
    <w:rsid w:val="00A179CF"/>
    <w:rsid w:val="00A2561C"/>
    <w:rsid w:val="00A27770"/>
    <w:rsid w:val="00A375B5"/>
    <w:rsid w:val="00A420C5"/>
    <w:rsid w:val="00A45C23"/>
    <w:rsid w:val="00A46021"/>
    <w:rsid w:val="00A5709C"/>
    <w:rsid w:val="00A6076F"/>
    <w:rsid w:val="00A679B2"/>
    <w:rsid w:val="00A82547"/>
    <w:rsid w:val="00A9042A"/>
    <w:rsid w:val="00A91571"/>
    <w:rsid w:val="00A92F72"/>
    <w:rsid w:val="00AE1C0D"/>
    <w:rsid w:val="00B12D89"/>
    <w:rsid w:val="00B144DC"/>
    <w:rsid w:val="00B20ED1"/>
    <w:rsid w:val="00B25E6B"/>
    <w:rsid w:val="00B32A8E"/>
    <w:rsid w:val="00B34FF4"/>
    <w:rsid w:val="00B40CB4"/>
    <w:rsid w:val="00C359E8"/>
    <w:rsid w:val="00C511C5"/>
    <w:rsid w:val="00C51A19"/>
    <w:rsid w:val="00C550AB"/>
    <w:rsid w:val="00C67937"/>
    <w:rsid w:val="00C844F6"/>
    <w:rsid w:val="00C92E62"/>
    <w:rsid w:val="00CA7443"/>
    <w:rsid w:val="00CC0FFC"/>
    <w:rsid w:val="00CC607D"/>
    <w:rsid w:val="00CD7BD9"/>
    <w:rsid w:val="00D22DF6"/>
    <w:rsid w:val="00D26D9A"/>
    <w:rsid w:val="00D333C3"/>
    <w:rsid w:val="00D33802"/>
    <w:rsid w:val="00D36D71"/>
    <w:rsid w:val="00D437B8"/>
    <w:rsid w:val="00D6309E"/>
    <w:rsid w:val="00D72483"/>
    <w:rsid w:val="00D75A9B"/>
    <w:rsid w:val="00D76D47"/>
    <w:rsid w:val="00D77B62"/>
    <w:rsid w:val="00D77D41"/>
    <w:rsid w:val="00D96FD0"/>
    <w:rsid w:val="00DA5B71"/>
    <w:rsid w:val="00DA71E8"/>
    <w:rsid w:val="00DA732D"/>
    <w:rsid w:val="00DB65B9"/>
    <w:rsid w:val="00DB73D5"/>
    <w:rsid w:val="00DD74CE"/>
    <w:rsid w:val="00E030A8"/>
    <w:rsid w:val="00E04ADF"/>
    <w:rsid w:val="00E04F2E"/>
    <w:rsid w:val="00E271BB"/>
    <w:rsid w:val="00E45E42"/>
    <w:rsid w:val="00E72DA3"/>
    <w:rsid w:val="00E74DD6"/>
    <w:rsid w:val="00E81F7C"/>
    <w:rsid w:val="00E838CF"/>
    <w:rsid w:val="00E95C8E"/>
    <w:rsid w:val="00EE6F89"/>
    <w:rsid w:val="00EF522D"/>
    <w:rsid w:val="00F014F2"/>
    <w:rsid w:val="00F1037B"/>
    <w:rsid w:val="00F237D0"/>
    <w:rsid w:val="00F40673"/>
    <w:rsid w:val="00F51F1F"/>
    <w:rsid w:val="00F67B8C"/>
    <w:rsid w:val="00F73FE8"/>
    <w:rsid w:val="00FF0ECE"/>
    <w:rsid w:val="00FF4225"/>
    <w:rsid w:val="0AD52D38"/>
    <w:rsid w:val="0B344E33"/>
    <w:rsid w:val="0DE338C3"/>
    <w:rsid w:val="13F220AD"/>
    <w:rsid w:val="17F1AC03"/>
    <w:rsid w:val="1C286600"/>
    <w:rsid w:val="364372DA"/>
    <w:rsid w:val="394B1FDA"/>
    <w:rsid w:val="39710D03"/>
    <w:rsid w:val="4203CD69"/>
    <w:rsid w:val="4255E59B"/>
    <w:rsid w:val="46331697"/>
    <w:rsid w:val="4BF19E70"/>
    <w:rsid w:val="5580FFFA"/>
    <w:rsid w:val="56403DAB"/>
    <w:rsid w:val="5F3C6D8C"/>
    <w:rsid w:val="631BB4CF"/>
    <w:rsid w:val="74767CC7"/>
    <w:rsid w:val="793E5543"/>
    <w:rsid w:val="7B364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8C47C2"/>
  <w15:chartTrackingRefBased/>
  <w15:docId w15:val="{79E07974-339C-44AE-8685-832EC1B71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30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30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30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30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30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30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30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30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30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30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5030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30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30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30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30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30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30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30D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30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30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30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30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30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30D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30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30D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30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30D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30D9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987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character" w:customStyle="1" w:styleId="ui-provider">
    <w:name w:val="ui-provider"/>
    <w:basedOn w:val="DefaultParagraphFont"/>
    <w:rsid w:val="004A3D3A"/>
  </w:style>
  <w:style w:type="character" w:styleId="Hyperlink">
    <w:name w:val="Hyperlink"/>
    <w:basedOn w:val="DefaultParagraphFont"/>
    <w:uiPriority w:val="99"/>
    <w:semiHidden/>
    <w:unhideWhenUsed/>
    <w:rsid w:val="00B20ED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B6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EE3"/>
  </w:style>
  <w:style w:type="paragraph" w:styleId="Footer">
    <w:name w:val="footer"/>
    <w:basedOn w:val="Normal"/>
    <w:link w:val="FooterChar"/>
    <w:uiPriority w:val="99"/>
    <w:unhideWhenUsed/>
    <w:rsid w:val="000B6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EE3"/>
  </w:style>
  <w:style w:type="paragraph" w:styleId="Revision">
    <w:name w:val="Revision"/>
    <w:hidden/>
    <w:uiPriority w:val="99"/>
    <w:semiHidden/>
    <w:rsid w:val="00DA5B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2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3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65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87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68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7241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787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53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66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996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61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728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86418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7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50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03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887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85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437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70929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20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29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87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71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29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771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300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68387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01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42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357049">
                              <w:marLeft w:val="585"/>
                              <w:marRight w:val="0"/>
                              <w:marTop w:val="14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732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7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95291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260231">
                          <w:marLeft w:val="705"/>
                          <w:marRight w:val="0"/>
                          <w:marTop w:val="5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5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46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8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6" ma:contentTypeDescription="Kurkite naują dokumentą." ma:contentTypeScope="" ma:versionID="2b80e03eb91806c658e482971d191a53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49a5a517b9b7808588902fc08291be62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90afd-b687-4e3a-aacc-387c928723e0">
      <Terms xmlns="http://schemas.microsoft.com/office/infopath/2007/PartnerControls"/>
    </lcf76f155ced4ddcb4097134ff3c332f>
    <TaxCatchAll xmlns="4965f3cb-8d5c-453d-9482-c6362d88080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05A67F-305E-4FB3-9A06-CBD4F3229D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192F13-DA95-443D-B3DB-789C11053034}">
  <ds:schemaRefs>
    <ds:schemaRef ds:uri="http://schemas.microsoft.com/office/2006/metadata/properties"/>
    <ds:schemaRef ds:uri="http://schemas.microsoft.com/office/infopath/2007/PartnerControls"/>
    <ds:schemaRef ds:uri="fb290afd-b687-4e3a-aacc-387c928723e0"/>
    <ds:schemaRef ds:uri="4965f3cb-8d5c-453d-9482-c6362d88080f"/>
  </ds:schemaRefs>
</ds:datastoreItem>
</file>

<file path=customXml/itemProps3.xml><?xml version="1.0" encoding="utf-8"?>
<ds:datastoreItem xmlns:ds="http://schemas.openxmlformats.org/officeDocument/2006/customXml" ds:itemID="{C383E248-D18A-4BB3-B7AE-BB60B5A061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745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Edgaras Batušan</cp:lastModifiedBy>
  <cp:revision>118</cp:revision>
  <dcterms:created xsi:type="dcterms:W3CDTF">2024-07-14T19:56:00Z</dcterms:created>
  <dcterms:modified xsi:type="dcterms:W3CDTF">2024-08-21T06:47:00Z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5428b2eeaa4ca4a18c1d2ae84aa5217b5e6b15a51293a73c53345e4ec328bb7a</vt:lpwstr>
  </property>
  <property fmtid="{D5CDD505-2E9C-101B-9397-08002B2CF9AE}" pid="3" name="ContentTypeId">
    <vt:lpwstr>0x010100228955D77AF03A478266A9C939F62C57</vt:lpwstr>
  </property>
  <property fmtid="{D5CDD505-2E9C-101B-9397-08002B2CF9AE}" pid="4" name="MediaServiceImageTags">
    <vt:lpwstr/>
  </property>
</Properties>
</file>