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charts/_rels/chart2.xml.rels" ContentType="application/vnd.openxmlformats-package.relationships+xml"/>
  <Override PartName="/word/charts/_rels/chart1.xml.rels" ContentType="application/vnd.openxmlformats-package.relationships+xml"/>
  <Override PartName="/word/charts/chart1.xml" ContentType="application/vnd.openxmlformats-officedocument.drawingml.chart+xml"/>
  <Override PartName="/word/charts/chart2.xml" ContentType="application/vnd.openxmlformats-officedocument.drawingml.chart+xml"/>
  <Override PartName="/word/numbering.xml" ContentType="application/vnd.openxmlformats-officedocument.wordprocessingml.numbering+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embeddings/Microsoft_Excel_Worksheet1.xlsx" ContentType="application/vnd.openxmlformats-officedocument.spreadsheetml.sheet"/>
  <Override PartName="/word/embeddings/Microsoft_Excel_Worksheet.xlsx" ContentType="application/vnd.openxmlformats-officedocument.spreadsheetml.sheet"/>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rFonts w:cs="Times New Roman" w:ascii="Times New Roman" w:hAnsi="Times New Roman"/>
          <w:b/>
          <w:bCs/>
          <w:sz w:val="28"/>
          <w:szCs w:val="28"/>
        </w:rPr>
        <w:t>Lietuvių politinis (ne)veiksmingumas</w:t>
      </w:r>
    </w:p>
    <w:p>
      <w:pPr>
        <w:pStyle w:val="Normal"/>
        <w:jc w:val="both"/>
        <w:rPr>
          <w:rFonts w:ascii="Segoe UI Web (East European);Segoe UI;apple-system;system-ui;Roboto;Helvetica Neue;sans-serif" w:hAnsi="Segoe UI Web (East European);Segoe UI;apple-system;system-ui;Roboto;Helvetica Neue;sans-serif"/>
          <w:b w:val="false"/>
          <w:i w:val="false"/>
          <w:caps w:val="false"/>
          <w:smallCaps w:val="false"/>
          <w:color w:val="242424"/>
          <w:spacing w:val="0"/>
          <w:sz w:val="18"/>
        </w:rPr>
      </w:pPr>
      <w:r>
        <w:rPr>
          <w:rFonts w:cs="Times New Roman" w:ascii="Times New Roman" w:hAnsi="Times New Roman"/>
          <w:b/>
          <w:bCs/>
          <w:i w:val="false"/>
          <w:caps w:val="false"/>
          <w:smallCaps w:val="false"/>
          <w:color w:val="242424"/>
          <w:spacing w:val="0"/>
          <w:sz w:val="24"/>
          <w:szCs w:val="24"/>
        </w:rPr>
        <w:t>Vytauto Didžiojo universiteto V. Kavolio tyrimų instituto jaunesnysis mokslo darbuotojas Tadas Vadvilavičius</w:t>
      </w:r>
    </w:p>
    <w:p>
      <w:pPr>
        <w:pStyle w:val="Normal"/>
        <w:spacing w:lineRule="auto" w:line="240" w:before="0" w:after="0"/>
        <w:jc w:val="both"/>
        <w:rPr/>
      </w:pPr>
      <w:r>
        <w:rPr>
          <w:rFonts w:cs="Times New Roman" w:ascii="Times New Roman" w:hAnsi="Times New Roman"/>
          <w:sz w:val="24"/>
          <w:szCs w:val="24"/>
        </w:rPr>
        <w:t>Artėjant LR Seimo rinkimams politologai ir politikos apžvalgininkai toliau prognozuoja, kurios politinė partijos užims „laimėtojų“ gretas, kokia galima valdančioji koalicij</w:t>
      </w:r>
      <w:r>
        <w:rPr>
          <w:rFonts w:cs="Times New Roman" w:ascii="Times New Roman" w:hAnsi="Times New Roman"/>
          <w:sz w:val="24"/>
          <w:szCs w:val="24"/>
        </w:rPr>
        <w:t>a</w:t>
      </w:r>
      <w:r>
        <w:rPr>
          <w:rFonts w:cs="Times New Roman" w:ascii="Times New Roman" w:hAnsi="Times New Roman"/>
          <w:sz w:val="24"/>
          <w:szCs w:val="24"/>
        </w:rPr>
        <w:t xml:space="preserve"> ir t.t. Nors apžvalgos yra paremtos visuomeninėmis apklausomis, jos neatsako į </w:t>
      </w:r>
      <w:r>
        <w:rPr>
          <w:rFonts w:cs="Times New Roman" w:ascii="Times New Roman" w:hAnsi="Times New Roman"/>
          <w:sz w:val="24"/>
          <w:szCs w:val="24"/>
        </w:rPr>
        <w:t>klausimą</w:t>
      </w:r>
      <w:r>
        <w:rPr>
          <w:rFonts w:cs="Times New Roman" w:ascii="Times New Roman" w:hAnsi="Times New Roman"/>
          <w:sz w:val="24"/>
          <w:szCs w:val="24"/>
        </w:rPr>
        <w:t xml:space="preserve">, kiek lietuviai jaučiasi esantys veiksmingi politikoje? Kitaip tariant – ar lietuviai suvokia, jog gali veikti Lietuvos politinę sistemą, o pati politinė sistema leidžia būti veikiama?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pPr>
      <w:r>
        <w:rPr>
          <w:rFonts w:cs="Times New Roman" w:ascii="Times New Roman" w:hAnsi="Times New Roman"/>
          <w:sz w:val="24"/>
          <w:szCs w:val="24"/>
        </w:rPr>
        <w:t>T</w:t>
      </w:r>
      <w:r>
        <w:rPr>
          <w:rFonts w:cs="Times New Roman" w:ascii="Times New Roman" w:hAnsi="Times New Roman"/>
          <w:sz w:val="24"/>
          <w:szCs w:val="24"/>
        </w:rPr>
        <w:t>ai</w:t>
      </w:r>
      <w:r>
        <w:rPr>
          <w:rFonts w:cs="Times New Roman" w:ascii="Times New Roman" w:hAnsi="Times New Roman"/>
          <w:sz w:val="24"/>
          <w:szCs w:val="24"/>
        </w:rPr>
        <w:t xml:space="preserve"> tyrinėti leidžia Europos socialinis tyrimas, įgyvendinamas ir Lietuvoje. Europos socialiniame tyrime dalyvavo 1365 Lietuvos gyventojai. Tyrimo metu dalyvių buvo klausiama apie jų suvokiamą vidinį ir išorinį politinį (savi)veiksmingumą:</w:t>
      </w:r>
    </w:p>
    <w:p>
      <w:pPr>
        <w:pStyle w:val="ListParagraph"/>
        <w:numPr>
          <w:ilvl w:val="0"/>
          <w:numId w:val="1"/>
        </w:numPr>
        <w:spacing w:lineRule="auto" w:line="240" w:before="0" w:after="0"/>
        <w:contextualSpacing/>
        <w:jc w:val="both"/>
        <w:rPr/>
      </w:pPr>
      <w:r>
        <w:rPr>
          <w:rFonts w:cs="Times New Roman" w:ascii="Times New Roman" w:hAnsi="Times New Roman"/>
          <w:sz w:val="24"/>
          <w:szCs w:val="24"/>
        </w:rPr>
        <w:t>vidinis politinis (savi)veiksmingumas apibūdina asmens asmeniškai suvokiamą gebėjimą daryti reikšmingą įtaką politinėms grupėms ir visai politinei sistemai;</w:t>
      </w:r>
    </w:p>
    <w:p>
      <w:pPr>
        <w:pStyle w:val="ListParagraph"/>
        <w:numPr>
          <w:ilvl w:val="0"/>
          <w:numId w:val="1"/>
        </w:numPr>
        <w:spacing w:lineRule="auto" w:line="240" w:before="0" w:after="0"/>
        <w:contextualSpacing/>
        <w:jc w:val="both"/>
        <w:rPr/>
      </w:pPr>
      <w:r>
        <w:rPr>
          <w:rFonts w:cs="Times New Roman" w:ascii="Times New Roman" w:hAnsi="Times New Roman"/>
          <w:sz w:val="24"/>
          <w:szCs w:val="24"/>
        </w:rPr>
        <w:t xml:space="preserve">išorinis veiksmingumas apibūdina asmens suvokiamą pačios politinės sistemos veiksmingumą leidžiant asmenims reikšti savo nuomonę apie sistemą ir daryti jai įtaką.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pPr>
      <w:r>
        <w:rPr/>
        <w:drawing>
          <wp:inline distT="0" distB="0" distL="0" distR="0">
            <wp:extent cx="6728460" cy="2333625"/>
            <wp:effectExtent l="0" t="0" r="0" b="0"/>
            <wp:docPr id="1" name="Obj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p>
      <w:pPr>
        <w:pStyle w:val="Normal"/>
        <w:spacing w:lineRule="auto" w:line="240" w:before="0" w:after="0"/>
        <w:jc w:val="both"/>
        <w:rPr/>
      </w:pPr>
      <w:r>
        <w:rPr>
          <w:rFonts w:eastAsia="Times New Roman" w:cs="Times New Roman" w:ascii="Times New Roman" w:hAnsi="Times New Roman"/>
          <w:i/>
          <w:iCs/>
          <w:kern w:val="0"/>
          <w:sz w:val="24"/>
          <w:szCs w:val="24"/>
          <w:lang w:eastAsia="lt-LT"/>
          <w14:ligatures w14:val="none"/>
        </w:rPr>
        <w:t>Pastaba</w:t>
      </w:r>
      <w:r>
        <w:rPr>
          <w:rFonts w:eastAsia="Times New Roman" w:cs="Times New Roman" w:ascii="Times New Roman" w:hAnsi="Times New Roman"/>
          <w:kern w:val="0"/>
          <w:sz w:val="24"/>
          <w:szCs w:val="24"/>
          <w:lang w:eastAsia="lt-LT"/>
          <w14:ligatures w14:val="none"/>
        </w:rPr>
        <w:t xml:space="preserve">. Politinis (savi)veiksmingumas vertinamas nuo 1 iki 5, kai didesnis balas reiškia didesnį suvokiamą politinį (savi)veiksmingumą. </w:t>
      </w:r>
    </w:p>
    <w:p>
      <w:pPr>
        <w:pStyle w:val="Normal"/>
        <w:jc w:val="both"/>
        <w:rPr>
          <w:rFonts w:ascii="Times New Roman" w:hAnsi="Times New Roman" w:eastAsia="Times New Roman" w:cs="Times New Roman"/>
          <w:kern w:val="0"/>
          <w:sz w:val="24"/>
          <w:szCs w:val="24"/>
          <w:lang w:eastAsia="lt-LT"/>
          <w14:ligatures w14:val="none"/>
        </w:rPr>
      </w:pPr>
      <w:r>
        <w:rPr>
          <w:rFonts w:eastAsia="Times New Roman" w:cs="Times New Roman" w:ascii="Times New Roman" w:hAnsi="Times New Roman"/>
          <w:kern w:val="0"/>
          <w:sz w:val="24"/>
          <w:szCs w:val="24"/>
          <w:lang w:eastAsia="lt-LT"/>
          <w14:ligatures w14:val="none"/>
        </w:rPr>
      </w:r>
    </w:p>
    <w:p>
      <w:pPr>
        <w:pStyle w:val="Normal"/>
        <w:jc w:val="both"/>
        <w:rPr/>
      </w:pPr>
      <w:r>
        <w:rPr>
          <w:rFonts w:eastAsia="Times New Roman" w:cs="Times New Roman" w:ascii="Times New Roman" w:hAnsi="Times New Roman"/>
          <w:kern w:val="0"/>
          <w:sz w:val="24"/>
          <w:szCs w:val="24"/>
          <w:lang w:eastAsia="lt-LT"/>
          <w14:ligatures w14:val="none"/>
        </w:rPr>
        <w:t xml:space="preserve">Duomenų analizė atskleidė, jog Lietuvos gyventojų suvokiamas išorinis veiksmingumas yra aukštesnis nei vidinis politinis (savi)veiksmingumas. Kitaip tariant, Lietuvos gyventojai labiau tiki, jog politinė sistema leidžia jiems dalyvauti politikoje, išsakyti savo nuomonę apie valdžią, veikti politinę sistemą, nei pasitiki savo pačių gebėjimu veikti politinę sistemą. </w:t>
      </w:r>
    </w:p>
    <w:p>
      <w:pPr>
        <w:pStyle w:val="Normal"/>
        <w:jc w:val="both"/>
        <w:rPr/>
      </w:pPr>
      <w:r>
        <w:rPr>
          <w:rFonts w:eastAsia="Times New Roman" w:cs="Times New Roman" w:ascii="Times New Roman" w:hAnsi="Times New Roman"/>
          <w:kern w:val="0"/>
          <w:sz w:val="24"/>
          <w:szCs w:val="24"/>
          <w:lang w:eastAsia="lt-LT"/>
          <w14:ligatures w14:val="none"/>
        </w:rPr>
        <w:t xml:space="preserve">Galima kelti prielaidą, jog nors pati politinė Lietuvos sistema yra suvokiama kaip galinti būti veikiama, tačiau žmonių netikėjimas, jog jų asmeninis indėlis į valstybės valdymą yra svarbus, skatina abejoti savo politiniu (savi)veiksmingumu. Taip pat, dažnas nusivylimas rinkimų rezultatais, kuomet yra išrenkami kiti kandidatai ar partijos nei žmogus balsavo, gali skatinti žmonių abejonę, jog jų balsas yra svarbus ar reikšmingas. </w:t>
      </w:r>
    </w:p>
    <w:p>
      <w:pPr>
        <w:pStyle w:val="Normal"/>
        <w:spacing w:lineRule="auto" w:line="240" w:before="0" w:after="0"/>
        <w:jc w:val="both"/>
        <w:rPr/>
      </w:pPr>
      <w:r>
        <w:rPr>
          <w:rFonts w:eastAsia="Times New Roman" w:cs="Times New Roman" w:ascii="Times New Roman" w:hAnsi="Times New Roman"/>
          <w:b/>
          <w:bCs/>
          <w:kern w:val="0"/>
          <w:sz w:val="24"/>
          <w:szCs w:val="24"/>
          <w:lang w:eastAsia="lt-LT"/>
          <w14:ligatures w14:val="none"/>
        </w:rPr>
        <w:t>Politiškai aktyvus jaunimas, tačiau ne rinkimuose</w:t>
      </w:r>
    </w:p>
    <w:p>
      <w:pPr>
        <w:pStyle w:val="HTMLPreformatted"/>
        <w:shd w:val="clear" w:color="auto" w:fill="FFFFFF"/>
        <w:jc w:val="both"/>
        <w:rPr>
          <w:rFonts w:ascii="Lucida Console" w:hAnsi="Lucida Console"/>
          <w:color w:val="0000FF"/>
        </w:rPr>
      </w:pPr>
      <w:r>
        <w:rPr>
          <w:rFonts w:ascii="Lucida Console" w:hAnsi="Lucida Console"/>
          <w:color w:val="0000FF"/>
        </w:rPr>
      </w:r>
    </w:p>
    <w:p>
      <w:pPr>
        <w:pStyle w:val="HTMLPreformatted"/>
        <w:shd w:val="clear" w:color="auto" w:fill="FFFFFF"/>
        <w:jc w:val="both"/>
        <w:rPr/>
      </w:pPr>
      <w:r>
        <w:rPr>
          <w:rFonts w:cs="Times New Roman" w:ascii="Times New Roman" w:hAnsi="Times New Roman"/>
          <w:sz w:val="24"/>
          <w:szCs w:val="24"/>
        </w:rPr>
        <w:t xml:space="preserve">Lietuvos gyventojų duomenys atskleidė, jog suvokiamas politinis (savi)veiksmingumas yra linkęs mažėti su amžiumi. </w:t>
      </w:r>
    </w:p>
    <w:p>
      <w:pPr>
        <w:pStyle w:val="HTMLPreformatted"/>
        <w:shd w:val="clear" w:color="auto" w:fill="FFFFFF"/>
        <w:jc w:val="both"/>
        <w:rPr/>
      </w:pPr>
      <w:r>
        <w:rPr/>
        <w:drawing>
          <wp:inline distT="0" distB="0" distL="0" distR="0">
            <wp:extent cx="6728460" cy="2333625"/>
            <wp:effectExtent l="0" t="0" r="0" b="0"/>
            <wp:docPr id="2" name="Object2"/>
            <wp:cNvGraphicFramePr/>
            <a:graphic xmlns:a="http://schemas.openxmlformats.org/drawingml/2006/main">
              <a:graphicData uri="http://schemas.openxmlformats.org/drawingml/2006/chart">
                <c:chart xmlns:c="http://schemas.openxmlformats.org/drawingml/2006/chart" xmlns:r="http://schemas.openxmlformats.org/officeDocument/2006/relationships" r:id="rId3"/>
              </a:graphicData>
            </a:graphic>
          </wp:inline>
        </w:drawing>
      </w:r>
    </w:p>
    <w:p>
      <w:pPr>
        <w:pStyle w:val="Normal"/>
        <w:jc w:val="both"/>
        <w:rPr>
          <w:rFonts w:ascii="Times New Roman" w:hAnsi="Times New Roman" w:eastAsia="Times New Roman" w:cs="Times New Roman"/>
          <w:kern w:val="0"/>
          <w:sz w:val="24"/>
          <w:szCs w:val="24"/>
          <w:lang w:eastAsia="lt-LT"/>
          <w14:ligatures w14:val="none"/>
        </w:rPr>
      </w:pPr>
      <w:r>
        <w:rPr>
          <w:rFonts w:eastAsia="Times New Roman" w:cs="Times New Roman" w:ascii="Times New Roman" w:hAnsi="Times New Roman"/>
          <w:kern w:val="0"/>
          <w:sz w:val="24"/>
          <w:szCs w:val="24"/>
          <w:lang w:eastAsia="lt-LT"/>
          <w14:ligatures w14:val="none"/>
        </w:rPr>
      </w:r>
    </w:p>
    <w:p>
      <w:pPr>
        <w:pStyle w:val="Normal"/>
        <w:jc w:val="both"/>
        <w:rPr/>
      </w:pPr>
      <w:r>
        <w:rPr>
          <w:rFonts w:eastAsia="Times New Roman" w:cs="Times New Roman" w:ascii="Times New Roman" w:hAnsi="Times New Roman"/>
          <w:kern w:val="0"/>
          <w:sz w:val="24"/>
          <w:szCs w:val="24"/>
          <w:lang w:eastAsia="lt-LT"/>
          <w14:ligatures w14:val="none"/>
        </w:rPr>
        <w:t xml:space="preserve">Nors skirtumai tarp skirtingų amžių grupių nėra labai dideli, tačiau pastarieji visgi egzistuoja. Nors tiek Europos socialinis tyrimas, tiek visuomeninės apklausos atskleidžia, jog vyriausio amžiaus žmonės reikšmingai dažniau balsuoja rinkimuose, tačiau labiausiai išsiskiria vyriausios amžiaus grupės gyventojų žemas vidinis politinis (savi)veiksmingumas. </w:t>
      </w:r>
    </w:p>
    <w:p>
      <w:pPr>
        <w:pStyle w:val="Normal"/>
        <w:jc w:val="both"/>
        <w:rPr/>
      </w:pPr>
      <w:r>
        <w:rPr>
          <w:rFonts w:eastAsia="Times New Roman" w:cs="Times New Roman" w:ascii="Times New Roman" w:hAnsi="Times New Roman"/>
          <w:kern w:val="0"/>
          <w:sz w:val="24"/>
          <w:szCs w:val="24"/>
          <w:lang w:eastAsia="lt-LT"/>
          <w14:ligatures w14:val="none"/>
        </w:rPr>
        <w:t xml:space="preserve">Galima kelti prielaidą, jog vyresnio amžiaus žmonės, dėl savo turimos politinės patirties gyvenant Sovietų sąjungoje netiki, jog jie yra pajėgus turėti įtakos politikai, tačiau jaučia vidinę pareigą balsą išreikšti. Iš kitos pusės, galima numatyti, jog vyresnė karta vis dar tikisi reikšmingų pokyčių, tikėdami, jog politinę sistemą galima paveikti, tad galima šią kartą vertinti kaip labiau optimistišką politikos atžvilgiu. </w:t>
      </w:r>
    </w:p>
    <w:p>
      <w:pPr>
        <w:pStyle w:val="Normal"/>
        <w:jc w:val="both"/>
        <w:rPr/>
      </w:pPr>
      <w:r>
        <w:rPr>
          <w:rFonts w:eastAsia="Times New Roman" w:cs="Times New Roman" w:ascii="Times New Roman" w:hAnsi="Times New Roman"/>
          <w:kern w:val="0"/>
          <w:sz w:val="24"/>
          <w:szCs w:val="24"/>
          <w:lang w:eastAsia="lt-LT"/>
          <w14:ligatures w14:val="none"/>
        </w:rPr>
        <w:t xml:space="preserve">Visgi, nors jaunų žmonių tikėjimas, jog tiek jie turi gebėjimų daryti reikšmingą įtaką politinei sistemai, tiek jog sistema leidžia žmonėms joje dalyvauti, yra aukštesnis, tačiau šis tikėjimas rečiau baigiasi dalyvavimu rinkimuose. Vis dėlto, jauni asmenys save politinėje veikloje dažniau išreiškia kitais būdais nei tik balsuodami, pvz., įsisegdami kokios nors kampanijos ženklelį, pasirašydami peticiją, dalyvaudami demonstracijose, dalindamiesi su politika susijusią informaciją socialiniais kanalais, savanoriaudami. </w:t>
      </w:r>
    </w:p>
    <w:p>
      <w:pPr>
        <w:pStyle w:val="Normal"/>
        <w:jc w:val="both"/>
        <w:rPr/>
      </w:pPr>
      <w:r>
        <w:rPr>
          <w:rFonts w:eastAsia="Times New Roman" w:cs="Times New Roman" w:ascii="Times New Roman" w:hAnsi="Times New Roman"/>
          <w:kern w:val="0"/>
          <w:sz w:val="24"/>
          <w:szCs w:val="24"/>
          <w:lang w:eastAsia="lt-LT"/>
          <w14:ligatures w14:val="none"/>
        </w:rPr>
        <w:t>Galima samprotauti, jog jauniems žmonėms kitos politinės veiklos formos nei balsavimas rinkimuose yra patrauklesnė forma, o gal suvokiama, jog politika – tik vyresnių žmonių reikalas? Galbūt viešojoje erdvėje diskutuojamas elektroninis balsavimas būtų alternatyva didesniam jaunų žmonių įsitraukimui į aktyvesnį politinį gyvenimą. Bendrai yra svarbu, jog jauni asmenys turi tikėjimą, jog jie gali būti veiksnūs politinės sistemos dalyviai ir tiki galintys ją keisti, tačiau reikaling</w:t>
      </w:r>
      <w:r>
        <w:rPr>
          <w:rFonts w:eastAsia="Times New Roman" w:cs="Times New Roman" w:ascii="Times New Roman" w:hAnsi="Times New Roman"/>
          <w:kern w:val="0"/>
          <w:sz w:val="24"/>
          <w:szCs w:val="24"/>
          <w:lang w:eastAsia="lt-LT"/>
          <w14:ligatures w14:val="none"/>
        </w:rPr>
        <w:t>a</w:t>
      </w:r>
      <w:r>
        <w:rPr>
          <w:rFonts w:eastAsia="Times New Roman" w:cs="Times New Roman" w:ascii="Times New Roman" w:hAnsi="Times New Roman"/>
          <w:kern w:val="0"/>
          <w:sz w:val="24"/>
          <w:szCs w:val="24"/>
          <w:lang w:eastAsia="lt-LT"/>
          <w14:ligatures w14:val="none"/>
        </w:rPr>
        <w:t xml:space="preserve"> ieškoti šiai žmonių grupei tinkamesnės priemonės dalyvauti politikoje. </w:t>
      </w:r>
    </w:p>
    <w:p>
      <w:pPr>
        <w:pStyle w:val="Normal"/>
        <w:jc w:val="both"/>
        <w:rPr/>
      </w:pPr>
      <w:r>
        <w:rPr>
          <w:rFonts w:eastAsia="Times New Roman" w:cs="Times New Roman" w:ascii="Times New Roman" w:hAnsi="Times New Roman"/>
          <w:b/>
          <w:bCs/>
          <w:kern w:val="0"/>
          <w:sz w:val="24"/>
          <w:szCs w:val="24"/>
          <w:lang w:eastAsia="lt-LT"/>
          <w14:ligatures w14:val="none"/>
        </w:rPr>
        <w:t>Kaip Lietuvoje, taip ir Europoje</w:t>
      </w:r>
    </w:p>
    <w:p>
      <w:pPr>
        <w:pStyle w:val="Normal"/>
        <w:jc w:val="both"/>
        <w:rPr/>
      </w:pPr>
      <w:r>
        <w:rPr>
          <w:rFonts w:eastAsia="Times New Roman" w:cs="Times New Roman" w:ascii="Times New Roman" w:hAnsi="Times New Roman"/>
          <w:kern w:val="0"/>
          <w:sz w:val="24"/>
          <w:szCs w:val="24"/>
          <w:lang w:eastAsia="lt-LT"/>
          <w14:ligatures w14:val="none"/>
        </w:rPr>
        <w:t xml:space="preserve">Iš esmės žmonių tikėjimas, jog jie turi gebėjimus dalyvauti politikoje, o politinė sistema gali būti veikiama, yra svarbi prielaida žmonių dalyvavimui rinkimuose tiek Lietuvoje, tiek Europoje. </w:t>
      </w:r>
      <w:r>
        <w:rPr>
          <w:rFonts w:eastAsia="Times New Roman" w:cs="Times New Roman" w:ascii="Times New Roman" w:hAnsi="Times New Roman"/>
          <w:kern w:val="0"/>
          <w:sz w:val="24"/>
          <w:szCs w:val="24"/>
          <w:lang w:eastAsia="lt-LT"/>
          <w14:ligatures w14:val="none"/>
        </w:rPr>
        <w:t>To</w:t>
      </w:r>
      <w:r>
        <w:rPr>
          <w:rFonts w:eastAsia="Times New Roman" w:cs="Times New Roman" w:ascii="Times New Roman" w:hAnsi="Times New Roman"/>
          <w:kern w:val="0"/>
          <w:sz w:val="24"/>
          <w:szCs w:val="24"/>
          <w:lang w:eastAsia="lt-LT"/>
          <w14:ligatures w14:val="none"/>
        </w:rPr>
        <w:t xml:space="preserve"> paties tyrimo rezultatai atskleidė, jog paskutiniuose nacionaliniuose rinkimuose dalyvavę asmenys pasižymi didesniu vidiniu ir išoriniu politiniu (savi)veiksmingum</w:t>
      </w:r>
      <w:r>
        <w:rPr>
          <w:rFonts w:eastAsia="Times New Roman" w:cs="Times New Roman" w:ascii="Times New Roman" w:hAnsi="Times New Roman"/>
          <w:kern w:val="0"/>
          <w:sz w:val="24"/>
          <w:szCs w:val="24"/>
          <w:lang w:eastAsia="lt-LT"/>
          <w14:ligatures w14:val="none"/>
        </w:rPr>
        <w:t>u palyginti</w:t>
      </w:r>
      <w:r>
        <w:rPr>
          <w:rFonts w:eastAsia="Times New Roman" w:cs="Times New Roman" w:ascii="Times New Roman" w:hAnsi="Times New Roman"/>
          <w:kern w:val="0"/>
          <w:sz w:val="24"/>
          <w:szCs w:val="24"/>
          <w:lang w:eastAsia="lt-LT"/>
          <w14:ligatures w14:val="none"/>
        </w:rPr>
        <w:t xml:space="preserve"> su rinkimuose nedalyvavusiais asmenimis. Tad gyventojų politinio veiksmingumo didinimas gali būti prielaida didesniam aktyvumui rinkimuose. </w:t>
      </w:r>
    </w:p>
    <w:p>
      <w:pPr>
        <w:pStyle w:val="Normal"/>
        <w:jc w:val="both"/>
        <w:rPr/>
      </w:pPr>
      <w:r>
        <w:rPr>
          <w:rFonts w:eastAsia="Times New Roman" w:cs="Times New Roman" w:ascii="Times New Roman" w:hAnsi="Times New Roman"/>
          <w:kern w:val="0"/>
          <w:sz w:val="24"/>
          <w:szCs w:val="24"/>
          <w:lang w:eastAsia="lt-LT"/>
          <w14:ligatures w14:val="none"/>
        </w:rPr>
        <w:t>Lyginant Lietuvos ir dar 12-os šalių rezultatus pastebima, jog bendras likusių Europos šalių vidinis ir išorinis politinis (savi)veiksmingumas yra aukštesnis nei Lietuvos. Visgi, egzistuoja reikšmingi skirtumai ir tarp Europos šalių. Pavyzdžiui, Kroatijoje fiksuojamas vien</w:t>
      </w:r>
      <w:r>
        <w:rPr>
          <w:rFonts w:eastAsia="Times New Roman" w:cs="Times New Roman" w:ascii="Times New Roman" w:hAnsi="Times New Roman"/>
          <w:kern w:val="0"/>
          <w:sz w:val="24"/>
          <w:szCs w:val="24"/>
          <w:lang w:eastAsia="lt-LT"/>
          <w14:ligatures w14:val="none"/>
        </w:rPr>
        <w:t>as</w:t>
      </w:r>
      <w:r>
        <w:rPr>
          <w:rFonts w:eastAsia="Times New Roman" w:cs="Times New Roman" w:ascii="Times New Roman" w:hAnsi="Times New Roman"/>
          <w:kern w:val="0"/>
          <w:sz w:val="24"/>
          <w:szCs w:val="24"/>
          <w:lang w:eastAsia="lt-LT"/>
          <w14:ligatures w14:val="none"/>
        </w:rPr>
        <w:t xml:space="preserve"> žemiausių politinio (savi)veiksmingumo rodiklių. Tuo tarpu Šveicarijos gyventojų politinio vidinio ir išorinio (savi)veiksmingumo rodikliai yra vieni aukščiausių Europoje. </w:t>
      </w:r>
    </w:p>
    <w:p>
      <w:pPr>
        <w:pStyle w:val="Normal"/>
        <w:jc w:val="both"/>
        <w:rPr/>
      </w:pPr>
      <w:r>
        <w:rPr>
          <w:rFonts w:eastAsia="Times New Roman" w:cs="Times New Roman" w:ascii="Times New Roman" w:hAnsi="Times New Roman"/>
          <w:kern w:val="0"/>
          <w:sz w:val="24"/>
          <w:szCs w:val="24"/>
          <w:lang w:eastAsia="lt-LT"/>
          <w14:ligatures w14:val="none"/>
        </w:rPr>
        <w:t xml:space="preserve">Tad nors bendrame Europos lygmenyje Lietuva atrodo prasčiau, </w:t>
      </w:r>
      <w:r>
        <w:rPr>
          <w:rFonts w:eastAsia="Times New Roman" w:cs="Times New Roman" w:ascii="Times New Roman" w:hAnsi="Times New Roman"/>
          <w:kern w:val="0"/>
          <w:sz w:val="24"/>
          <w:szCs w:val="24"/>
          <w:lang w:eastAsia="lt-LT"/>
          <w14:ligatures w14:val="none"/>
        </w:rPr>
        <w:t>palyginti</w:t>
      </w:r>
      <w:r>
        <w:rPr>
          <w:rFonts w:eastAsia="Times New Roman" w:cs="Times New Roman" w:ascii="Times New Roman" w:hAnsi="Times New Roman"/>
          <w:kern w:val="0"/>
          <w:sz w:val="24"/>
          <w:szCs w:val="24"/>
          <w:lang w:eastAsia="lt-LT"/>
          <w14:ligatures w14:val="none"/>
        </w:rPr>
        <w:t xml:space="preserve"> su atskiromis šalimis atrodome netgi geriau. </w:t>
      </w:r>
      <w:r>
        <w:rPr>
          <w:rFonts w:eastAsia="Times New Roman" w:cs="Times New Roman" w:ascii="Times New Roman" w:hAnsi="Times New Roman"/>
          <w:kern w:val="0"/>
          <w:sz w:val="24"/>
          <w:szCs w:val="24"/>
          <w:lang w:eastAsia="lt-LT"/>
          <w14:ligatures w14:val="none"/>
        </w:rPr>
        <w:t>R</w:t>
      </w:r>
      <w:r>
        <w:rPr>
          <w:rFonts w:eastAsia="Times New Roman" w:cs="Times New Roman" w:ascii="Times New Roman" w:hAnsi="Times New Roman"/>
          <w:kern w:val="0"/>
          <w:sz w:val="24"/>
          <w:szCs w:val="24"/>
          <w:lang w:eastAsia="lt-LT"/>
          <w14:ligatures w14:val="none"/>
        </w:rPr>
        <w:t xml:space="preserve">ezultatai neturėtų kelti didesnio susirūpinimo, kadangi Lietuvos gyventojų vidinio ir išorinio politinio (savi)veiksmingumo rodikliai yra iš esmės vidutiniai tarp kitų Europos šalių. </w:t>
      </w:r>
    </w:p>
    <w:p>
      <w:pPr>
        <w:pStyle w:val="Normal"/>
        <w:jc w:val="both"/>
        <w:rPr>
          <w:rFonts w:ascii="Times New Roman" w:hAnsi="Times New Roman" w:eastAsia="Times New Roman" w:cs="Times New Roman"/>
          <w:kern w:val="0"/>
          <w:sz w:val="24"/>
          <w:szCs w:val="24"/>
          <w:lang w:eastAsia="lt-LT"/>
          <w14:ligatures w14:val="none"/>
        </w:rPr>
      </w:pPr>
      <w:r>
        <w:rPr/>
      </w:r>
    </w:p>
    <w:p>
      <w:pPr>
        <w:pStyle w:val="Normal"/>
        <w:spacing w:before="0" w:after="160"/>
        <w:jc w:val="both"/>
        <w:rPr/>
      </w:pPr>
      <w:r>
        <w:rPr>
          <w:rFonts w:eastAsia="Times New Roman" w:cs="Times New Roman" w:ascii="Times New Roman" w:hAnsi="Times New Roman"/>
          <w:i/>
          <w:iCs/>
          <w:kern w:val="0"/>
          <w:sz w:val="24"/>
          <w:szCs w:val="24"/>
          <w:lang w:eastAsia="lt-LT"/>
          <w14:ligatures w14:val="none"/>
        </w:rPr>
        <w:t>Vytauto Didžiojo universiteto vykdomą projektą „Lietuvos narystės Europos Socialinio tyrimo Europos mokslinių tyrimų infrastruktūros konsorciume plano įgyvendinimas“ (Nr. VS–3) finansuoja Lietuvos Respublikos Švietimo, mokslo ir sporto ministerija ir Lietuvos mokslo taryba.</w:t>
      </w:r>
    </w:p>
    <w:sectPr>
      <w:type w:val="nextPage"/>
      <w:pgSz w:w="11906" w:h="16838"/>
      <w:pgMar w:left="567" w:right="566" w:header="0" w:top="567"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swiss"/>
    <w:pitch w:val="variable"/>
  </w:font>
  <w:font w:name="Times New Roman">
    <w:charset w:val="01"/>
    <w:family w:val="roman"/>
    <w:pitch w:val="variable"/>
  </w:font>
  <w:font w:name="Segoe UI Web (East European)">
    <w:altName w:val="Segoe UI"/>
    <w:charset w:val="01"/>
    <w:family w:val="auto"/>
    <w:pitch w:val="default"/>
  </w:font>
  <w:font w:name="Lucida Console">
    <w:charset w:val="01"/>
    <w:family w:val="roman"/>
    <w:pitch w:val="variable"/>
  </w:font>
  <w:font w:name="Wingdings">
    <w:charset w:val="02"/>
    <w:family w:val="auto"/>
    <w:pitch w:val="variable"/>
  </w:font>
  <w:font w:name="Courier New">
    <w:charset w:val="01"/>
    <w:family w:val="auto"/>
    <w:pitch w:val="variable"/>
  </w:font>
  <w:font w:name="Symbol">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129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396"/>
  <w:themeFontLang w:val="lt-L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lt-L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lt-LT" w:eastAsia="en-US" w:bidi="ar-SA"/>
      <w14:ligatures w14:val="standardContextual"/>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d146d9"/>
    <w:rPr>
      <w:b/>
      <w:bCs/>
    </w:rPr>
  </w:style>
  <w:style w:type="character" w:styleId="Emphasis">
    <w:name w:val="Emphasis"/>
    <w:basedOn w:val="DefaultParagraphFont"/>
    <w:uiPriority w:val="20"/>
    <w:qFormat/>
    <w:rsid w:val="00d146d9"/>
    <w:rPr>
      <w:i/>
      <w:iCs/>
    </w:rPr>
  </w:style>
  <w:style w:type="character" w:styleId="HTMLPreformattedChar" w:customStyle="1">
    <w:name w:val="HTML Preformatted Char"/>
    <w:basedOn w:val="DefaultParagraphFont"/>
    <w:link w:val="HTMLPreformatted"/>
    <w:uiPriority w:val="99"/>
    <w:semiHidden/>
    <w:qFormat/>
    <w:rsid w:val="00a56bfb"/>
    <w:rPr>
      <w:rFonts w:ascii="Courier New" w:hAnsi="Courier New" w:eastAsia="Times New Roman" w:cs="Courier New"/>
      <w:kern w:val="0"/>
      <w:sz w:val="20"/>
      <w:szCs w:val="20"/>
      <w:lang w:eastAsia="lt-LT"/>
      <w14:ligatures w14:val="none"/>
    </w:rPr>
  </w:style>
  <w:style w:type="character" w:styleId="Gnvwddmdl3b" w:customStyle="1">
    <w:name w:val="gnvwddmdl3b"/>
    <w:basedOn w:val="DefaultParagraphFont"/>
    <w:qFormat/>
    <w:rsid w:val="00a56bfb"/>
    <w:rPr/>
  </w:style>
  <w:style w:type="character" w:styleId="Gnvwddmdc4b" w:customStyle="1">
    <w:name w:val="gnvwddmdc4b"/>
    <w:basedOn w:val="DefaultParagraphFont"/>
    <w:qFormat/>
    <w:rsid w:val="00a56bfb"/>
    <w:rPr/>
  </w:style>
  <w:style w:type="character" w:styleId="Gnvwddmdb3b" w:customStyle="1">
    <w:name w:val="gnvwddmdb3b"/>
    <w:basedOn w:val="DefaultParagraphFont"/>
    <w:qFormat/>
    <w:rsid w:val="00a56bfb"/>
    <w:rPr/>
  </w:style>
  <w:style w:type="character" w:styleId="Annotationreference">
    <w:name w:val="annotation reference"/>
    <w:basedOn w:val="DefaultParagraphFont"/>
    <w:uiPriority w:val="99"/>
    <w:semiHidden/>
    <w:unhideWhenUsed/>
    <w:qFormat/>
    <w:rsid w:val="00e131bc"/>
    <w:rPr>
      <w:sz w:val="16"/>
      <w:szCs w:val="16"/>
    </w:rPr>
  </w:style>
  <w:style w:type="character" w:styleId="CommentTextChar" w:customStyle="1">
    <w:name w:val="Comment Text Char"/>
    <w:basedOn w:val="DefaultParagraphFont"/>
    <w:link w:val="CommentText"/>
    <w:uiPriority w:val="99"/>
    <w:qFormat/>
    <w:rsid w:val="00e131bc"/>
    <w:rPr>
      <w:sz w:val="20"/>
      <w:szCs w:val="20"/>
    </w:rPr>
  </w:style>
  <w:style w:type="character" w:styleId="CommentSubjectChar" w:customStyle="1">
    <w:name w:val="Comment Subject Char"/>
    <w:basedOn w:val="CommentTextChar"/>
    <w:link w:val="CommentSubject"/>
    <w:uiPriority w:val="99"/>
    <w:semiHidden/>
    <w:qFormat/>
    <w:rsid w:val="00e131bc"/>
    <w:rPr>
      <w:b/>
      <w:bCs/>
      <w:sz w:val="20"/>
      <w:szCs w:val="20"/>
    </w:rPr>
  </w:style>
  <w:style w:type="character" w:styleId="Hwtze" w:customStyle="1">
    <w:name w:val="hwtze"/>
    <w:basedOn w:val="DefaultParagraphFont"/>
    <w:qFormat/>
    <w:rsid w:val="00327953"/>
    <w:rPr/>
  </w:style>
  <w:style w:type="character" w:styleId="Rynqvb" w:customStyle="1">
    <w:name w:val="rynqvb"/>
    <w:basedOn w:val="DefaultParagraphFont"/>
    <w:qFormat/>
    <w:rsid w:val="00327953"/>
    <w:rPr/>
  </w:style>
  <w:style w:type="paragraph" w:styleId="Heading">
    <w:name w:val="Heading"/>
    <w:basedOn w:val="Normal"/>
    <w:next w:val="TextBody"/>
    <w:qFormat/>
    <w:pPr>
      <w:keepNext w:val="true"/>
      <w:spacing w:before="240" w:after="120"/>
    </w:pPr>
    <w:rPr>
      <w:rFonts w:ascii="Liberation Sans" w:hAnsi="Liberation Sans" w:eastAsia="PingFang SC"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Web">
    <w:name w:val="Normal (Web)"/>
    <w:basedOn w:val="Normal"/>
    <w:uiPriority w:val="99"/>
    <w:semiHidden/>
    <w:unhideWhenUsed/>
    <w:qFormat/>
    <w:rsid w:val="00d146d9"/>
    <w:pPr>
      <w:spacing w:lineRule="auto" w:line="240" w:beforeAutospacing="1" w:afterAutospacing="1"/>
    </w:pPr>
    <w:rPr>
      <w:rFonts w:ascii="Times New Roman" w:hAnsi="Times New Roman" w:eastAsia="Times New Roman" w:cs="Times New Roman"/>
      <w:kern w:val="0"/>
      <w:sz w:val="24"/>
      <w:szCs w:val="24"/>
      <w:lang w:eastAsia="lt-LT"/>
      <w14:ligatures w14:val="none"/>
    </w:rPr>
  </w:style>
  <w:style w:type="paragraph" w:styleId="ListParagraph">
    <w:name w:val="List Paragraph"/>
    <w:basedOn w:val="Normal"/>
    <w:uiPriority w:val="34"/>
    <w:qFormat/>
    <w:rsid w:val="00d146d9"/>
    <w:pPr>
      <w:spacing w:before="0" w:after="160"/>
      <w:ind w:left="720" w:hanging="0"/>
      <w:contextualSpacing/>
    </w:pPr>
    <w:rPr/>
  </w:style>
  <w:style w:type="paragraph" w:styleId="HTMLPreformatted">
    <w:name w:val="HTML Preformatted"/>
    <w:basedOn w:val="Normal"/>
    <w:link w:val="HTMLPreformattedChar"/>
    <w:uiPriority w:val="99"/>
    <w:semiHidden/>
    <w:unhideWhenUsed/>
    <w:qFormat/>
    <w:rsid w:val="00a56bfb"/>
    <w:pPr>
      <w:tabs>
        <w:tab w:val="clear" w:pos="129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kern w:val="0"/>
      <w:sz w:val="20"/>
      <w:szCs w:val="20"/>
      <w:lang w:eastAsia="lt-LT"/>
      <w14:ligatures w14:val="none"/>
    </w:rPr>
  </w:style>
  <w:style w:type="paragraph" w:styleId="Annotationtext">
    <w:name w:val="annotation text"/>
    <w:basedOn w:val="Normal"/>
    <w:link w:val="CommentTextChar"/>
    <w:uiPriority w:val="99"/>
    <w:unhideWhenUsed/>
    <w:qFormat/>
    <w:rsid w:val="00e131bc"/>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e131bc"/>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hart" Target="charts/chart1.xml"/><Relationship Id="rId3" Type="http://schemas.openxmlformats.org/officeDocument/2006/relationships/chart" Target="charts/chart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charts/_rels/chart1.xml.rels><?xml version="1.0" encoding="UTF-8"?>
<Relationships xmlns="http://schemas.openxmlformats.org/package/2006/relationships"><Relationship Id="rId1" Type="http://schemas.openxmlformats.org/officeDocument/2006/relationships/package" Target="../embeddings/Microsoft_Excel_Worksheet.xlsx"/>
</Relationships>
</file>

<file path=word/charts/_rels/chart2.xml.rels><?xml version="1.0" encoding="UTF-8"?>
<Relationships xmlns="http://schemas.openxmlformats.org/package/2006/relationships"><Relationship Id="rId1" Type="http://schemas.openxmlformats.org/officeDocument/2006/relationships/package" Target="../embeddings/Microsoft_Excel_Worksheet1.xlsx"/>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0" lang="lt-LT" sz="1320" spc="-1" strike="noStrike">
                <a:solidFill>
                  <a:srgbClr val="595959"/>
                </a:solidFill>
                <a:latin typeface="Times New Roman"/>
              </a:defRPr>
            </a:pPr>
            <a:r>
              <a:rPr b="0" lang="lt-LT" sz="1320" spc="-1" strike="noStrike">
                <a:solidFill>
                  <a:srgbClr val="595959"/>
                </a:solidFill>
                <a:latin typeface="Times New Roman"/>
              </a:rPr>
              <a:t>Lietuvos gyventojų suvokiamas politinis (savi)veiksmingumas</a:t>
            </a:r>
          </a:p>
        </c:rich>
      </c:tx>
      <c:overlay val="0"/>
      <c:spPr>
        <a:noFill/>
        <a:ln w="0">
          <a:noFill/>
        </a:ln>
      </c:spPr>
    </c:title>
    <c:autoTitleDeleted val="0"/>
    <c:plotArea>
      <c:barChart>
        <c:barDir val="col"/>
        <c:grouping val="clustered"/>
        <c:varyColors val="0"/>
        <c:ser>
          <c:idx val="0"/>
          <c:order val="0"/>
          <c:tx>
            <c:strRef>
              <c:f>label 0</c:f>
              <c:strCache>
                <c:ptCount val="1"/>
                <c:pt idx="0">
                  <c:v>Vidinis politinis (savi)veiksmingumas</c:v>
                </c:pt>
              </c:strCache>
            </c:strRef>
          </c:tx>
          <c:spPr>
            <a:solidFill>
              <a:srgbClr val="ff0000"/>
            </a:solidFill>
            <a:ln w="0">
              <a:noFill/>
            </a:ln>
          </c:spPr>
          <c:invertIfNegative val="0"/>
          <c:dPt>
            <c:idx val="0"/>
            <c:invertIfNegative val="0"/>
            <c:spPr>
              <a:solidFill>
                <a:srgbClr val="ff0000"/>
              </a:solidFill>
              <a:ln w="0">
                <a:noFill/>
              </a:ln>
            </c:spPr>
          </c:dPt>
          <c:dLbls>
            <c:numFmt formatCode="General" sourceLinked="0"/>
            <c:dLbl>
              <c:idx val="0"/>
              <c:numFmt formatCode="General" sourceLinked="0"/>
              <c:txPr>
                <a:bodyPr wrap="square"/>
                <a:lstStyle/>
                <a:p>
                  <a:pPr>
                    <a:defRPr b="0" sz="1100" spc="-1" strike="noStrike">
                      <a:solidFill>
                        <a:srgbClr val="404040"/>
                      </a:solidFill>
                      <a:latin typeface="Times New Roman"/>
                    </a:defRPr>
                  </a:pPr>
                </a:p>
              </c:txPr>
              <c:dLblPos val="outEnd"/>
              <c:showLegendKey val="0"/>
              <c:showVal val="1"/>
              <c:showCatName val="0"/>
              <c:showSerName val="0"/>
              <c:showPercent val="0"/>
              <c:separator>; </c:separator>
            </c:dLbl>
            <c:txPr>
              <a:bodyPr wrap="square"/>
              <a:lstStyle/>
              <a:p>
                <a:pPr>
                  <a:defRPr b="0" sz="1100" spc="-1" strike="noStrike">
                    <a:solidFill>
                      <a:srgbClr val="404040"/>
                    </a:solidFill>
                    <a:latin typeface="Times New Roman"/>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
                <c:pt idx="0">
                  <c:v/>
                </c:pt>
              </c:strCache>
            </c:strRef>
          </c:cat>
          <c:val>
            <c:numRef>
              <c:f>0</c:f>
              <c:numCache>
                <c:formatCode>General</c:formatCode>
                <c:ptCount val="1"/>
                <c:pt idx="0">
                  <c:v>1.93</c:v>
                </c:pt>
              </c:numCache>
            </c:numRef>
          </c:val>
        </c:ser>
        <c:ser>
          <c:idx val="1"/>
          <c:order val="1"/>
          <c:tx>
            <c:strRef>
              <c:f>label 1</c:f>
              <c:strCache>
                <c:ptCount val="1"/>
                <c:pt idx="0">
                  <c:v>Išorinis politinis veiksmingumas</c:v>
                </c:pt>
              </c:strCache>
            </c:strRef>
          </c:tx>
          <c:spPr>
            <a:solidFill>
              <a:srgbClr val="ffffff"/>
            </a:solidFill>
            <a:ln w="0">
              <a:solidFill>
                <a:srgbClr val="000000"/>
              </a:solidFill>
            </a:ln>
          </c:spPr>
          <c:invertIfNegative val="0"/>
          <c:dLbls>
            <c:numFmt formatCode="General" sourceLinked="0"/>
            <c:txPr>
              <a:bodyPr wrap="square"/>
              <a:lstStyle/>
              <a:p>
                <a:pPr>
                  <a:defRPr b="0" sz="1100" spc="-1" strike="noStrike">
                    <a:solidFill>
                      <a:srgbClr val="404040"/>
                    </a:solidFill>
                    <a:latin typeface="Times New Roman"/>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
                <c:pt idx="0">
                  <c:v/>
                </c:pt>
              </c:strCache>
            </c:strRef>
          </c:cat>
          <c:val>
            <c:numRef>
              <c:f>1</c:f>
              <c:numCache>
                <c:formatCode>General</c:formatCode>
                <c:ptCount val="1"/>
                <c:pt idx="0">
                  <c:v>2.11</c:v>
                </c:pt>
              </c:numCache>
            </c:numRef>
          </c:val>
        </c:ser>
        <c:gapWidth val="219"/>
        <c:overlap val="-27"/>
        <c:axId val="8050734"/>
        <c:axId val="62005348"/>
      </c:barChart>
      <c:catAx>
        <c:axId val="8050734"/>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b="0" sz="1100" spc="-1" strike="noStrike">
                <a:solidFill>
                  <a:srgbClr val="595959"/>
                </a:solidFill>
                <a:latin typeface="Times New Roman"/>
              </a:defRPr>
            </a:pPr>
          </a:p>
        </c:txPr>
        <c:crossAx val="62005348"/>
        <c:crosses val="autoZero"/>
        <c:auto val="1"/>
        <c:lblAlgn val="ctr"/>
        <c:lblOffset val="100"/>
        <c:noMultiLvlLbl val="0"/>
      </c:catAx>
      <c:valAx>
        <c:axId val="62005348"/>
        <c:scaling>
          <c:orientation val="minMax"/>
          <c:max val="5"/>
          <c:min val="1"/>
        </c:scaling>
        <c:delete val="0"/>
        <c:axPos val="l"/>
        <c:majorGridlines>
          <c:spPr>
            <a:ln w="9360">
              <a:solidFill>
                <a:srgbClr val="d9d9d9"/>
              </a:solidFill>
              <a:round/>
            </a:ln>
          </c:spPr>
        </c:majorGridlines>
        <c:title>
          <c:tx>
            <c:rich>
              <a:bodyPr rot="-5400000"/>
              <a:lstStyle/>
              <a:p>
                <a:pPr>
                  <a:defRPr b="0" lang="lt-LT" sz="1100" spc="-1" strike="noStrike">
                    <a:solidFill>
                      <a:srgbClr val="595959"/>
                    </a:solidFill>
                    <a:latin typeface="Times New Roman"/>
                  </a:defRPr>
                </a:pPr>
                <a:r>
                  <a:rPr b="0" lang="lt-LT" sz="1100" spc="-1" strike="noStrike">
                    <a:solidFill>
                      <a:srgbClr val="595959"/>
                    </a:solidFill>
                    <a:latin typeface="Times New Roman"/>
                  </a:rPr>
                  <a:t>Vidurkis</a:t>
                </a:r>
              </a:p>
            </c:rich>
          </c:tx>
          <c:overlay val="0"/>
          <c:spPr>
            <a:noFill/>
            <a:ln w="0">
              <a:noFill/>
            </a:ln>
          </c:spPr>
        </c:title>
        <c:numFmt formatCode="General" sourceLinked="0"/>
        <c:majorTickMark val="none"/>
        <c:minorTickMark val="none"/>
        <c:tickLblPos val="nextTo"/>
        <c:spPr>
          <a:ln w="6480">
            <a:noFill/>
          </a:ln>
        </c:spPr>
        <c:txPr>
          <a:bodyPr/>
          <a:lstStyle/>
          <a:p>
            <a:pPr>
              <a:defRPr b="0" sz="1100" spc="-1" strike="noStrike">
                <a:solidFill>
                  <a:srgbClr val="595959"/>
                </a:solidFill>
                <a:latin typeface="Times New Roman"/>
              </a:defRPr>
            </a:pPr>
          </a:p>
        </c:txPr>
        <c:crossAx val="8050734"/>
        <c:crosses val="autoZero"/>
        <c:crossBetween val="between"/>
        <c:majorUnit val="1"/>
      </c:valAx>
      <c:spPr>
        <a:noFill/>
        <a:ln w="0">
          <a:noFill/>
        </a:ln>
      </c:spPr>
    </c:plotArea>
    <c:legend>
      <c:legendPos val="b"/>
      <c:overlay val="0"/>
      <c:spPr>
        <a:noFill/>
        <a:ln w="0">
          <a:noFill/>
        </a:ln>
      </c:spPr>
      <c:txPr>
        <a:bodyPr/>
        <a:lstStyle/>
        <a:p>
          <a:pPr>
            <a:defRPr b="0" sz="1100" spc="-1" strike="noStrike">
              <a:solidFill>
                <a:srgbClr val="595959"/>
              </a:solidFill>
              <a:latin typeface="Times New Roman"/>
            </a:defRPr>
          </a:pPr>
        </a:p>
      </c:txPr>
    </c:legend>
    <c:plotVisOnly val="1"/>
    <c:dispBlanksAs val="gap"/>
  </c:chart>
  <c:spPr>
    <a:solidFill>
      <a:srgbClr val="ffffff"/>
    </a:solidFill>
    <a:ln w="9360">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0" lang="lt-LT" sz="1320" spc="-1" strike="noStrike">
                <a:solidFill>
                  <a:srgbClr val="595959"/>
                </a:solidFill>
                <a:latin typeface="Times New Roman"/>
              </a:defRPr>
            </a:pPr>
            <a:r>
              <a:rPr b="0" lang="lt-LT" sz="1320" spc="-1" strike="noStrike">
                <a:solidFill>
                  <a:srgbClr val="595959"/>
                </a:solidFill>
                <a:latin typeface="Times New Roman"/>
              </a:rPr>
              <a:t>Lietuvos gyventojų sovokiamas politinis (savi)veiksmingumas skirtingose amžiaus grupėse</a:t>
            </a:r>
          </a:p>
        </c:rich>
      </c:tx>
      <c:overlay val="0"/>
      <c:spPr>
        <a:noFill/>
        <a:ln w="0">
          <a:noFill/>
        </a:ln>
      </c:spPr>
    </c:title>
    <c:autoTitleDeleted val="0"/>
    <c:plotArea>
      <c:barChart>
        <c:barDir val="col"/>
        <c:grouping val="clustered"/>
        <c:varyColors val="0"/>
        <c:ser>
          <c:idx val="0"/>
          <c:order val="0"/>
          <c:tx>
            <c:strRef>
              <c:f>label 0</c:f>
              <c:strCache>
                <c:ptCount val="1"/>
                <c:pt idx="0">
                  <c:v>15-29 m.</c:v>
                </c:pt>
              </c:strCache>
            </c:strRef>
          </c:tx>
          <c:spPr>
            <a:solidFill>
              <a:srgbClr val="ff0000"/>
            </a:solidFill>
            <a:ln w="0">
              <a:noFill/>
            </a:ln>
          </c:spPr>
          <c:invertIfNegative val="0"/>
          <c:dPt>
            <c:idx val="0"/>
            <c:invertIfNegative val="0"/>
            <c:spPr>
              <a:solidFill>
                <a:srgbClr val="ff0000"/>
              </a:solidFill>
              <a:ln w="0">
                <a:noFill/>
              </a:ln>
            </c:spPr>
          </c:dPt>
          <c:dLbls>
            <c:numFmt formatCode="General" sourceLinked="0"/>
            <c:dLbl>
              <c:idx val="0"/>
              <c:numFmt formatCode="General" sourceLinked="0"/>
              <c:txPr>
                <a:bodyPr wrap="square"/>
                <a:lstStyle/>
                <a:p>
                  <a:pPr>
                    <a:defRPr b="0" sz="1100" spc="-1" strike="noStrike">
                      <a:solidFill>
                        <a:srgbClr val="404040"/>
                      </a:solidFill>
                      <a:latin typeface="Times New Roman"/>
                    </a:defRPr>
                  </a:pPr>
                </a:p>
              </c:txPr>
              <c:dLblPos val="outEnd"/>
              <c:showLegendKey val="0"/>
              <c:showVal val="1"/>
              <c:showCatName val="0"/>
              <c:showSerName val="0"/>
              <c:showPercent val="0"/>
              <c:separator>; </c:separator>
            </c:dLbl>
            <c:txPr>
              <a:bodyPr wrap="square"/>
              <a:lstStyle/>
              <a:p>
                <a:pPr>
                  <a:defRPr b="0" sz="1100" spc="-1" strike="noStrike">
                    <a:solidFill>
                      <a:srgbClr val="404040"/>
                    </a:solidFill>
                    <a:latin typeface="Times New Roman"/>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2"/>
                <c:pt idx="0">
                  <c:v>Išorinis politinis veiksmingumas</c:v>
                </c:pt>
                <c:pt idx="1">
                  <c:v>Vidinis politinis (savi)veiksmingumas</c:v>
                </c:pt>
              </c:strCache>
            </c:strRef>
          </c:cat>
          <c:val>
            <c:numRef>
              <c:f>0</c:f>
              <c:numCache>
                <c:formatCode>General</c:formatCode>
                <c:ptCount val="2"/>
                <c:pt idx="0">
                  <c:v>2.26</c:v>
                </c:pt>
                <c:pt idx="1">
                  <c:v>2.19</c:v>
                </c:pt>
              </c:numCache>
            </c:numRef>
          </c:val>
        </c:ser>
        <c:ser>
          <c:idx val="1"/>
          <c:order val="1"/>
          <c:tx>
            <c:strRef>
              <c:f>label 1</c:f>
              <c:strCache>
                <c:ptCount val="1"/>
                <c:pt idx="0">
                  <c:v>30-45 m.</c:v>
                </c:pt>
              </c:strCache>
            </c:strRef>
          </c:tx>
          <c:spPr>
            <a:solidFill>
              <a:srgbClr val="ffffff"/>
            </a:solidFill>
            <a:ln w="0">
              <a:solidFill>
                <a:srgbClr val="000000"/>
              </a:solidFill>
            </a:ln>
          </c:spPr>
          <c:invertIfNegative val="0"/>
          <c:dLbls>
            <c:numFmt formatCode="General" sourceLinked="0"/>
            <c:txPr>
              <a:bodyPr wrap="square"/>
              <a:lstStyle/>
              <a:p>
                <a:pPr>
                  <a:defRPr b="0" sz="1100" spc="-1" strike="noStrike">
                    <a:solidFill>
                      <a:srgbClr val="404040"/>
                    </a:solidFill>
                    <a:latin typeface="Times New Roman"/>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2"/>
                <c:pt idx="0">
                  <c:v>Išorinis politinis veiksmingumas</c:v>
                </c:pt>
                <c:pt idx="1">
                  <c:v>Vidinis politinis (savi)veiksmingumas</c:v>
                </c:pt>
              </c:strCache>
            </c:strRef>
          </c:cat>
          <c:val>
            <c:numRef>
              <c:f>1</c:f>
              <c:numCache>
                <c:formatCode>General</c:formatCode>
                <c:ptCount val="2"/>
                <c:pt idx="0">
                  <c:v>2.14</c:v>
                </c:pt>
                <c:pt idx="1">
                  <c:v>2.07</c:v>
                </c:pt>
              </c:numCache>
            </c:numRef>
          </c:val>
        </c:ser>
        <c:ser>
          <c:idx val="2"/>
          <c:order val="2"/>
          <c:tx>
            <c:strRef>
              <c:f>label 2</c:f>
              <c:strCache>
                <c:ptCount val="1"/>
                <c:pt idx="0">
                  <c:v>46-60 m. </c:v>
                </c:pt>
              </c:strCache>
            </c:strRef>
          </c:tx>
          <c:spPr>
            <a:solidFill>
              <a:srgbClr val="a5a5a5"/>
            </a:solidFill>
            <a:ln w="0">
              <a:noFill/>
            </a:ln>
          </c:spPr>
          <c:invertIfNegative val="0"/>
          <c:dLbls>
            <c:numFmt formatCode="General" sourceLinked="0"/>
            <c:txPr>
              <a:bodyPr wrap="square"/>
              <a:lstStyle/>
              <a:p>
                <a:pPr>
                  <a:defRPr b="0" sz="1100" spc="-1" strike="noStrike">
                    <a:solidFill>
                      <a:srgbClr val="404040"/>
                    </a:solidFill>
                    <a:latin typeface="Times New Roman"/>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2"/>
                <c:pt idx="0">
                  <c:v>Išorinis politinis veiksmingumas</c:v>
                </c:pt>
                <c:pt idx="1">
                  <c:v>Vidinis politinis (savi)veiksmingumas</c:v>
                </c:pt>
              </c:strCache>
            </c:strRef>
          </c:cat>
          <c:val>
            <c:numRef>
              <c:f>2</c:f>
              <c:numCache>
                <c:formatCode>General</c:formatCode>
                <c:ptCount val="2"/>
                <c:pt idx="0">
                  <c:v>2.04</c:v>
                </c:pt>
                <c:pt idx="1">
                  <c:v>1.94</c:v>
                </c:pt>
              </c:numCache>
            </c:numRef>
          </c:val>
        </c:ser>
        <c:ser>
          <c:idx val="3"/>
          <c:order val="3"/>
          <c:tx>
            <c:strRef>
              <c:f>label 3</c:f>
              <c:strCache>
                <c:ptCount val="1"/>
                <c:pt idx="0">
                  <c:v>61-90 m. </c:v>
                </c:pt>
              </c:strCache>
            </c:strRef>
          </c:tx>
          <c:spPr>
            <a:solidFill>
              <a:srgbClr val="ffc000"/>
            </a:solidFill>
            <a:ln w="0">
              <a:noFill/>
            </a:ln>
          </c:spPr>
          <c:invertIfNegative val="0"/>
          <c:dLbls>
            <c:numFmt formatCode="General" sourceLinked="0"/>
            <c:txPr>
              <a:bodyPr wrap="square"/>
              <a:lstStyle/>
              <a:p>
                <a:pPr>
                  <a:defRPr b="0" sz="1100" spc="-1" strike="noStrike">
                    <a:solidFill>
                      <a:srgbClr val="404040"/>
                    </a:solidFill>
                    <a:latin typeface="Times New Roman"/>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2"/>
                <c:pt idx="0">
                  <c:v>Išorinis politinis veiksmingumas</c:v>
                </c:pt>
                <c:pt idx="1">
                  <c:v>Vidinis politinis (savi)veiksmingumas</c:v>
                </c:pt>
              </c:strCache>
            </c:strRef>
          </c:cat>
          <c:val>
            <c:numRef>
              <c:f>3</c:f>
              <c:numCache>
                <c:formatCode>General</c:formatCode>
                <c:ptCount val="2"/>
                <c:pt idx="0">
                  <c:v>2.05</c:v>
                </c:pt>
                <c:pt idx="1">
                  <c:v>1.69</c:v>
                </c:pt>
              </c:numCache>
            </c:numRef>
          </c:val>
        </c:ser>
        <c:gapWidth val="219"/>
        <c:overlap val="-27"/>
        <c:axId val="99806248"/>
        <c:axId val="7065729"/>
      </c:barChart>
      <c:catAx>
        <c:axId val="99806248"/>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b="0" sz="1100" spc="-1" strike="noStrike">
                <a:solidFill>
                  <a:srgbClr val="595959"/>
                </a:solidFill>
                <a:latin typeface="Times New Roman"/>
              </a:defRPr>
            </a:pPr>
          </a:p>
        </c:txPr>
        <c:crossAx val="7065729"/>
        <c:crosses val="autoZero"/>
        <c:auto val="1"/>
        <c:lblAlgn val="ctr"/>
        <c:lblOffset val="100"/>
        <c:noMultiLvlLbl val="0"/>
      </c:catAx>
      <c:valAx>
        <c:axId val="7065729"/>
        <c:scaling>
          <c:orientation val="minMax"/>
          <c:max val="5"/>
          <c:min val="1"/>
        </c:scaling>
        <c:delete val="0"/>
        <c:axPos val="l"/>
        <c:majorGridlines>
          <c:spPr>
            <a:ln w="9360">
              <a:solidFill>
                <a:srgbClr val="d9d9d9"/>
              </a:solidFill>
              <a:round/>
            </a:ln>
          </c:spPr>
        </c:majorGridlines>
        <c:title>
          <c:tx>
            <c:rich>
              <a:bodyPr rot="-5400000"/>
              <a:lstStyle/>
              <a:p>
                <a:pPr>
                  <a:defRPr b="0" lang="lt-LT" sz="1100" spc="-1" strike="noStrike">
                    <a:solidFill>
                      <a:srgbClr val="595959"/>
                    </a:solidFill>
                    <a:latin typeface="Times New Roman"/>
                  </a:defRPr>
                </a:pPr>
                <a:r>
                  <a:rPr b="0" lang="lt-LT" sz="1100" spc="-1" strike="noStrike">
                    <a:solidFill>
                      <a:srgbClr val="595959"/>
                    </a:solidFill>
                    <a:latin typeface="Times New Roman"/>
                  </a:rPr>
                  <a:t>Vidurkis</a:t>
                </a:r>
              </a:p>
            </c:rich>
          </c:tx>
          <c:overlay val="0"/>
          <c:spPr>
            <a:noFill/>
            <a:ln w="0">
              <a:noFill/>
            </a:ln>
          </c:spPr>
        </c:title>
        <c:numFmt formatCode="General" sourceLinked="0"/>
        <c:majorTickMark val="none"/>
        <c:minorTickMark val="none"/>
        <c:tickLblPos val="nextTo"/>
        <c:spPr>
          <a:ln w="6480">
            <a:noFill/>
          </a:ln>
        </c:spPr>
        <c:txPr>
          <a:bodyPr/>
          <a:lstStyle/>
          <a:p>
            <a:pPr>
              <a:defRPr b="0" sz="1100" spc="-1" strike="noStrike">
                <a:solidFill>
                  <a:srgbClr val="595959"/>
                </a:solidFill>
                <a:latin typeface="Times New Roman"/>
              </a:defRPr>
            </a:pPr>
          </a:p>
        </c:txPr>
        <c:crossAx val="99806248"/>
        <c:crosses val="autoZero"/>
        <c:crossBetween val="between"/>
        <c:majorUnit val="1"/>
      </c:valAx>
      <c:spPr>
        <a:noFill/>
        <a:ln w="0">
          <a:noFill/>
        </a:ln>
      </c:spPr>
    </c:plotArea>
    <c:legend>
      <c:legendPos val="b"/>
      <c:overlay val="0"/>
      <c:spPr>
        <a:noFill/>
        <a:ln w="0">
          <a:noFill/>
        </a:ln>
      </c:spPr>
      <c:txPr>
        <a:bodyPr/>
        <a:lstStyle/>
        <a:p>
          <a:pPr>
            <a:defRPr b="0" sz="1100" spc="-1" strike="noStrike">
              <a:solidFill>
                <a:srgbClr val="595959"/>
              </a:solidFill>
              <a:latin typeface="Times New Roman"/>
            </a:defRPr>
          </a:pPr>
        </a:p>
      </c:txPr>
    </c:legend>
    <c:plotVisOnly val="1"/>
    <c:dispBlanksAs val="gap"/>
  </c:chart>
  <c:spPr>
    <a:solidFill>
      <a:srgbClr val="ffffff"/>
    </a:solidFill>
    <a:ln w="9360">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Application>LibreOffice/7.1.3.2$MacOSX_X86_64 LibreOffice_project/47f78053abe362b9384784d31a6e56f8511eb1c1</Application>
  <AppVersion>15.0000</AppVersion>
  <Pages>3</Pages>
  <Words>696</Words>
  <Characters>4989</Characters>
  <CharactersWithSpaces>5678</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2024-02-28T15:56:00Z</dcterms:created>
  <dc:creator>Tadas Vadvilavičius</dc:creator>
  <dc:description/>
  <dc:language>lt-LT</dc:language>
  <cp:lastModifiedBy/>
  <dcterms:modified xsi:type="dcterms:W3CDTF">2024-08-28T14:51:54Z</dcterms:modified>
  <cp:revision>153</cp:revision>
  <dc:subject/>
  <dc:title/>
</cp:coreProperties>
</file>

<file path=docProps/custom.xml><?xml version="1.0" encoding="utf-8"?>
<Properties xmlns="http://schemas.openxmlformats.org/officeDocument/2006/custom-properties" xmlns:vt="http://schemas.openxmlformats.org/officeDocument/2006/docPropsVTypes"/>
</file>