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8CB07" w14:textId="3F07913E" w:rsidR="00850628" w:rsidRPr="00850628" w:rsidRDefault="00850628" w:rsidP="00765279">
      <w:pPr>
        <w:jc w:val="both"/>
        <w:rPr>
          <w:rFonts w:cs="Times New Roman"/>
          <w:sz w:val="20"/>
          <w:szCs w:val="20"/>
          <w:lang w:val="lt-LT"/>
        </w:rPr>
      </w:pPr>
      <w:r w:rsidRPr="00850628">
        <w:rPr>
          <w:rFonts w:cs="Times New Roman"/>
          <w:sz w:val="20"/>
          <w:szCs w:val="20"/>
          <w:lang w:val="lt-LT"/>
        </w:rPr>
        <w:t>Pranešimas žiniasklaidai</w:t>
      </w:r>
    </w:p>
    <w:p w14:paraId="7B8D44B3" w14:textId="177503CA" w:rsidR="00850628" w:rsidRPr="00850628" w:rsidRDefault="00850628" w:rsidP="00765279">
      <w:pPr>
        <w:jc w:val="both"/>
        <w:rPr>
          <w:rFonts w:cs="Times New Roman"/>
          <w:sz w:val="20"/>
          <w:szCs w:val="20"/>
          <w:lang w:val="en-US"/>
        </w:rPr>
      </w:pPr>
      <w:r w:rsidRPr="00850628">
        <w:rPr>
          <w:rFonts w:cs="Times New Roman"/>
          <w:sz w:val="20"/>
          <w:szCs w:val="20"/>
          <w:lang w:val="en-US"/>
        </w:rPr>
        <w:t>2024 m. spalio 1 d.</w:t>
      </w:r>
    </w:p>
    <w:p w14:paraId="17F60470" w14:textId="77777777" w:rsidR="00850628" w:rsidRDefault="00850628" w:rsidP="00765279">
      <w:pPr>
        <w:jc w:val="both"/>
        <w:rPr>
          <w:rFonts w:cs="Times New Roman"/>
          <w:b/>
          <w:bCs/>
          <w:sz w:val="28"/>
          <w:szCs w:val="28"/>
          <w:lang w:val="lt-LT"/>
        </w:rPr>
      </w:pPr>
    </w:p>
    <w:p w14:paraId="01BDB0C4" w14:textId="45D1AD66" w:rsidR="00850628" w:rsidRDefault="00850628" w:rsidP="00765279">
      <w:pPr>
        <w:jc w:val="both"/>
        <w:rPr>
          <w:rFonts w:cs="Times New Roman"/>
          <w:b/>
          <w:bCs/>
          <w:sz w:val="28"/>
          <w:szCs w:val="28"/>
          <w:lang w:val="lt-LT"/>
        </w:rPr>
      </w:pPr>
      <w:r>
        <w:rPr>
          <w:rFonts w:cs="Times New Roman"/>
          <w:b/>
          <w:bCs/>
          <w:sz w:val="28"/>
          <w:szCs w:val="28"/>
          <w:lang w:val="lt-LT"/>
        </w:rPr>
        <w:t>D</w:t>
      </w:r>
      <w:r w:rsidR="004A3121" w:rsidRPr="00CF1D33">
        <w:rPr>
          <w:rFonts w:cs="Times New Roman"/>
          <w:b/>
          <w:bCs/>
          <w:sz w:val="28"/>
          <w:szCs w:val="28"/>
          <w:lang w:val="lt-LT"/>
        </w:rPr>
        <w:t xml:space="preserve">idžiausi pasaulio </w:t>
      </w:r>
      <w:r>
        <w:rPr>
          <w:rFonts w:cs="Times New Roman"/>
          <w:b/>
          <w:bCs/>
          <w:sz w:val="28"/>
          <w:szCs w:val="28"/>
          <w:lang w:val="lt-LT"/>
        </w:rPr>
        <w:t>investicijų fondai į investicijų portfelius įtraukia kriptovaliutas</w:t>
      </w:r>
    </w:p>
    <w:p w14:paraId="6EC7383B" w14:textId="77777777" w:rsidR="00850628" w:rsidRDefault="00850628" w:rsidP="00765279">
      <w:pPr>
        <w:jc w:val="both"/>
        <w:rPr>
          <w:rFonts w:cs="Times New Roman"/>
          <w:b/>
          <w:bCs/>
          <w:sz w:val="28"/>
          <w:szCs w:val="28"/>
          <w:lang w:val="lt-LT"/>
        </w:rPr>
      </w:pPr>
    </w:p>
    <w:p w14:paraId="10A06095" w14:textId="736E7B5F" w:rsidR="0037707D" w:rsidRPr="00CF1D33" w:rsidRDefault="004A3121" w:rsidP="00765279">
      <w:pPr>
        <w:jc w:val="both"/>
        <w:rPr>
          <w:rFonts w:cs="Times New Roman"/>
          <w:b/>
          <w:bCs/>
          <w:lang w:val="lt-LT"/>
        </w:rPr>
      </w:pPr>
      <w:r w:rsidRPr="00CF1D33">
        <w:rPr>
          <w:rFonts w:cs="Times New Roman"/>
          <w:b/>
          <w:bCs/>
          <w:lang w:val="lt-LT"/>
        </w:rPr>
        <w:t>Didžiausios pasaulio investicijų milžinės, stambios ne finansų sektoriaus kompanijos ir net valstybiniai turto fondai pastaruoju metu į savo portfelius įtraukė didelius kriptovaliutų kiekius. Skaitmeninės valiutos per kelerius pastaruosius metus visiškai atsikratė finansų pasaulio pakraščio etiketės ir tapo svarbia šiuolaikinių investavimo strategijų dalimi.</w:t>
      </w:r>
    </w:p>
    <w:p w14:paraId="7343E2AD" w14:textId="77777777" w:rsidR="004A3121" w:rsidRPr="00CF1D33" w:rsidRDefault="004A3121" w:rsidP="00765279">
      <w:pPr>
        <w:jc w:val="both"/>
        <w:rPr>
          <w:rFonts w:cs="Times New Roman"/>
          <w:b/>
          <w:bCs/>
          <w:lang w:val="lt-LT"/>
        </w:rPr>
      </w:pPr>
    </w:p>
    <w:p w14:paraId="7811F74C" w14:textId="1C0D9B3A" w:rsidR="004A3121" w:rsidRPr="00CF1D33" w:rsidRDefault="004A3121" w:rsidP="00765279">
      <w:pPr>
        <w:jc w:val="both"/>
        <w:rPr>
          <w:rFonts w:cs="Times New Roman"/>
          <w:lang w:val="lt-LT"/>
        </w:rPr>
      </w:pPr>
      <w:r w:rsidRPr="00CF1D33">
        <w:rPr>
          <w:rFonts w:cs="Times New Roman"/>
          <w:lang w:val="lt-LT"/>
        </w:rPr>
        <w:t>Privatiems investuotojams, kurių ir Lietuvoje pastaruoju metu sparčiai daugėja, tai ženklas, kad kriptovaliutos tampa patikimų, saugiu investiciniu turtu, galinčiu padėti diversifikuoti valdomą portfelį ir padidinti grąžą.</w:t>
      </w:r>
    </w:p>
    <w:p w14:paraId="338F60AB" w14:textId="14CD0BC8" w:rsidR="000D587C" w:rsidRPr="00CF1D33" w:rsidRDefault="000D587C" w:rsidP="00765279">
      <w:pPr>
        <w:jc w:val="both"/>
        <w:rPr>
          <w:rFonts w:cs="Times New Roman"/>
          <w:lang w:val="lt-LT"/>
        </w:rPr>
      </w:pPr>
    </w:p>
    <w:p w14:paraId="4B6B19BB" w14:textId="08DC141E" w:rsidR="000D587C" w:rsidRPr="00CF1D33" w:rsidRDefault="00325353" w:rsidP="00765279">
      <w:pPr>
        <w:jc w:val="both"/>
        <w:rPr>
          <w:rFonts w:cs="Times New Roman"/>
          <w:lang w:val="en-US"/>
        </w:rPr>
      </w:pPr>
      <w:r w:rsidRPr="00CF1D33">
        <w:rPr>
          <w:rFonts w:cs="Times New Roman"/>
          <w:lang w:val="lt-LT"/>
        </w:rPr>
        <w:t>„</w:t>
      </w:r>
      <w:r w:rsidR="004F7DE3" w:rsidRPr="00CF1D33">
        <w:rPr>
          <w:rFonts w:cs="Times New Roman"/>
          <w:lang w:val="lt-LT"/>
        </w:rPr>
        <w:t>B</w:t>
      </w:r>
      <w:r w:rsidR="00056B28" w:rsidRPr="00CF1D33">
        <w:rPr>
          <w:rFonts w:cs="Times New Roman"/>
          <w:lang w:val="lt-LT"/>
        </w:rPr>
        <w:t>lokų grandinės (angl. blockchain) technologij</w:t>
      </w:r>
      <w:r w:rsidR="004F7DE3" w:rsidRPr="00CF1D33">
        <w:rPr>
          <w:rFonts w:cs="Times New Roman"/>
          <w:lang w:val="lt-LT"/>
        </w:rPr>
        <w:t>ai vystantis vis</w:t>
      </w:r>
      <w:r w:rsidR="000D587C" w:rsidRPr="00CF1D33">
        <w:rPr>
          <w:rFonts w:cs="Times New Roman"/>
          <w:lang w:val="lt-LT"/>
        </w:rPr>
        <w:t xml:space="preserve"> daug</w:t>
      </w:r>
      <w:r w:rsidR="004A3121" w:rsidRPr="00CF1D33">
        <w:rPr>
          <w:rFonts w:cs="Times New Roman"/>
          <w:lang w:val="lt-LT"/>
        </w:rPr>
        <w:t>iau</w:t>
      </w:r>
      <w:r w:rsidR="000D587C" w:rsidRPr="00CF1D33">
        <w:rPr>
          <w:rFonts w:cs="Times New Roman"/>
          <w:lang w:val="lt-LT"/>
        </w:rPr>
        <w:t xml:space="preserve"> investuotojų įtraukia skaitmeninį turtą į savo portfelius</w:t>
      </w:r>
      <w:r w:rsidR="004F7DE3" w:rsidRPr="00CF1D33">
        <w:rPr>
          <w:rFonts w:cs="Times New Roman"/>
          <w:lang w:val="lt-LT"/>
        </w:rPr>
        <w:t xml:space="preserve">: </w:t>
      </w:r>
      <w:r w:rsidR="000D587C" w:rsidRPr="00CF1D33">
        <w:rPr>
          <w:rFonts w:cs="Times New Roman"/>
          <w:lang w:val="lt-LT"/>
        </w:rPr>
        <w:t>siek</w:t>
      </w:r>
      <w:r w:rsidR="004F7DE3" w:rsidRPr="00CF1D33">
        <w:rPr>
          <w:rFonts w:cs="Times New Roman"/>
          <w:lang w:val="lt-LT"/>
        </w:rPr>
        <w:t xml:space="preserve">ia </w:t>
      </w:r>
      <w:r w:rsidR="000D587C" w:rsidRPr="00CF1D33">
        <w:rPr>
          <w:rFonts w:cs="Times New Roman"/>
          <w:lang w:val="lt-LT"/>
        </w:rPr>
        <w:t>diversifikuoti</w:t>
      </w:r>
      <w:r w:rsidR="007228CD" w:rsidRPr="00CF1D33">
        <w:rPr>
          <w:rFonts w:cs="Times New Roman"/>
          <w:lang w:val="lt-LT"/>
        </w:rPr>
        <w:t xml:space="preserve"> su rinkos svyravimais susijusias</w:t>
      </w:r>
      <w:r w:rsidR="004F7DE3" w:rsidRPr="00CF1D33">
        <w:rPr>
          <w:rFonts w:cs="Times New Roman"/>
          <w:lang w:val="lt-LT"/>
        </w:rPr>
        <w:t xml:space="preserve"> rizikas</w:t>
      </w:r>
      <w:r w:rsidR="000D587C" w:rsidRPr="00CF1D33">
        <w:rPr>
          <w:rFonts w:cs="Times New Roman"/>
          <w:lang w:val="lt-LT"/>
        </w:rPr>
        <w:t>,</w:t>
      </w:r>
      <w:r w:rsidR="004F7DE3" w:rsidRPr="00CF1D33">
        <w:rPr>
          <w:rFonts w:cs="Times New Roman"/>
          <w:lang w:val="lt-LT"/>
        </w:rPr>
        <w:t xml:space="preserve"> ieško galimybių</w:t>
      </w:r>
      <w:r w:rsidR="000D587C" w:rsidRPr="00CF1D33">
        <w:rPr>
          <w:rFonts w:cs="Times New Roman"/>
          <w:lang w:val="lt-LT"/>
        </w:rPr>
        <w:t xml:space="preserve"> gauti potenciali</w:t>
      </w:r>
      <w:r w:rsidR="00DB2AAD" w:rsidRPr="00CF1D33">
        <w:rPr>
          <w:rFonts w:cs="Times New Roman"/>
          <w:lang w:val="lt-LT"/>
        </w:rPr>
        <w:t>ai</w:t>
      </w:r>
      <w:r w:rsidR="000D587C" w:rsidRPr="00CF1D33">
        <w:rPr>
          <w:rFonts w:cs="Times New Roman"/>
          <w:lang w:val="lt-LT"/>
        </w:rPr>
        <w:t xml:space="preserve"> dide</w:t>
      </w:r>
      <w:r w:rsidR="004F7DE3" w:rsidRPr="00CF1D33">
        <w:rPr>
          <w:rFonts w:cs="Times New Roman"/>
          <w:lang w:val="lt-LT"/>
        </w:rPr>
        <w:t>snę</w:t>
      </w:r>
      <w:r w:rsidR="000D587C" w:rsidRPr="00CF1D33">
        <w:rPr>
          <w:rFonts w:cs="Times New Roman"/>
          <w:lang w:val="lt-LT"/>
        </w:rPr>
        <w:t xml:space="preserve"> grąžą</w:t>
      </w:r>
      <w:r w:rsidR="004F7DE3" w:rsidRPr="00CF1D33">
        <w:rPr>
          <w:rFonts w:cs="Times New Roman"/>
          <w:lang w:val="lt-LT"/>
        </w:rPr>
        <w:t>, nepražiopsoti pasaulinių tendencijų.</w:t>
      </w:r>
      <w:r w:rsidRPr="00CF1D33">
        <w:rPr>
          <w:rFonts w:cs="Times New Roman"/>
          <w:lang w:val="lt-LT"/>
        </w:rPr>
        <w:t xml:space="preserve"> Istoriniai duomenys rodo, kad kriptovaliutos į įvairius pokyčius rinkoje reaguoja kitaip nei tradicinės turto klasės, todėl gali būti tinkama investicinė priemonė nestabiliais laikais“, – sako </w:t>
      </w:r>
      <w:r w:rsidRPr="00CF1D33">
        <w:rPr>
          <w:rFonts w:cs="Times New Roman"/>
        </w:rPr>
        <w:t>Jonas Juengeris, Lietuvoje veikiančio „Binance“ kriptokeityklos padalinio „Bifinity“ vadovas.</w:t>
      </w:r>
    </w:p>
    <w:p w14:paraId="696C4BC9" w14:textId="77777777" w:rsidR="00F01527" w:rsidRPr="00CF1D33" w:rsidRDefault="00F01527" w:rsidP="00765279">
      <w:pPr>
        <w:jc w:val="both"/>
        <w:rPr>
          <w:rFonts w:cs="Times New Roman"/>
          <w:lang w:val="lt-LT"/>
        </w:rPr>
      </w:pPr>
    </w:p>
    <w:p w14:paraId="0D2474E0" w14:textId="637A24BB" w:rsidR="00F01527" w:rsidRPr="00CF1D33" w:rsidRDefault="00F01527" w:rsidP="00765279">
      <w:pPr>
        <w:jc w:val="both"/>
        <w:rPr>
          <w:rFonts w:cs="Times New Roman"/>
          <w:b/>
          <w:bCs/>
          <w:lang w:val="lt-LT"/>
        </w:rPr>
      </w:pPr>
      <w:r w:rsidRPr="00CF1D33">
        <w:rPr>
          <w:rFonts w:cs="Times New Roman"/>
          <w:b/>
          <w:bCs/>
          <w:lang w:val="lt-LT"/>
        </w:rPr>
        <w:t>Investuotojai rizikos bijo mažiau</w:t>
      </w:r>
    </w:p>
    <w:p w14:paraId="61219EDD" w14:textId="77777777" w:rsidR="00606CB7" w:rsidRPr="00CF1D33" w:rsidRDefault="00606CB7" w:rsidP="00765279">
      <w:pPr>
        <w:jc w:val="both"/>
        <w:rPr>
          <w:rFonts w:cs="Times New Roman"/>
          <w:lang w:val="lt-LT"/>
        </w:rPr>
      </w:pPr>
    </w:p>
    <w:p w14:paraId="79D7F401" w14:textId="06AE1328" w:rsidR="00DE22DB" w:rsidRPr="00CF1D33" w:rsidRDefault="005D2EEB" w:rsidP="00765279">
      <w:pPr>
        <w:jc w:val="both"/>
        <w:rPr>
          <w:rFonts w:cs="Times New Roman"/>
          <w:lang w:val="lt-LT"/>
        </w:rPr>
      </w:pPr>
      <w:r w:rsidRPr="00CF1D33">
        <w:rPr>
          <w:rFonts w:cs="Times New Roman"/>
          <w:lang w:val="lt-LT"/>
        </w:rPr>
        <w:t>Tokių kriptovaliutų kaip bitkoinas (BTC) ir eteris (ETH) įtraukimas į diversifikuotą portfelį suteikia galimybę potencialiai padidinti grąžą ir kartu sumažinti su rinkos svyravimais susijusią riziką.</w:t>
      </w:r>
    </w:p>
    <w:p w14:paraId="290D9720" w14:textId="77777777" w:rsidR="005D2EEB" w:rsidRPr="00CF1D33" w:rsidRDefault="005D2EEB" w:rsidP="00765279">
      <w:pPr>
        <w:jc w:val="both"/>
        <w:rPr>
          <w:rFonts w:cs="Times New Roman"/>
          <w:lang w:val="lt-LT"/>
        </w:rPr>
      </w:pPr>
    </w:p>
    <w:p w14:paraId="7DD1F396" w14:textId="26007E86" w:rsidR="00606CB7" w:rsidRPr="00CF1D33" w:rsidRDefault="005D6B54" w:rsidP="00765279">
      <w:pPr>
        <w:jc w:val="both"/>
        <w:rPr>
          <w:rFonts w:cs="Times New Roman"/>
          <w:lang w:val="lt-LT"/>
        </w:rPr>
      </w:pPr>
      <w:r w:rsidRPr="00CF1D33">
        <w:rPr>
          <w:rFonts w:cs="Times New Roman"/>
          <w:lang w:val="lt-LT"/>
        </w:rPr>
        <w:t xml:space="preserve">Iš JAV finansų įstaigų pateiktų antrojo ketvirčio ataskaitų matyti, kad kai kurios </w:t>
      </w:r>
      <w:r w:rsidR="00AD5947" w:rsidRPr="00CF1D33">
        <w:rPr>
          <w:rFonts w:cs="Times New Roman"/>
          <w:lang w:val="lt-LT"/>
        </w:rPr>
        <w:t xml:space="preserve">net labiausiai rizikos vengiančios </w:t>
      </w:r>
      <w:r w:rsidRPr="00CF1D33">
        <w:rPr>
          <w:rFonts w:cs="Times New Roman"/>
          <w:lang w:val="lt-LT"/>
        </w:rPr>
        <w:t>Volstrito investicinės milžinės</w:t>
      </w:r>
      <w:r w:rsidR="00606CB7" w:rsidRPr="00CF1D33">
        <w:rPr>
          <w:rFonts w:cs="Times New Roman"/>
          <w:lang w:val="lt-LT"/>
        </w:rPr>
        <w:t xml:space="preserve"> į</w:t>
      </w:r>
      <w:r w:rsidRPr="00CF1D33">
        <w:rPr>
          <w:rFonts w:cs="Times New Roman"/>
          <w:lang w:val="lt-LT"/>
        </w:rPr>
        <w:t xml:space="preserve"> </w:t>
      </w:r>
      <w:r w:rsidR="00606CB7" w:rsidRPr="00CF1D33">
        <w:rPr>
          <w:rFonts w:cs="Times New Roman"/>
          <w:lang w:val="lt-LT"/>
        </w:rPr>
        <w:t>savo investicinius portfelius įtraukė gerokai daugiau kriptovaliutų.</w:t>
      </w:r>
      <w:r w:rsidR="007D3BFC" w:rsidRPr="00CF1D33">
        <w:rPr>
          <w:rFonts w:cs="Times New Roman"/>
          <w:lang w:val="lt-LT"/>
        </w:rPr>
        <w:t xml:space="preserve"> </w:t>
      </w:r>
      <w:r w:rsidR="00606CB7" w:rsidRPr="00CF1D33">
        <w:rPr>
          <w:rFonts w:cs="Times New Roman"/>
          <w:lang w:val="lt-LT"/>
        </w:rPr>
        <w:t xml:space="preserve">„Goldman Sachs“ ir „Morgan Stanley“ pranešė, kad įsigijo daugiau kaip 600 mln. dolerių vertės neatidėliotinų bitkoinų ETF </w:t>
      </w:r>
      <w:r w:rsidR="00DE22DB" w:rsidRPr="00CF1D33">
        <w:rPr>
          <w:rFonts w:cs="Times New Roman"/>
          <w:lang w:val="lt-LT"/>
        </w:rPr>
        <w:t>–</w:t>
      </w:r>
      <w:r w:rsidR="00606CB7" w:rsidRPr="00CF1D33">
        <w:rPr>
          <w:rFonts w:cs="Times New Roman"/>
          <w:lang w:val="lt-LT"/>
        </w:rPr>
        <w:t xml:space="preserve"> gerokai daugiau nei praėjusį ketvirtį. </w:t>
      </w:r>
    </w:p>
    <w:p w14:paraId="52431CF6" w14:textId="77777777" w:rsidR="00606CB7" w:rsidRPr="00CF1D33" w:rsidRDefault="00606CB7" w:rsidP="00765279">
      <w:pPr>
        <w:jc w:val="both"/>
        <w:rPr>
          <w:rFonts w:cs="Times New Roman"/>
          <w:lang w:val="lt-LT"/>
        </w:rPr>
      </w:pPr>
    </w:p>
    <w:p w14:paraId="716BC066" w14:textId="55160483" w:rsidR="00606CB7" w:rsidRDefault="00606CB7" w:rsidP="00765279">
      <w:pPr>
        <w:jc w:val="both"/>
        <w:rPr>
          <w:rFonts w:cs="Times New Roman"/>
          <w:lang w:val="lt-LT"/>
        </w:rPr>
      </w:pPr>
      <w:r w:rsidRPr="00CF1D33">
        <w:rPr>
          <w:rFonts w:cs="Times New Roman"/>
          <w:lang w:val="lt-LT"/>
        </w:rPr>
        <w:t xml:space="preserve">Šis žingsnis išryškina vis stipresnę tendenciją </w:t>
      </w:r>
      <w:r w:rsidR="00DE22DB" w:rsidRPr="00CF1D33">
        <w:rPr>
          <w:rFonts w:cs="Times New Roman"/>
          <w:lang w:val="lt-LT"/>
        </w:rPr>
        <w:t>–</w:t>
      </w:r>
      <w:r w:rsidRPr="00CF1D33">
        <w:rPr>
          <w:rFonts w:cs="Times New Roman"/>
          <w:lang w:val="lt-LT"/>
        </w:rPr>
        <w:t xml:space="preserve"> tradicinės finansų institucijos, šeimos biurai</w:t>
      </w:r>
      <w:r w:rsidR="003E7CC2" w:rsidRPr="00CF1D33">
        <w:rPr>
          <w:rFonts w:cs="Times New Roman"/>
          <w:lang w:val="lt-LT"/>
        </w:rPr>
        <w:t>, privatūs</w:t>
      </w:r>
      <w:r w:rsidRPr="00CF1D33">
        <w:rPr>
          <w:rFonts w:cs="Times New Roman"/>
          <w:lang w:val="lt-LT"/>
        </w:rPr>
        <w:t xml:space="preserve"> ir net nefinansinės viešosios įmonės ima pripažinti skaitmeninį turtą  ir jį vis drąsiau įtraukia į savo investicinius portfelius.</w:t>
      </w:r>
    </w:p>
    <w:p w14:paraId="61EC430D" w14:textId="77777777" w:rsidR="00CF1D33" w:rsidRDefault="00CF1D33" w:rsidP="00765279">
      <w:pPr>
        <w:jc w:val="both"/>
        <w:rPr>
          <w:rFonts w:cs="Times New Roman"/>
          <w:lang w:val="lt-LT"/>
        </w:rPr>
      </w:pPr>
    </w:p>
    <w:p w14:paraId="750F57BE" w14:textId="04ADD467" w:rsidR="00CF1D33" w:rsidRPr="00CF1D33" w:rsidRDefault="00CF1D33" w:rsidP="00CF1D33">
      <w:pPr>
        <w:jc w:val="center"/>
        <w:rPr>
          <w:rFonts w:cs="Times New Roman"/>
          <w:b/>
          <w:bCs/>
          <w:sz w:val="22"/>
          <w:szCs w:val="22"/>
          <w:lang w:val="en-US"/>
        </w:rPr>
      </w:pPr>
      <w:r w:rsidRPr="00CF1D33">
        <w:rPr>
          <w:rFonts w:cs="Times New Roman"/>
          <w:b/>
          <w:bCs/>
          <w:sz w:val="22"/>
          <w:szCs w:val="22"/>
          <w:lang w:val="lt-LT"/>
        </w:rPr>
        <w:t xml:space="preserve">Finansinio turto rizikos ir grąžos santykis per </w:t>
      </w:r>
      <w:r w:rsidRPr="00CF1D33">
        <w:rPr>
          <w:rFonts w:cs="Times New Roman"/>
          <w:b/>
          <w:bCs/>
          <w:sz w:val="22"/>
          <w:szCs w:val="22"/>
          <w:lang w:val="en-US"/>
        </w:rPr>
        <w:t>365 dienas</w:t>
      </w:r>
    </w:p>
    <w:p w14:paraId="0BEE240A" w14:textId="0071082C" w:rsidR="00CF1D33" w:rsidRPr="00CF1D33" w:rsidRDefault="00CF1D33" w:rsidP="00CF1D33">
      <w:pPr>
        <w:jc w:val="center"/>
        <w:rPr>
          <w:rFonts w:cs="Times New Roman"/>
          <w:i/>
          <w:iCs/>
          <w:sz w:val="20"/>
          <w:szCs w:val="20"/>
          <w:lang w:val="lt-LT"/>
        </w:rPr>
      </w:pPr>
      <w:r w:rsidRPr="00CF1D33">
        <w:rPr>
          <w:rFonts w:cs="Times New Roman"/>
          <w:i/>
          <w:iCs/>
          <w:sz w:val="20"/>
          <w:szCs w:val="20"/>
          <w:lang w:val="lt-LT"/>
        </w:rPr>
        <w:t>Šaltinis: CCData</w:t>
      </w:r>
    </w:p>
    <w:p w14:paraId="41785798" w14:textId="4CB5F2C2" w:rsidR="00CF1D33" w:rsidRDefault="00CF1D33" w:rsidP="00CF1D33">
      <w:pPr>
        <w:jc w:val="center"/>
        <w:rPr>
          <w:rFonts w:cs="Times New Roman"/>
          <w:lang w:val="lt-LT"/>
        </w:rPr>
      </w:pPr>
      <w:r>
        <w:rPr>
          <w:rFonts w:cs="Times New Roman"/>
          <w:noProof/>
          <w:lang w:val="en-US"/>
        </w:rPr>
        <w:lastRenderedPageBreak/>
        <w:drawing>
          <wp:inline distT="0" distB="0" distL="0" distR="0" wp14:anchorId="7B2EDB42" wp14:editId="11861B72">
            <wp:extent cx="3911827" cy="2200349"/>
            <wp:effectExtent l="0" t="0" r="0" b="0"/>
            <wp:docPr id="264894012" name="Picture 1"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894012" name="Picture 1" descr="A screen shot of a graph&#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08724" cy="2254852"/>
                    </a:xfrm>
                    <a:prstGeom prst="rect">
                      <a:avLst/>
                    </a:prstGeom>
                  </pic:spPr>
                </pic:pic>
              </a:graphicData>
            </a:graphic>
          </wp:inline>
        </w:drawing>
      </w:r>
    </w:p>
    <w:p w14:paraId="62647241" w14:textId="77777777" w:rsidR="00CF1D33" w:rsidRDefault="00CF1D33" w:rsidP="00CF1D33">
      <w:pPr>
        <w:jc w:val="center"/>
        <w:rPr>
          <w:rFonts w:cs="Times New Roman"/>
          <w:lang w:val="lt-LT"/>
        </w:rPr>
      </w:pPr>
    </w:p>
    <w:p w14:paraId="454E7619" w14:textId="77777777" w:rsidR="00CF1D33" w:rsidRPr="00CF1D33" w:rsidRDefault="00CF1D33" w:rsidP="00CF1D33">
      <w:pPr>
        <w:jc w:val="center"/>
        <w:rPr>
          <w:rFonts w:cs="Times New Roman"/>
          <w:lang w:val="lt-LT"/>
        </w:rPr>
      </w:pPr>
    </w:p>
    <w:p w14:paraId="73FA05A8" w14:textId="77777777" w:rsidR="00DC52B1" w:rsidRPr="00CF1D33" w:rsidRDefault="00DC52B1" w:rsidP="00765279">
      <w:pPr>
        <w:jc w:val="both"/>
        <w:rPr>
          <w:rFonts w:cs="Times New Roman"/>
          <w:lang w:val="lt-LT"/>
        </w:rPr>
      </w:pPr>
    </w:p>
    <w:p w14:paraId="2043846B" w14:textId="61191AB1" w:rsidR="00DC52B1" w:rsidRPr="00CF1D33" w:rsidRDefault="00CF1D33" w:rsidP="00DC52B1">
      <w:pPr>
        <w:jc w:val="both"/>
        <w:rPr>
          <w:rFonts w:cs="Times New Roman"/>
          <w:b/>
          <w:bCs/>
          <w:lang w:val="lt-LT"/>
        </w:rPr>
      </w:pPr>
      <w:r>
        <w:rPr>
          <w:rFonts w:cs="Times New Roman"/>
          <w:b/>
          <w:bCs/>
          <w:lang w:val="lt-LT"/>
        </w:rPr>
        <w:t>Susidomėjo</w:t>
      </w:r>
      <w:r w:rsidR="00DC52B1" w:rsidRPr="00CF1D33">
        <w:rPr>
          <w:rFonts w:cs="Times New Roman"/>
          <w:b/>
          <w:bCs/>
          <w:lang w:val="lt-LT"/>
        </w:rPr>
        <w:t xml:space="preserve"> šeimos biurai, verslas ir vyriausybės</w:t>
      </w:r>
    </w:p>
    <w:p w14:paraId="593BB07F" w14:textId="77777777" w:rsidR="00DC52B1" w:rsidRPr="00CF1D33" w:rsidRDefault="00DC52B1" w:rsidP="00DC52B1">
      <w:pPr>
        <w:jc w:val="both"/>
        <w:rPr>
          <w:rFonts w:cs="Times New Roman"/>
          <w:lang w:val="lt-LT"/>
        </w:rPr>
      </w:pPr>
    </w:p>
    <w:p w14:paraId="61EEEEBF" w14:textId="77777777" w:rsidR="00DC52B1" w:rsidRPr="00CF1D33" w:rsidRDefault="00DC52B1" w:rsidP="00DC52B1">
      <w:pPr>
        <w:jc w:val="both"/>
        <w:rPr>
          <w:rFonts w:cs="Times New Roman"/>
          <w:lang w:val="lt-LT"/>
        </w:rPr>
      </w:pPr>
      <w:r w:rsidRPr="00CF1D33">
        <w:rPr>
          <w:rFonts w:cs="Times New Roman"/>
          <w:lang w:val="lt-LT"/>
        </w:rPr>
        <w:t xml:space="preserve">Didėjantis tokių finansų įstaigų kaip „Goldman Sachs“ ir „JPMorgan“ dalyvavimas kriptorinkoje – tik ledkalnio viršūnė. Šeimos biurai, tradiciškai valdantys itin didelės vertės asmenų turtą, taip pat žengia į kriptovaliutų erdvę. </w:t>
      </w:r>
    </w:p>
    <w:p w14:paraId="264A03D5" w14:textId="77777777" w:rsidR="00DC52B1" w:rsidRPr="00CF1D33" w:rsidRDefault="00DC52B1" w:rsidP="00DC52B1">
      <w:pPr>
        <w:jc w:val="both"/>
        <w:rPr>
          <w:rFonts w:cs="Times New Roman"/>
          <w:lang w:val="lt-LT"/>
        </w:rPr>
      </w:pPr>
    </w:p>
    <w:p w14:paraId="0081D22F" w14:textId="77777777" w:rsidR="00DC52B1" w:rsidRPr="00CF1D33" w:rsidRDefault="00DC52B1" w:rsidP="00DC52B1">
      <w:pPr>
        <w:jc w:val="both"/>
        <w:rPr>
          <w:rFonts w:cs="Times New Roman"/>
          <w:lang w:val="lt-LT"/>
        </w:rPr>
      </w:pPr>
      <w:r w:rsidRPr="00CF1D33">
        <w:rPr>
          <w:rFonts w:cs="Times New Roman"/>
          <w:lang w:val="lt-LT"/>
        </w:rPr>
        <w:t>Remiantis finansinių paslaugų bendrovės „BNY Mellon“ ataskaita „Family Office Investment Insights“, kriptovaliutos dabar sudaro 5 proc. šeimos biurų portfelių – toks investicijų paskirstymas prieš dešimtmetį būtų buvęs neįsivaizduojamas. Be to, 33 proc. šeimos biurų specialistų nurodo, kad aktyviai investuoja į kriptovaliutas ir gali padidinti jų dalį valdomuose portfeliuose. Galimybė diversifikuoti portfelį ir uždirbti juos traukia į turto klasę, kurią dar prieš kelerius metus aplenkdavo.</w:t>
      </w:r>
    </w:p>
    <w:p w14:paraId="0F68F359" w14:textId="77777777" w:rsidR="00DC52B1" w:rsidRPr="00CF1D33" w:rsidRDefault="00DC52B1" w:rsidP="00DC52B1">
      <w:pPr>
        <w:jc w:val="both"/>
        <w:rPr>
          <w:rFonts w:cs="Times New Roman"/>
          <w:lang w:val="lt-LT"/>
        </w:rPr>
      </w:pPr>
    </w:p>
    <w:p w14:paraId="484C5F7F" w14:textId="77777777" w:rsidR="00DC52B1" w:rsidRPr="00CF1D33" w:rsidRDefault="00DC52B1" w:rsidP="00DC52B1">
      <w:pPr>
        <w:jc w:val="both"/>
        <w:rPr>
          <w:rFonts w:cs="Times New Roman"/>
          <w:lang w:val="lt-LT"/>
        </w:rPr>
      </w:pPr>
      <w:r w:rsidRPr="00CF1D33">
        <w:rPr>
          <w:rFonts w:cs="Times New Roman"/>
          <w:lang w:val="lt-LT"/>
        </w:rPr>
        <w:t>Nemaža kliūtimi investicijoms vis dar yra nepakankamai išvystyta skaitmeninio turto reguliavimo aplinka. Tiesa, ji gerėja dėl, pavyzdžiui, tokių iniciatyvų kaip ES Reglamentas dėl kriptoturto (MiCA) ar JAV vertybinių popierių ir rinkų komisijos (SEC) sprendimo leisti prekybą biržoje su momentine („spot“) bitkoino kaina tiesiogiai susietiems fondams.</w:t>
      </w:r>
    </w:p>
    <w:p w14:paraId="34F85907" w14:textId="77777777" w:rsidR="00DC52B1" w:rsidRPr="00CF1D33" w:rsidRDefault="00DC52B1" w:rsidP="00DC52B1">
      <w:pPr>
        <w:jc w:val="both"/>
        <w:rPr>
          <w:rFonts w:cs="Times New Roman"/>
          <w:lang w:val="lt-LT"/>
        </w:rPr>
      </w:pPr>
    </w:p>
    <w:p w14:paraId="367C2115" w14:textId="77777777" w:rsidR="00DC52B1" w:rsidRPr="00CF1D33" w:rsidRDefault="00DC52B1" w:rsidP="00DC52B1">
      <w:pPr>
        <w:jc w:val="both"/>
        <w:rPr>
          <w:rFonts w:cs="Times New Roman"/>
          <w:lang w:val="lt-LT"/>
        </w:rPr>
      </w:pPr>
      <w:r w:rsidRPr="00CF1D33">
        <w:rPr>
          <w:rFonts w:cs="Times New Roman"/>
          <w:lang w:val="lt-LT"/>
        </w:rPr>
        <w:t>Kriptovaliutomis vis dažniau domisi ne tik finansų įstaigos ar privatūs investuotojai, bet ir su finansų sektoriumi nesusijusios viešos įmonės, kurių balansuose taip pat yra skaitmeninio turto. Vienos tokių – „MicroStrategy“ ir „Block“</w:t>
      </w:r>
    </w:p>
    <w:p w14:paraId="530DFDAA" w14:textId="77777777" w:rsidR="00DC52B1" w:rsidRPr="00CF1D33" w:rsidRDefault="00DC52B1" w:rsidP="00DC52B1">
      <w:pPr>
        <w:jc w:val="both"/>
        <w:rPr>
          <w:rFonts w:cs="Times New Roman"/>
          <w:lang w:val="lt-LT"/>
        </w:rPr>
      </w:pPr>
    </w:p>
    <w:p w14:paraId="5AC95732" w14:textId="77777777" w:rsidR="00DC52B1" w:rsidRPr="00CF1D33" w:rsidRDefault="00DC52B1" w:rsidP="00DC52B1">
      <w:pPr>
        <w:jc w:val="both"/>
        <w:rPr>
          <w:rFonts w:cs="Times New Roman"/>
          <w:lang w:val="lt-LT"/>
        </w:rPr>
      </w:pPr>
      <w:r w:rsidRPr="00CF1D33">
        <w:rPr>
          <w:rFonts w:cs="Times New Roman"/>
          <w:lang w:val="lt-LT"/>
        </w:rPr>
        <w:t>Vis labiau populiarėja ir idėja įtraukti kriptovaliutas į valstybių turto fondus. Pavyzdžiui, Norvegijos valstybinis turto fondas, didžiausias pasaulyje, šiais metais gerokai padidino savo netiesiogines bitkoinų atsargas.</w:t>
      </w:r>
    </w:p>
    <w:p w14:paraId="0B1363D5" w14:textId="77777777" w:rsidR="00F60568" w:rsidRPr="00CF1D33" w:rsidRDefault="00F60568" w:rsidP="00765279">
      <w:pPr>
        <w:jc w:val="both"/>
        <w:rPr>
          <w:rFonts w:cs="Times New Roman"/>
          <w:lang w:val="lt-LT"/>
        </w:rPr>
      </w:pPr>
    </w:p>
    <w:p w14:paraId="2F29D18A" w14:textId="5A55A80C" w:rsidR="005D2EEB" w:rsidRPr="00CF1D33" w:rsidRDefault="009F26F5" w:rsidP="00765279">
      <w:pPr>
        <w:jc w:val="both"/>
        <w:rPr>
          <w:rFonts w:cs="Times New Roman"/>
          <w:b/>
          <w:bCs/>
          <w:lang w:val="lt-LT"/>
        </w:rPr>
      </w:pPr>
      <w:r w:rsidRPr="00CF1D33">
        <w:rPr>
          <w:rFonts w:cs="Times New Roman"/>
          <w:b/>
          <w:bCs/>
          <w:lang w:val="lt-LT"/>
        </w:rPr>
        <w:t>Kriptovaliutų įtaka portfelio rezultatams</w:t>
      </w:r>
    </w:p>
    <w:p w14:paraId="16C3A14A" w14:textId="77777777" w:rsidR="007D3BFC" w:rsidRPr="00CF1D33" w:rsidRDefault="007D3BFC" w:rsidP="00765279">
      <w:pPr>
        <w:jc w:val="both"/>
        <w:rPr>
          <w:rFonts w:cs="Times New Roman"/>
          <w:b/>
          <w:bCs/>
          <w:lang w:val="lt-LT"/>
        </w:rPr>
      </w:pPr>
    </w:p>
    <w:p w14:paraId="6A957F09" w14:textId="7AC8988A" w:rsidR="007D3BFC" w:rsidRPr="00CF1D33" w:rsidRDefault="007D3BFC" w:rsidP="00765279">
      <w:pPr>
        <w:jc w:val="both"/>
        <w:rPr>
          <w:rFonts w:cs="Times New Roman"/>
          <w:lang w:val="lt-LT"/>
        </w:rPr>
      </w:pPr>
      <w:r w:rsidRPr="00CF1D33">
        <w:rPr>
          <w:rFonts w:cs="Times New Roman"/>
          <w:lang w:val="lt-LT"/>
        </w:rPr>
        <w:t>Įvairūs skaičiavimai rodo, kad net ir nedidelis kriptovaliutų kiekis asmeniniame investiciniame krepšelyje gali pagerinti rezultatus, nes pagerėja rizikos ir grąžos santykis.</w:t>
      </w:r>
    </w:p>
    <w:p w14:paraId="547670E9" w14:textId="77777777" w:rsidR="00F60568" w:rsidRPr="00CF1D33" w:rsidRDefault="00F60568" w:rsidP="00765279">
      <w:pPr>
        <w:jc w:val="both"/>
        <w:rPr>
          <w:rFonts w:cs="Times New Roman"/>
          <w:b/>
          <w:bCs/>
          <w:lang w:val="lt-LT"/>
        </w:rPr>
      </w:pPr>
    </w:p>
    <w:p w14:paraId="6BA3EED1" w14:textId="77777777" w:rsidR="002C58C8" w:rsidRPr="00CF1D33" w:rsidRDefault="002C58C8" w:rsidP="00765279">
      <w:pPr>
        <w:jc w:val="both"/>
        <w:rPr>
          <w:rFonts w:cs="Times New Roman"/>
          <w:lang w:val="lt-LT"/>
        </w:rPr>
      </w:pPr>
      <w:r w:rsidRPr="00CF1D33">
        <w:rPr>
          <w:rFonts w:cs="Times New Roman"/>
          <w:lang w:val="lt-LT"/>
        </w:rPr>
        <w:lastRenderedPageBreak/>
        <w:t xml:space="preserve">Analitikos bendrovės „CCData“ pateikiami istoriniai duomenys rodo, kad kriptovaliutos gali užtikrinti gana didelę grąžą, o jų vertės kitimas pasižymi maža koreliacija su rinkoje prekiaujamų akcijų kainų pokyčiais. Šis gana unikalus derinys gali ne tik pagerinti investicinio portfelio grąžą, bet ir padidinti diversifikaciją. </w:t>
      </w:r>
    </w:p>
    <w:p w14:paraId="6B84D474" w14:textId="77777777" w:rsidR="002C58C8" w:rsidRPr="00CF1D33" w:rsidRDefault="002C58C8" w:rsidP="00765279">
      <w:pPr>
        <w:jc w:val="both"/>
        <w:rPr>
          <w:rFonts w:cs="Times New Roman"/>
          <w:lang w:val="lt-LT"/>
        </w:rPr>
      </w:pPr>
    </w:p>
    <w:p w14:paraId="5AE0B006" w14:textId="06E38193" w:rsidR="00DB2AAD" w:rsidRPr="00CF1D33" w:rsidRDefault="00DC2906" w:rsidP="00DB2AAD">
      <w:pPr>
        <w:jc w:val="both"/>
        <w:rPr>
          <w:rFonts w:cs="Times New Roman"/>
          <w:lang w:val="lt-LT"/>
        </w:rPr>
      </w:pPr>
      <w:r w:rsidRPr="00CF1D33">
        <w:rPr>
          <w:rFonts w:cs="Times New Roman"/>
          <w:lang w:val="lt-LT"/>
        </w:rPr>
        <w:t>Ta pati analizė atskleidžia, kad į investicinius portfelius įtraukti kriptoportfeliai turi potencialą generuoti didesnę investicinę grąža, palyginti su patiriama rizika.</w:t>
      </w:r>
      <w:r w:rsidR="00DB2AAD" w:rsidRPr="00CF1D33">
        <w:rPr>
          <w:rFonts w:cs="Times New Roman"/>
          <w:lang w:val="lt-LT"/>
        </w:rPr>
        <w:t xml:space="preserve"> Atsižvelgiant į investicinės rizikos ir potencialios grąžos santykį, per pastaruosius metus BTC ir ETH pademonstravo gerus rezultatus ir buvo patraukli alternatyva tradicinėms investicijoms.</w:t>
      </w:r>
    </w:p>
    <w:p w14:paraId="24262AB0" w14:textId="77777777" w:rsidR="00DC2906" w:rsidRPr="00CF1D33" w:rsidRDefault="00DC2906" w:rsidP="00765279">
      <w:pPr>
        <w:jc w:val="both"/>
        <w:rPr>
          <w:rFonts w:cs="Times New Roman"/>
          <w:lang w:val="lt-LT"/>
        </w:rPr>
      </w:pPr>
    </w:p>
    <w:p w14:paraId="4C39FEFA" w14:textId="7F97C72B" w:rsidR="00DC2906" w:rsidRPr="00CF1D33" w:rsidRDefault="00DC2906" w:rsidP="00765279">
      <w:pPr>
        <w:jc w:val="both"/>
        <w:rPr>
          <w:rFonts w:cs="Times New Roman"/>
          <w:lang w:val="lt-LT"/>
        </w:rPr>
      </w:pPr>
      <w:r w:rsidRPr="00CF1D33">
        <w:rPr>
          <w:rFonts w:cs="Times New Roman"/>
          <w:lang w:val="lt-LT"/>
        </w:rPr>
        <w:t xml:space="preserve">Pavyzdžiui, </w:t>
      </w:r>
      <w:r w:rsidR="00DB2AAD" w:rsidRPr="00CF1D33">
        <w:rPr>
          <w:rFonts w:cs="Times New Roman"/>
          <w:lang w:val="lt-LT"/>
        </w:rPr>
        <w:t xml:space="preserve">anot „CCData“, </w:t>
      </w:r>
      <w:r w:rsidRPr="00CF1D33">
        <w:rPr>
          <w:rFonts w:cs="Times New Roman"/>
          <w:lang w:val="lt-LT"/>
        </w:rPr>
        <w:t>portfelis, optimizuotas į jį įtraukiant skaitmeninį turtą, galėtų pasiekti 17,5 proc. metinę grąžą ir 6,25 proc. metinį vertės svyravimą</w:t>
      </w:r>
      <w:r w:rsidR="00DB2AAD" w:rsidRPr="00CF1D33">
        <w:rPr>
          <w:rFonts w:cs="Times New Roman"/>
          <w:lang w:val="lt-LT"/>
        </w:rPr>
        <w:t>.</w:t>
      </w:r>
      <w:r w:rsidRPr="00CF1D33">
        <w:rPr>
          <w:rFonts w:cs="Times New Roman"/>
          <w:lang w:val="lt-LT"/>
        </w:rPr>
        <w:t xml:space="preserve"> Palyginimui, portfelio be skaitmeninio turto metinis kintamumas esant tokiai pačiai grąžai siekia 7,46 proc.</w:t>
      </w:r>
    </w:p>
    <w:p w14:paraId="2124DA04" w14:textId="77777777" w:rsidR="00DC2906" w:rsidRPr="00CF1D33" w:rsidRDefault="00DC2906" w:rsidP="00765279">
      <w:pPr>
        <w:jc w:val="both"/>
        <w:rPr>
          <w:rFonts w:cs="Times New Roman"/>
          <w:lang w:val="lt-LT"/>
        </w:rPr>
      </w:pPr>
    </w:p>
    <w:p w14:paraId="37EC95C5" w14:textId="7CC0B720" w:rsidR="00DC2906" w:rsidRPr="00CF1D33" w:rsidRDefault="006675F3" w:rsidP="00765279">
      <w:pPr>
        <w:jc w:val="both"/>
        <w:rPr>
          <w:rFonts w:cs="Times New Roman"/>
          <w:lang w:val="lt-LT"/>
        </w:rPr>
      </w:pPr>
      <w:r w:rsidRPr="00CF1D33">
        <w:rPr>
          <w:rFonts w:cs="Times New Roman"/>
          <w:lang w:val="lt-LT"/>
        </w:rPr>
        <w:t>„</w:t>
      </w:r>
      <w:r w:rsidR="00DC2906" w:rsidRPr="00CF1D33">
        <w:rPr>
          <w:rFonts w:cs="Times New Roman"/>
          <w:lang w:val="lt-LT"/>
        </w:rPr>
        <w:t>Tai rodo, kad kriptovaliutos gali turėti teigi</w:t>
      </w:r>
      <w:r w:rsidR="00325353" w:rsidRPr="00CF1D33">
        <w:rPr>
          <w:rFonts w:cs="Times New Roman"/>
          <w:lang w:val="lt-LT"/>
        </w:rPr>
        <w:t>a</w:t>
      </w:r>
      <w:r w:rsidR="00DC2906" w:rsidRPr="00CF1D33">
        <w:rPr>
          <w:rFonts w:cs="Times New Roman"/>
          <w:lang w:val="lt-LT"/>
        </w:rPr>
        <w:t>mos įtakos portfelio rezultatams, nes pagerina rizikos ir grąžos santykį, o investuotojams suteikia daugiau galimybių pasiekti optimalias portfelio konfigūracijas, atitinkančias jų rizikos toleranciją ir grąžos lūkesčius</w:t>
      </w:r>
      <w:r w:rsidRPr="00CF1D33">
        <w:rPr>
          <w:rFonts w:cs="Times New Roman"/>
          <w:lang w:val="lt-LT"/>
        </w:rPr>
        <w:t>“, – sako J. Ju</w:t>
      </w:r>
      <w:r w:rsidR="00DB2AAD" w:rsidRPr="00CF1D33">
        <w:rPr>
          <w:rFonts w:cs="Times New Roman"/>
          <w:lang w:val="lt-LT"/>
        </w:rPr>
        <w:t>e</w:t>
      </w:r>
      <w:r w:rsidRPr="00CF1D33">
        <w:rPr>
          <w:rFonts w:cs="Times New Roman"/>
          <w:lang w:val="lt-LT"/>
        </w:rPr>
        <w:t>ngeris.</w:t>
      </w:r>
    </w:p>
    <w:p w14:paraId="230120C4" w14:textId="77777777" w:rsidR="002C58C8" w:rsidRPr="00CF1D33" w:rsidRDefault="002C58C8" w:rsidP="00765279">
      <w:pPr>
        <w:jc w:val="both"/>
        <w:rPr>
          <w:rFonts w:cs="Times New Roman"/>
          <w:lang w:val="lt-LT"/>
        </w:rPr>
      </w:pPr>
    </w:p>
    <w:p w14:paraId="55EA0465" w14:textId="5B6AE1E1" w:rsidR="004C6B81" w:rsidRPr="00CF1D33" w:rsidRDefault="004C6B81" w:rsidP="00765279">
      <w:pPr>
        <w:jc w:val="both"/>
        <w:rPr>
          <w:rFonts w:cs="Times New Roman"/>
          <w:lang w:val="lt-LT"/>
        </w:rPr>
      </w:pPr>
    </w:p>
    <w:sectPr w:rsidR="004C6B81" w:rsidRPr="00CF1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D37502"/>
    <w:multiLevelType w:val="hybridMultilevel"/>
    <w:tmpl w:val="26F00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4230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8BD"/>
    <w:rsid w:val="00031AD9"/>
    <w:rsid w:val="00056B28"/>
    <w:rsid w:val="000D587C"/>
    <w:rsid w:val="0010405D"/>
    <w:rsid w:val="00117108"/>
    <w:rsid w:val="00190D98"/>
    <w:rsid w:val="001B3E4B"/>
    <w:rsid w:val="002C58C8"/>
    <w:rsid w:val="002E069F"/>
    <w:rsid w:val="00313ED6"/>
    <w:rsid w:val="00325353"/>
    <w:rsid w:val="0037707D"/>
    <w:rsid w:val="003E7CC2"/>
    <w:rsid w:val="00495C01"/>
    <w:rsid w:val="004A3121"/>
    <w:rsid w:val="004B6481"/>
    <w:rsid w:val="004C6B81"/>
    <w:rsid w:val="004F7DE3"/>
    <w:rsid w:val="00522EB1"/>
    <w:rsid w:val="00577730"/>
    <w:rsid w:val="005D2EEB"/>
    <w:rsid w:val="005D6B54"/>
    <w:rsid w:val="005E28BD"/>
    <w:rsid w:val="00606CB7"/>
    <w:rsid w:val="006675F3"/>
    <w:rsid w:val="00717005"/>
    <w:rsid w:val="007228CD"/>
    <w:rsid w:val="00765279"/>
    <w:rsid w:val="007D3BFC"/>
    <w:rsid w:val="00850628"/>
    <w:rsid w:val="00933E1E"/>
    <w:rsid w:val="009E56C7"/>
    <w:rsid w:val="009F26F5"/>
    <w:rsid w:val="00A400B3"/>
    <w:rsid w:val="00A56266"/>
    <w:rsid w:val="00AD5947"/>
    <w:rsid w:val="00B24BEE"/>
    <w:rsid w:val="00B918D4"/>
    <w:rsid w:val="00BB4FDB"/>
    <w:rsid w:val="00C92F0C"/>
    <w:rsid w:val="00CF1D33"/>
    <w:rsid w:val="00D92FA0"/>
    <w:rsid w:val="00DB2AAD"/>
    <w:rsid w:val="00DC2536"/>
    <w:rsid w:val="00DC2906"/>
    <w:rsid w:val="00DC52B1"/>
    <w:rsid w:val="00DC747D"/>
    <w:rsid w:val="00DD7C2D"/>
    <w:rsid w:val="00DE22DB"/>
    <w:rsid w:val="00E04F8E"/>
    <w:rsid w:val="00EA25C6"/>
    <w:rsid w:val="00F01527"/>
    <w:rsid w:val="00F60568"/>
    <w:rsid w:val="00F94A6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79D8569"/>
  <w15:chartTrackingRefBased/>
  <w15:docId w15:val="{66DEFAD2-AA4A-A345-BBA3-9C9F67D0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28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28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28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28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28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28B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28B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28B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28B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8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28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28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28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28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28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28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28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28BD"/>
    <w:rPr>
      <w:rFonts w:eastAsiaTheme="majorEastAsia" w:cstheme="majorBidi"/>
      <w:color w:val="272727" w:themeColor="text1" w:themeTint="D8"/>
    </w:rPr>
  </w:style>
  <w:style w:type="paragraph" w:styleId="Title">
    <w:name w:val="Title"/>
    <w:basedOn w:val="Normal"/>
    <w:next w:val="Normal"/>
    <w:link w:val="TitleChar"/>
    <w:uiPriority w:val="10"/>
    <w:qFormat/>
    <w:rsid w:val="005E28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28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28B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28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28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28BD"/>
    <w:rPr>
      <w:i/>
      <w:iCs/>
      <w:color w:val="404040" w:themeColor="text1" w:themeTint="BF"/>
    </w:rPr>
  </w:style>
  <w:style w:type="paragraph" w:styleId="ListParagraph">
    <w:name w:val="List Paragraph"/>
    <w:basedOn w:val="Normal"/>
    <w:uiPriority w:val="34"/>
    <w:qFormat/>
    <w:rsid w:val="005E28BD"/>
    <w:pPr>
      <w:ind w:left="720"/>
      <w:contextualSpacing/>
    </w:pPr>
  </w:style>
  <w:style w:type="character" w:styleId="IntenseEmphasis">
    <w:name w:val="Intense Emphasis"/>
    <w:basedOn w:val="DefaultParagraphFont"/>
    <w:uiPriority w:val="21"/>
    <w:qFormat/>
    <w:rsid w:val="005E28BD"/>
    <w:rPr>
      <w:i/>
      <w:iCs/>
      <w:color w:val="0F4761" w:themeColor="accent1" w:themeShade="BF"/>
    </w:rPr>
  </w:style>
  <w:style w:type="paragraph" w:styleId="IntenseQuote">
    <w:name w:val="Intense Quote"/>
    <w:basedOn w:val="Normal"/>
    <w:next w:val="Normal"/>
    <w:link w:val="IntenseQuoteChar"/>
    <w:uiPriority w:val="30"/>
    <w:qFormat/>
    <w:rsid w:val="005E28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28BD"/>
    <w:rPr>
      <w:i/>
      <w:iCs/>
      <w:color w:val="0F4761" w:themeColor="accent1" w:themeShade="BF"/>
    </w:rPr>
  </w:style>
  <w:style w:type="character" w:styleId="IntenseReference">
    <w:name w:val="Intense Reference"/>
    <w:basedOn w:val="DefaultParagraphFont"/>
    <w:uiPriority w:val="32"/>
    <w:qFormat/>
    <w:rsid w:val="005E28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734063">
      <w:bodyDiv w:val="1"/>
      <w:marLeft w:val="0"/>
      <w:marRight w:val="0"/>
      <w:marTop w:val="0"/>
      <w:marBottom w:val="0"/>
      <w:divBdr>
        <w:top w:val="none" w:sz="0" w:space="0" w:color="auto"/>
        <w:left w:val="none" w:sz="0" w:space="0" w:color="auto"/>
        <w:bottom w:val="none" w:sz="0" w:space="0" w:color="auto"/>
        <w:right w:val="none" w:sz="0" w:space="0" w:color="auto"/>
      </w:divBdr>
    </w:div>
    <w:div w:id="148289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8</cp:revision>
  <dcterms:created xsi:type="dcterms:W3CDTF">2024-09-27T08:03:00Z</dcterms:created>
  <dcterms:modified xsi:type="dcterms:W3CDTF">2024-10-01T05:41:00Z</dcterms:modified>
</cp:coreProperties>
</file>