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E44DC" w14:textId="77777777" w:rsidR="009C0EDC" w:rsidRPr="009D6081" w:rsidRDefault="009C0EDC" w:rsidP="009C0EDC">
      <w:pPr>
        <w:spacing w:after="240"/>
        <w:rPr>
          <w:rFonts w:ascii="Roboto" w:eastAsia="Arial" w:hAnsi="Roboto" w:cs="Arial"/>
          <w:b/>
          <w:bCs/>
          <w:color w:val="000000" w:themeColor="text1"/>
          <w:lang w:val="lt-LT"/>
        </w:rPr>
      </w:pPr>
      <w:r w:rsidRPr="009D6081">
        <w:rPr>
          <w:rFonts w:ascii="Roboto" w:eastAsia="Arial" w:hAnsi="Roboto" w:cs="Arial"/>
          <w:b/>
          <w:bCs/>
          <w:color w:val="000000" w:themeColor="text1"/>
          <w:lang w:val="lt-LT"/>
        </w:rPr>
        <w:t>Pranešimas žiniasklaidai</w:t>
      </w:r>
    </w:p>
    <w:p w14:paraId="0FFE9106" w14:textId="1A0A759E" w:rsidR="009C0EDC" w:rsidRPr="009C0EDC" w:rsidRDefault="009C0EDC" w:rsidP="009C0EDC">
      <w:pPr>
        <w:spacing w:after="240"/>
        <w:rPr>
          <w:rFonts w:ascii="Roboto" w:eastAsia="Arial" w:hAnsi="Roboto" w:cs="Arial"/>
          <w:color w:val="000000" w:themeColor="text1"/>
          <w:lang w:val="en-US"/>
        </w:rPr>
      </w:pPr>
      <w:r w:rsidRPr="009D6081">
        <w:rPr>
          <w:rFonts w:ascii="Roboto" w:hAnsi="Roboto" w:cs="Arial"/>
          <w:color w:val="000000" w:themeColor="text1"/>
          <w:lang w:val="lt-LT"/>
        </w:rPr>
        <w:t xml:space="preserve">2024 m. </w:t>
      </w:r>
      <w:r>
        <w:rPr>
          <w:rFonts w:ascii="Roboto" w:hAnsi="Roboto" w:cs="Arial"/>
          <w:color w:val="000000" w:themeColor="text1"/>
          <w:lang w:val="lt-LT"/>
        </w:rPr>
        <w:t>spalio 1</w:t>
      </w:r>
      <w:r>
        <w:rPr>
          <w:rFonts w:ascii="Roboto" w:hAnsi="Roboto" w:cs="Arial"/>
          <w:color w:val="000000" w:themeColor="text1"/>
          <w:lang w:val="en-US"/>
        </w:rPr>
        <w:t xml:space="preserve"> d. </w:t>
      </w:r>
    </w:p>
    <w:p w14:paraId="326463D8" w14:textId="2CD20460" w:rsidR="00660FF9" w:rsidRPr="00660FF9" w:rsidRDefault="00660FF9" w:rsidP="00660FF9">
      <w:pPr>
        <w:rPr>
          <w:rFonts w:ascii="Roboto" w:hAnsi="Roboto"/>
          <w:b/>
          <w:bCs/>
          <w:lang w:val="lt-LT"/>
        </w:rPr>
      </w:pPr>
      <w:r w:rsidRPr="00660FF9">
        <w:rPr>
          <w:rFonts w:ascii="Roboto" w:hAnsi="Roboto"/>
          <w:b/>
          <w:bCs/>
          <w:lang w:val="lt-LT"/>
        </w:rPr>
        <w:t xml:space="preserve">Mažėjant palūkanų normoms, indėlių populiarumas neblėsta </w:t>
      </w:r>
    </w:p>
    <w:p w14:paraId="3757EE11" w14:textId="77777777" w:rsidR="00660FF9" w:rsidRPr="00660FF9" w:rsidRDefault="00660FF9" w:rsidP="009C0EDC">
      <w:pPr>
        <w:jc w:val="both"/>
        <w:rPr>
          <w:rFonts w:ascii="Roboto" w:hAnsi="Roboto"/>
          <w:b/>
          <w:bCs/>
          <w:lang w:val="lt-LT"/>
        </w:rPr>
      </w:pPr>
      <w:r w:rsidRPr="00660FF9">
        <w:rPr>
          <w:rFonts w:ascii="Roboto" w:hAnsi="Roboto"/>
          <w:b/>
          <w:bCs/>
          <w:lang w:val="lt-LT"/>
        </w:rPr>
        <w:t xml:space="preserve">Ilgą laiką nulį siekęs EURIBOR, 2022 m. pradėjo drastiškai kilti: viena vertus, apsunkino paskolas turinčių žmonių biudžetus, tačiau tuo pačiu į seniai matytas aukštumas iškėlė terminuotojų indėlių palūkanas. Šiemet Europos Centriniam Bankui (ECB) pradėjus bazinių palūkanų mažinimo ciklą, vis garsiau kalbama apie ir vėl sumažėsiantį indėlių populiarumą. Ar dar įmanoma suspėti pasinaudoti šia investavimo galimybe už patrauklią grąžą? </w:t>
      </w:r>
    </w:p>
    <w:p w14:paraId="2A1910A9" w14:textId="77777777" w:rsidR="00660FF9" w:rsidRPr="00660FF9" w:rsidRDefault="00660FF9" w:rsidP="009C0EDC">
      <w:pPr>
        <w:jc w:val="both"/>
        <w:rPr>
          <w:rFonts w:ascii="Roboto" w:hAnsi="Roboto"/>
          <w:lang w:val="lt-LT"/>
        </w:rPr>
      </w:pPr>
      <w:r w:rsidRPr="00660FF9">
        <w:rPr>
          <w:rFonts w:ascii="Roboto" w:hAnsi="Roboto"/>
          <w:lang w:val="lt-LT"/>
        </w:rPr>
        <w:t>Nuo 2015 m. iki 2022 m. EURIBOR buvo nulinis, tačiau prasidėjus Rusijos karui Ukrainoje,</w:t>
      </w:r>
      <w:r w:rsidRPr="00660FF9">
        <w:rPr>
          <w:rFonts w:ascii="Roboto" w:hAnsi="Roboto"/>
          <w:b/>
          <w:bCs/>
          <w:lang w:val="lt-LT"/>
        </w:rPr>
        <w:t xml:space="preserve"> </w:t>
      </w:r>
      <w:r w:rsidRPr="00660FF9">
        <w:rPr>
          <w:rFonts w:ascii="Roboto" w:hAnsi="Roboto"/>
          <w:lang w:val="lt-LT"/>
        </w:rPr>
        <w:t xml:space="preserve">energetikos krizei ir stipriai išaugus infliacijai, ECB ėmė kelti bazines palūkanų normas – 2023 m. spalį fiksuotas ir EURIBOR pikas: 4,1 proc. Tokios palūkanos stipriai pabrangino gyventojų paskolas, tačiau kartu sudrebino terminuotųjų indėlių rinką – priklausomai nuo laikotarpio ir indėlio rūšies, gyventojai už indėlį galėjo uždirbti maždaug iki 4 proc. palūkanų.  </w:t>
      </w:r>
    </w:p>
    <w:p w14:paraId="1EEC51D2" w14:textId="25BE7D37" w:rsidR="00660FF9" w:rsidRPr="00660FF9" w:rsidRDefault="00660FF9" w:rsidP="009C0EDC">
      <w:pPr>
        <w:jc w:val="both"/>
        <w:rPr>
          <w:rFonts w:ascii="Roboto" w:hAnsi="Roboto"/>
          <w:lang w:val="lt-LT"/>
        </w:rPr>
      </w:pPr>
      <w:r w:rsidRPr="00660FF9">
        <w:rPr>
          <w:rFonts w:ascii="Roboto" w:hAnsi="Roboto"/>
          <w:lang w:val="lt-LT"/>
        </w:rPr>
        <w:t>Pavykus suvaldyti rekordinę infliaciją, 2024 m. vasarą ECB pradėjo palūkanų mažinimo ciklą ir šiemet bazines palūkanas jau sumažino du kartus po 0,25 proc. punkto. Rinkos dalyviai prognozuoja, kad 3 mėnesių EURIBOR nuo dabartinių 3,3 proc. sumažės iki 2,38</w:t>
      </w:r>
      <w:r w:rsidR="00E64B32">
        <w:rPr>
          <w:rFonts w:ascii="Roboto" w:hAnsi="Roboto"/>
          <w:lang w:val="lt-LT"/>
        </w:rPr>
        <w:t xml:space="preserve"> </w:t>
      </w:r>
      <w:r w:rsidRPr="00660FF9">
        <w:rPr>
          <w:rFonts w:ascii="Roboto" w:hAnsi="Roboto"/>
          <w:lang w:val="lt-LT"/>
        </w:rPr>
        <w:t>proc. 2025 m. pirmo ketvirčio pabaigoje, o 2025 m. birželį 3 mėnesių EURIBOR turėtų siekti 2</w:t>
      </w:r>
      <w:r w:rsidR="00E64B32">
        <w:rPr>
          <w:rFonts w:ascii="Roboto" w:hAnsi="Roboto"/>
          <w:lang w:val="lt-LT"/>
        </w:rPr>
        <w:t xml:space="preserve"> </w:t>
      </w:r>
      <w:r w:rsidRPr="00660FF9">
        <w:rPr>
          <w:rFonts w:ascii="Roboto" w:hAnsi="Roboto"/>
          <w:lang w:val="lt-LT"/>
        </w:rPr>
        <w:t xml:space="preserve">proc. </w:t>
      </w:r>
    </w:p>
    <w:p w14:paraId="372FA608" w14:textId="77777777" w:rsidR="00660FF9" w:rsidRPr="00660FF9" w:rsidRDefault="00660FF9" w:rsidP="009C0EDC">
      <w:pPr>
        <w:jc w:val="both"/>
        <w:rPr>
          <w:rFonts w:ascii="Roboto" w:hAnsi="Roboto"/>
          <w:lang w:val="lt-LT"/>
        </w:rPr>
      </w:pPr>
      <w:r w:rsidRPr="00660FF9">
        <w:rPr>
          <w:rFonts w:ascii="Roboto" w:hAnsi="Roboto"/>
          <w:lang w:val="lt-LT"/>
        </w:rPr>
        <w:t xml:space="preserve">„Citadele“ banko Lietuvos filialo vadovo Dariaus Burdaičio teigimu, artimiausiu metu tai padarys įtaką ir indėlių palūkanoms, tačiau tai nebus staigus pokytis. </w:t>
      </w:r>
    </w:p>
    <w:p w14:paraId="5EDB3BE3" w14:textId="77777777" w:rsidR="00660FF9" w:rsidRPr="00660FF9" w:rsidRDefault="00660FF9" w:rsidP="009C0EDC">
      <w:pPr>
        <w:jc w:val="both"/>
        <w:rPr>
          <w:rFonts w:ascii="Roboto" w:hAnsi="Roboto"/>
          <w:lang w:val="lt-LT"/>
        </w:rPr>
      </w:pPr>
      <w:r w:rsidRPr="00660FF9">
        <w:rPr>
          <w:rFonts w:ascii="Roboto" w:hAnsi="Roboto"/>
          <w:lang w:val="lt-LT"/>
        </w:rPr>
        <w:t xml:space="preserve">„ECB bazines palūkanas mažina laipsniškai, lygiai taip pat pamažu mažėja ir EURIBOR – artimiausiu metu jis neturėtų sugrįžti į nulio zoną. Todėl indėlių palūkanos kurį laiką vis dar liks patrauklesnės, nei 2019 m., kai jos taip pat buvo artimos nuliui“, – teigia D. Burdaitis.  </w:t>
      </w:r>
    </w:p>
    <w:p w14:paraId="4D4A1266" w14:textId="77777777" w:rsidR="00660FF9" w:rsidRPr="00660FF9" w:rsidRDefault="00660FF9" w:rsidP="009C0EDC">
      <w:pPr>
        <w:jc w:val="both"/>
        <w:rPr>
          <w:rFonts w:ascii="Roboto" w:hAnsi="Roboto"/>
          <w:lang w:val="lt-LT"/>
        </w:rPr>
      </w:pPr>
      <w:r w:rsidRPr="00660FF9">
        <w:rPr>
          <w:rFonts w:ascii="Roboto" w:hAnsi="Roboto"/>
          <w:lang w:val="lt-LT"/>
        </w:rPr>
        <w:t xml:space="preserve">Nepaisant švelniai sumažėjusių palūkanų, Lietuvos banko rugsėjo mėnesio duomenys rodo, kad galimybė investuoti indėliuose ir toliau išlieka patraukli: Lietuvos gyventojų namų ūkių ir ne finansų bendrovių indėliai padidėjo atitinkamai 247,4 mln. ir 169,7 mln. eurų. </w:t>
      </w:r>
    </w:p>
    <w:p w14:paraId="6F610DCA" w14:textId="77777777" w:rsidR="00660FF9" w:rsidRPr="00660FF9" w:rsidRDefault="00660FF9" w:rsidP="009C0EDC">
      <w:pPr>
        <w:jc w:val="both"/>
        <w:rPr>
          <w:rFonts w:ascii="Roboto" w:hAnsi="Roboto"/>
          <w:lang w:val="lt-LT"/>
        </w:rPr>
      </w:pPr>
      <w:r w:rsidRPr="00660FF9">
        <w:rPr>
          <w:rFonts w:ascii="Roboto" w:hAnsi="Roboto"/>
          <w:lang w:val="lt-LT"/>
        </w:rPr>
        <w:t xml:space="preserve">„Rugsėjį metinė infliacija buvo 0,4 proc. „Citadele“ banke už 12 mėn. terminuotąjį indėlį žmogus šiuo metu gali gauti nuo 2,96 iki 3,15 proc. palūkanų. Taigi, tai vis dar išlieka efektyviu būdu gyventojams apsaugoti santaupas nuo infliacijos su mažiausia rizika“, – pastebi Darius Burdaitis. </w:t>
      </w:r>
    </w:p>
    <w:p w14:paraId="31CBDEEA" w14:textId="77777777" w:rsidR="00660FF9" w:rsidRPr="00660FF9" w:rsidRDefault="00660FF9" w:rsidP="009C0EDC">
      <w:pPr>
        <w:jc w:val="both"/>
        <w:rPr>
          <w:rFonts w:ascii="Roboto" w:hAnsi="Roboto"/>
          <w:lang w:val="lt-LT"/>
        </w:rPr>
      </w:pPr>
      <w:r w:rsidRPr="00660FF9">
        <w:rPr>
          <w:rFonts w:ascii="Roboto" w:hAnsi="Roboto"/>
          <w:lang w:val="lt-LT"/>
        </w:rPr>
        <w:t xml:space="preserve">Anot jo, įprastai labiausiai apsimoka padėti vidutinio laikotarpio, 6–12 mėn., indėlį. Taip pat sprendžiant dėl indėlio trukmės, vertėtų įvertinti infliacijos prognozes.  </w:t>
      </w:r>
    </w:p>
    <w:p w14:paraId="548DFA6B" w14:textId="77777777" w:rsidR="00660FF9" w:rsidRPr="00660FF9" w:rsidRDefault="00660FF9" w:rsidP="009C0EDC">
      <w:pPr>
        <w:jc w:val="both"/>
        <w:rPr>
          <w:rFonts w:ascii="Roboto" w:hAnsi="Roboto"/>
          <w:lang w:val="lt-LT"/>
        </w:rPr>
      </w:pPr>
      <w:r w:rsidRPr="00660FF9">
        <w:rPr>
          <w:rFonts w:ascii="Roboto" w:hAnsi="Roboto"/>
          <w:lang w:val="lt-LT"/>
        </w:rPr>
        <w:t xml:space="preserve">„Nemažą dalį gyventojų neramina faktas, kad laikant santaupas indėlyje, šių pinigų nebus galima atsiimti tam tikrą laiką. Vis dėlto, prireikus atsiimti pinigus anksčiau, nei baigiasi terminas, tai galima padaryti gana operatyviai – tokiu atveju priskaičiuotos palūkanos bus išskaičiuotos iš indėlio sumos. Kitas sprendimas – santaupas laikyti keliuose skirtingos trukmės indėliuose“, – pataria D. Burdaitis.  </w:t>
      </w:r>
    </w:p>
    <w:p w14:paraId="4D5D31E6" w14:textId="38BCA09A" w:rsidR="00CA416E" w:rsidRPr="00660FF9" w:rsidRDefault="00CA416E" w:rsidP="009C0EDC">
      <w:pPr>
        <w:jc w:val="both"/>
        <w:rPr>
          <w:rFonts w:ascii="Roboto" w:hAnsi="Roboto"/>
          <w:lang w:val="lt-LT"/>
        </w:rPr>
      </w:pPr>
    </w:p>
    <w:sectPr w:rsidR="00CA416E" w:rsidRPr="00660FF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A4092" w14:textId="77777777" w:rsidR="009B0959" w:rsidRDefault="009B0959" w:rsidP="00BE1E30">
      <w:pPr>
        <w:spacing w:after="0" w:line="240" w:lineRule="auto"/>
      </w:pPr>
      <w:r>
        <w:separator/>
      </w:r>
    </w:p>
  </w:endnote>
  <w:endnote w:type="continuationSeparator" w:id="0">
    <w:p w14:paraId="45800040" w14:textId="77777777" w:rsidR="009B0959" w:rsidRDefault="009B0959"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FE9D2" w14:textId="77777777" w:rsidR="009B0959" w:rsidRDefault="009B0959" w:rsidP="00BE1E30">
      <w:pPr>
        <w:spacing w:after="0" w:line="240" w:lineRule="auto"/>
      </w:pPr>
      <w:r>
        <w:separator/>
      </w:r>
    </w:p>
  </w:footnote>
  <w:footnote w:type="continuationSeparator" w:id="0">
    <w:p w14:paraId="397EB8B6" w14:textId="77777777" w:rsidR="009B0959" w:rsidRDefault="009B0959"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A451C" w14:textId="4C11B144" w:rsidR="009C0EDC" w:rsidRDefault="009C0EDC">
    <w:pPr>
      <w:pStyle w:val="Header"/>
    </w:pPr>
    <w:r>
      <w:rPr>
        <w:noProof/>
        <w:color w:val="2B579A"/>
        <w:shd w:val="clear" w:color="auto" w:fill="E6E6E6"/>
      </w:rPr>
      <w:drawing>
        <wp:anchor distT="0" distB="0" distL="114300" distR="114300" simplePos="0" relativeHeight="251659264" behindDoc="0" locked="0" layoutInCell="1" hidden="0" allowOverlap="1" wp14:anchorId="5DCA5E22" wp14:editId="50A51496">
          <wp:simplePos x="0" y="0"/>
          <wp:positionH relativeFrom="margin">
            <wp:posOffset>5146158</wp:posOffset>
          </wp:positionH>
          <wp:positionV relativeFrom="paragraph">
            <wp:posOffset>-223860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E"/>
    <w:rsid w:val="00084B3A"/>
    <w:rsid w:val="000915B0"/>
    <w:rsid w:val="000C7BF0"/>
    <w:rsid w:val="001009F4"/>
    <w:rsid w:val="00101700"/>
    <w:rsid w:val="001237F4"/>
    <w:rsid w:val="00123BE8"/>
    <w:rsid w:val="00123BEB"/>
    <w:rsid w:val="0017408E"/>
    <w:rsid w:val="00184675"/>
    <w:rsid w:val="001B5732"/>
    <w:rsid w:val="001C23AD"/>
    <w:rsid w:val="001E13B5"/>
    <w:rsid w:val="00202B87"/>
    <w:rsid w:val="002438D4"/>
    <w:rsid w:val="00282B9E"/>
    <w:rsid w:val="002966D1"/>
    <w:rsid w:val="002C487F"/>
    <w:rsid w:val="00303AEA"/>
    <w:rsid w:val="00311BC8"/>
    <w:rsid w:val="00346EDB"/>
    <w:rsid w:val="003741EC"/>
    <w:rsid w:val="003B4443"/>
    <w:rsid w:val="00436350"/>
    <w:rsid w:val="00487512"/>
    <w:rsid w:val="004942C5"/>
    <w:rsid w:val="0050116F"/>
    <w:rsid w:val="005341FE"/>
    <w:rsid w:val="005358F8"/>
    <w:rsid w:val="00576775"/>
    <w:rsid w:val="005A3F32"/>
    <w:rsid w:val="005A5058"/>
    <w:rsid w:val="005D4948"/>
    <w:rsid w:val="005F550F"/>
    <w:rsid w:val="00603D97"/>
    <w:rsid w:val="006325BE"/>
    <w:rsid w:val="0063564D"/>
    <w:rsid w:val="0063747B"/>
    <w:rsid w:val="00660FF9"/>
    <w:rsid w:val="00692A22"/>
    <w:rsid w:val="006B5CD4"/>
    <w:rsid w:val="006C256D"/>
    <w:rsid w:val="006C7ECB"/>
    <w:rsid w:val="007233D2"/>
    <w:rsid w:val="0073613E"/>
    <w:rsid w:val="00750A99"/>
    <w:rsid w:val="007A4676"/>
    <w:rsid w:val="007C33F9"/>
    <w:rsid w:val="007D1787"/>
    <w:rsid w:val="008126DE"/>
    <w:rsid w:val="00820190"/>
    <w:rsid w:val="00842DEA"/>
    <w:rsid w:val="00856A66"/>
    <w:rsid w:val="00870C7F"/>
    <w:rsid w:val="00885448"/>
    <w:rsid w:val="0089660B"/>
    <w:rsid w:val="008B641F"/>
    <w:rsid w:val="00926C69"/>
    <w:rsid w:val="009409BE"/>
    <w:rsid w:val="00956083"/>
    <w:rsid w:val="009B0959"/>
    <w:rsid w:val="009C0EDC"/>
    <w:rsid w:val="009D5CD2"/>
    <w:rsid w:val="009D680F"/>
    <w:rsid w:val="009D7CEB"/>
    <w:rsid w:val="00A21DD0"/>
    <w:rsid w:val="00A621E3"/>
    <w:rsid w:val="00A85BD2"/>
    <w:rsid w:val="00A969AC"/>
    <w:rsid w:val="00AB470F"/>
    <w:rsid w:val="00AD6C13"/>
    <w:rsid w:val="00B30387"/>
    <w:rsid w:val="00B5183E"/>
    <w:rsid w:val="00BA11B1"/>
    <w:rsid w:val="00BA4945"/>
    <w:rsid w:val="00BB5C91"/>
    <w:rsid w:val="00BE0A4C"/>
    <w:rsid w:val="00BE1E30"/>
    <w:rsid w:val="00C42617"/>
    <w:rsid w:val="00C42C03"/>
    <w:rsid w:val="00C57E97"/>
    <w:rsid w:val="00C74C7E"/>
    <w:rsid w:val="00C84AAD"/>
    <w:rsid w:val="00CA416E"/>
    <w:rsid w:val="00CD41BF"/>
    <w:rsid w:val="00D355B7"/>
    <w:rsid w:val="00D40009"/>
    <w:rsid w:val="00D72995"/>
    <w:rsid w:val="00DA10CD"/>
    <w:rsid w:val="00DB74E1"/>
    <w:rsid w:val="00DC57D8"/>
    <w:rsid w:val="00E30F6B"/>
    <w:rsid w:val="00E64B32"/>
    <w:rsid w:val="00E719D0"/>
    <w:rsid w:val="00EB09C9"/>
    <w:rsid w:val="00EE4AE1"/>
    <w:rsid w:val="00F15FE7"/>
    <w:rsid w:val="00F370E9"/>
    <w:rsid w:val="00F72001"/>
    <w:rsid w:val="00F72B77"/>
    <w:rsid w:val="00F7545E"/>
    <w:rsid w:val="00F92418"/>
    <w:rsid w:val="00F93F68"/>
    <w:rsid w:val="00FE7B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79D44"/>
  <w15:chartTrackingRefBased/>
  <w15:docId w15:val="{A78E015B-5B6D-4031-A2AC-2F372DC64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41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41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41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41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41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41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41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41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41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1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41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41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41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41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41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41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41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416E"/>
    <w:rPr>
      <w:rFonts w:eastAsiaTheme="majorEastAsia" w:cstheme="majorBidi"/>
      <w:color w:val="272727" w:themeColor="text1" w:themeTint="D8"/>
    </w:rPr>
  </w:style>
  <w:style w:type="paragraph" w:styleId="Title">
    <w:name w:val="Title"/>
    <w:basedOn w:val="Normal"/>
    <w:next w:val="Normal"/>
    <w:link w:val="TitleChar"/>
    <w:uiPriority w:val="10"/>
    <w:qFormat/>
    <w:rsid w:val="00CA41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41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41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41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416E"/>
    <w:pPr>
      <w:spacing w:before="160"/>
      <w:jc w:val="center"/>
    </w:pPr>
    <w:rPr>
      <w:i/>
      <w:iCs/>
      <w:color w:val="404040" w:themeColor="text1" w:themeTint="BF"/>
    </w:rPr>
  </w:style>
  <w:style w:type="character" w:customStyle="1" w:styleId="QuoteChar">
    <w:name w:val="Quote Char"/>
    <w:basedOn w:val="DefaultParagraphFont"/>
    <w:link w:val="Quote"/>
    <w:uiPriority w:val="29"/>
    <w:rsid w:val="00CA416E"/>
    <w:rPr>
      <w:i/>
      <w:iCs/>
      <w:color w:val="404040" w:themeColor="text1" w:themeTint="BF"/>
    </w:rPr>
  </w:style>
  <w:style w:type="paragraph" w:styleId="ListParagraph">
    <w:name w:val="List Paragraph"/>
    <w:basedOn w:val="Normal"/>
    <w:uiPriority w:val="34"/>
    <w:qFormat/>
    <w:rsid w:val="00CA416E"/>
    <w:pPr>
      <w:ind w:left="720"/>
      <w:contextualSpacing/>
    </w:pPr>
  </w:style>
  <w:style w:type="character" w:styleId="IntenseEmphasis">
    <w:name w:val="Intense Emphasis"/>
    <w:basedOn w:val="DefaultParagraphFont"/>
    <w:uiPriority w:val="21"/>
    <w:qFormat/>
    <w:rsid w:val="00CA416E"/>
    <w:rPr>
      <w:i/>
      <w:iCs/>
      <w:color w:val="0F4761" w:themeColor="accent1" w:themeShade="BF"/>
    </w:rPr>
  </w:style>
  <w:style w:type="paragraph" w:styleId="IntenseQuote">
    <w:name w:val="Intense Quote"/>
    <w:basedOn w:val="Normal"/>
    <w:next w:val="Normal"/>
    <w:link w:val="IntenseQuoteChar"/>
    <w:uiPriority w:val="30"/>
    <w:qFormat/>
    <w:rsid w:val="00CA41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416E"/>
    <w:rPr>
      <w:i/>
      <w:iCs/>
      <w:color w:val="0F4761" w:themeColor="accent1" w:themeShade="BF"/>
    </w:rPr>
  </w:style>
  <w:style w:type="character" w:styleId="IntenseReference">
    <w:name w:val="Intense Reference"/>
    <w:basedOn w:val="DefaultParagraphFont"/>
    <w:uiPriority w:val="32"/>
    <w:qFormat/>
    <w:rsid w:val="00CA416E"/>
    <w:rPr>
      <w:b/>
      <w:bCs/>
      <w:smallCaps/>
      <w:color w:val="0F4761" w:themeColor="accent1" w:themeShade="BF"/>
      <w:spacing w:val="5"/>
    </w:rPr>
  </w:style>
  <w:style w:type="character" w:styleId="Hyperlink">
    <w:name w:val="Hyperlink"/>
    <w:basedOn w:val="DefaultParagraphFont"/>
    <w:uiPriority w:val="99"/>
    <w:unhideWhenUsed/>
    <w:rsid w:val="00CA416E"/>
    <w:rPr>
      <w:color w:val="467886" w:themeColor="hyperlink"/>
      <w:u w:val="single"/>
    </w:rPr>
  </w:style>
  <w:style w:type="character" w:styleId="UnresolvedMention">
    <w:name w:val="Unresolved Mention"/>
    <w:basedOn w:val="DefaultParagraphFont"/>
    <w:uiPriority w:val="99"/>
    <w:semiHidden/>
    <w:unhideWhenUsed/>
    <w:rsid w:val="00CA416E"/>
    <w:rPr>
      <w:color w:val="605E5C"/>
      <w:shd w:val="clear" w:color="auto" w:fill="E1DFDD"/>
    </w:rPr>
  </w:style>
  <w:style w:type="character" w:styleId="CommentReference">
    <w:name w:val="annotation reference"/>
    <w:basedOn w:val="DefaultParagraphFont"/>
    <w:uiPriority w:val="99"/>
    <w:semiHidden/>
    <w:unhideWhenUsed/>
    <w:rsid w:val="00CA416E"/>
    <w:rPr>
      <w:sz w:val="16"/>
      <w:szCs w:val="16"/>
    </w:rPr>
  </w:style>
  <w:style w:type="paragraph" w:styleId="CommentText">
    <w:name w:val="annotation text"/>
    <w:basedOn w:val="Normal"/>
    <w:link w:val="CommentTextChar"/>
    <w:uiPriority w:val="99"/>
    <w:unhideWhenUsed/>
    <w:rsid w:val="00CA416E"/>
    <w:pPr>
      <w:spacing w:line="240" w:lineRule="auto"/>
    </w:pPr>
    <w:rPr>
      <w:sz w:val="20"/>
      <w:szCs w:val="20"/>
    </w:rPr>
  </w:style>
  <w:style w:type="character" w:customStyle="1" w:styleId="CommentTextChar">
    <w:name w:val="Comment Text Char"/>
    <w:basedOn w:val="DefaultParagraphFont"/>
    <w:link w:val="CommentText"/>
    <w:uiPriority w:val="99"/>
    <w:rsid w:val="00CA416E"/>
    <w:rPr>
      <w:sz w:val="20"/>
      <w:szCs w:val="20"/>
    </w:rPr>
  </w:style>
  <w:style w:type="paragraph" w:styleId="CommentSubject">
    <w:name w:val="annotation subject"/>
    <w:basedOn w:val="CommentText"/>
    <w:next w:val="CommentText"/>
    <w:link w:val="CommentSubjectChar"/>
    <w:uiPriority w:val="99"/>
    <w:semiHidden/>
    <w:unhideWhenUsed/>
    <w:rsid w:val="00CA416E"/>
    <w:rPr>
      <w:b/>
      <w:bCs/>
    </w:rPr>
  </w:style>
  <w:style w:type="character" w:customStyle="1" w:styleId="CommentSubjectChar">
    <w:name w:val="Comment Subject Char"/>
    <w:basedOn w:val="CommentTextChar"/>
    <w:link w:val="CommentSubject"/>
    <w:uiPriority w:val="99"/>
    <w:semiHidden/>
    <w:rsid w:val="00CA416E"/>
    <w:rPr>
      <w:b/>
      <w:bCs/>
      <w:sz w:val="20"/>
      <w:szCs w:val="20"/>
    </w:rPr>
  </w:style>
  <w:style w:type="paragraph" w:styleId="Header">
    <w:name w:val="header"/>
    <w:basedOn w:val="Normal"/>
    <w:link w:val="HeaderChar"/>
    <w:uiPriority w:val="99"/>
    <w:unhideWhenUsed/>
    <w:rsid w:val="009C0E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EDC"/>
  </w:style>
  <w:style w:type="paragraph" w:styleId="Footer">
    <w:name w:val="footer"/>
    <w:basedOn w:val="Normal"/>
    <w:link w:val="FooterChar"/>
    <w:uiPriority w:val="99"/>
    <w:unhideWhenUsed/>
    <w:rsid w:val="009C0E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415840">
      <w:bodyDiv w:val="1"/>
      <w:marLeft w:val="0"/>
      <w:marRight w:val="0"/>
      <w:marTop w:val="0"/>
      <w:marBottom w:val="0"/>
      <w:divBdr>
        <w:top w:val="none" w:sz="0" w:space="0" w:color="auto"/>
        <w:left w:val="none" w:sz="0" w:space="0" w:color="auto"/>
        <w:bottom w:val="none" w:sz="0" w:space="0" w:color="auto"/>
        <w:right w:val="none" w:sz="0" w:space="0" w:color="auto"/>
      </w:divBdr>
    </w:div>
    <w:div w:id="830026389">
      <w:bodyDiv w:val="1"/>
      <w:marLeft w:val="0"/>
      <w:marRight w:val="0"/>
      <w:marTop w:val="0"/>
      <w:marBottom w:val="0"/>
      <w:divBdr>
        <w:top w:val="none" w:sz="0" w:space="0" w:color="auto"/>
        <w:left w:val="none" w:sz="0" w:space="0" w:color="auto"/>
        <w:bottom w:val="none" w:sz="0" w:space="0" w:color="auto"/>
        <w:right w:val="none" w:sz="0" w:space="0" w:color="auto"/>
      </w:divBdr>
    </w:div>
    <w:div w:id="844856271">
      <w:bodyDiv w:val="1"/>
      <w:marLeft w:val="0"/>
      <w:marRight w:val="0"/>
      <w:marTop w:val="0"/>
      <w:marBottom w:val="0"/>
      <w:divBdr>
        <w:top w:val="none" w:sz="0" w:space="0" w:color="auto"/>
        <w:left w:val="none" w:sz="0" w:space="0" w:color="auto"/>
        <w:bottom w:val="none" w:sz="0" w:space="0" w:color="auto"/>
        <w:right w:val="none" w:sz="0" w:space="0" w:color="auto"/>
      </w:divBdr>
    </w:div>
    <w:div w:id="1056245767">
      <w:bodyDiv w:val="1"/>
      <w:marLeft w:val="0"/>
      <w:marRight w:val="0"/>
      <w:marTop w:val="0"/>
      <w:marBottom w:val="0"/>
      <w:divBdr>
        <w:top w:val="none" w:sz="0" w:space="0" w:color="auto"/>
        <w:left w:val="none" w:sz="0" w:space="0" w:color="auto"/>
        <w:bottom w:val="none" w:sz="0" w:space="0" w:color="auto"/>
        <w:right w:val="none" w:sz="0" w:space="0" w:color="auto"/>
      </w:divBdr>
    </w:div>
    <w:div w:id="1351299712">
      <w:bodyDiv w:val="1"/>
      <w:marLeft w:val="0"/>
      <w:marRight w:val="0"/>
      <w:marTop w:val="0"/>
      <w:marBottom w:val="0"/>
      <w:divBdr>
        <w:top w:val="none" w:sz="0" w:space="0" w:color="auto"/>
        <w:left w:val="none" w:sz="0" w:space="0" w:color="auto"/>
        <w:bottom w:val="none" w:sz="0" w:space="0" w:color="auto"/>
        <w:right w:val="none" w:sz="0" w:space="0" w:color="auto"/>
      </w:divBdr>
    </w:div>
    <w:div w:id="1362051230">
      <w:bodyDiv w:val="1"/>
      <w:marLeft w:val="0"/>
      <w:marRight w:val="0"/>
      <w:marTop w:val="0"/>
      <w:marBottom w:val="0"/>
      <w:divBdr>
        <w:top w:val="none" w:sz="0" w:space="0" w:color="auto"/>
        <w:left w:val="none" w:sz="0" w:space="0" w:color="auto"/>
        <w:bottom w:val="none" w:sz="0" w:space="0" w:color="auto"/>
        <w:right w:val="none" w:sz="0" w:space="0" w:color="auto"/>
      </w:divBdr>
      <w:divsChild>
        <w:div w:id="2094206785">
          <w:marLeft w:val="0"/>
          <w:marRight w:val="0"/>
          <w:marTop w:val="0"/>
          <w:marBottom w:val="0"/>
          <w:divBdr>
            <w:top w:val="none" w:sz="0" w:space="0" w:color="auto"/>
            <w:left w:val="none" w:sz="0" w:space="0" w:color="auto"/>
            <w:bottom w:val="none" w:sz="0" w:space="0" w:color="auto"/>
            <w:right w:val="none" w:sz="0" w:space="0" w:color="auto"/>
          </w:divBdr>
        </w:div>
        <w:div w:id="765005738">
          <w:marLeft w:val="0"/>
          <w:marRight w:val="0"/>
          <w:marTop w:val="0"/>
          <w:marBottom w:val="0"/>
          <w:divBdr>
            <w:top w:val="none" w:sz="0" w:space="0" w:color="auto"/>
            <w:left w:val="none" w:sz="0" w:space="0" w:color="auto"/>
            <w:bottom w:val="none" w:sz="0" w:space="0" w:color="auto"/>
            <w:right w:val="none" w:sz="0" w:space="0" w:color="auto"/>
          </w:divBdr>
        </w:div>
        <w:div w:id="148908531">
          <w:marLeft w:val="0"/>
          <w:marRight w:val="0"/>
          <w:marTop w:val="0"/>
          <w:marBottom w:val="0"/>
          <w:divBdr>
            <w:top w:val="none" w:sz="0" w:space="0" w:color="auto"/>
            <w:left w:val="none" w:sz="0" w:space="0" w:color="auto"/>
            <w:bottom w:val="none" w:sz="0" w:space="0" w:color="auto"/>
            <w:right w:val="none" w:sz="0" w:space="0" w:color="auto"/>
          </w:divBdr>
        </w:div>
        <w:div w:id="1589381910">
          <w:marLeft w:val="0"/>
          <w:marRight w:val="0"/>
          <w:marTop w:val="0"/>
          <w:marBottom w:val="0"/>
          <w:divBdr>
            <w:top w:val="none" w:sz="0" w:space="0" w:color="auto"/>
            <w:left w:val="none" w:sz="0" w:space="0" w:color="auto"/>
            <w:bottom w:val="none" w:sz="0" w:space="0" w:color="auto"/>
            <w:right w:val="none" w:sz="0" w:space="0" w:color="auto"/>
          </w:divBdr>
        </w:div>
        <w:div w:id="1730612147">
          <w:marLeft w:val="0"/>
          <w:marRight w:val="0"/>
          <w:marTop w:val="0"/>
          <w:marBottom w:val="0"/>
          <w:divBdr>
            <w:top w:val="none" w:sz="0" w:space="0" w:color="auto"/>
            <w:left w:val="none" w:sz="0" w:space="0" w:color="auto"/>
            <w:bottom w:val="none" w:sz="0" w:space="0" w:color="auto"/>
            <w:right w:val="none" w:sz="0" w:space="0" w:color="auto"/>
          </w:divBdr>
        </w:div>
        <w:div w:id="1272737164">
          <w:marLeft w:val="0"/>
          <w:marRight w:val="0"/>
          <w:marTop w:val="0"/>
          <w:marBottom w:val="0"/>
          <w:divBdr>
            <w:top w:val="none" w:sz="0" w:space="0" w:color="auto"/>
            <w:left w:val="none" w:sz="0" w:space="0" w:color="auto"/>
            <w:bottom w:val="none" w:sz="0" w:space="0" w:color="auto"/>
            <w:right w:val="none" w:sz="0" w:space="0" w:color="auto"/>
          </w:divBdr>
        </w:div>
        <w:div w:id="1260941858">
          <w:marLeft w:val="0"/>
          <w:marRight w:val="0"/>
          <w:marTop w:val="0"/>
          <w:marBottom w:val="0"/>
          <w:divBdr>
            <w:top w:val="none" w:sz="0" w:space="0" w:color="auto"/>
            <w:left w:val="none" w:sz="0" w:space="0" w:color="auto"/>
            <w:bottom w:val="none" w:sz="0" w:space="0" w:color="auto"/>
            <w:right w:val="none" w:sz="0" w:space="0" w:color="auto"/>
          </w:divBdr>
        </w:div>
        <w:div w:id="519972519">
          <w:marLeft w:val="0"/>
          <w:marRight w:val="0"/>
          <w:marTop w:val="0"/>
          <w:marBottom w:val="0"/>
          <w:divBdr>
            <w:top w:val="none" w:sz="0" w:space="0" w:color="auto"/>
            <w:left w:val="none" w:sz="0" w:space="0" w:color="auto"/>
            <w:bottom w:val="none" w:sz="0" w:space="0" w:color="auto"/>
            <w:right w:val="none" w:sz="0" w:space="0" w:color="auto"/>
          </w:divBdr>
        </w:div>
        <w:div w:id="1583561669">
          <w:marLeft w:val="0"/>
          <w:marRight w:val="0"/>
          <w:marTop w:val="0"/>
          <w:marBottom w:val="0"/>
          <w:divBdr>
            <w:top w:val="none" w:sz="0" w:space="0" w:color="auto"/>
            <w:left w:val="none" w:sz="0" w:space="0" w:color="auto"/>
            <w:bottom w:val="none" w:sz="0" w:space="0" w:color="auto"/>
            <w:right w:val="none" w:sz="0" w:space="0" w:color="auto"/>
          </w:divBdr>
        </w:div>
        <w:div w:id="471481414">
          <w:marLeft w:val="0"/>
          <w:marRight w:val="0"/>
          <w:marTop w:val="0"/>
          <w:marBottom w:val="0"/>
          <w:divBdr>
            <w:top w:val="none" w:sz="0" w:space="0" w:color="auto"/>
            <w:left w:val="none" w:sz="0" w:space="0" w:color="auto"/>
            <w:bottom w:val="none" w:sz="0" w:space="0" w:color="auto"/>
            <w:right w:val="none" w:sz="0" w:space="0" w:color="auto"/>
          </w:divBdr>
        </w:div>
      </w:divsChild>
    </w:div>
    <w:div w:id="1441343067">
      <w:bodyDiv w:val="1"/>
      <w:marLeft w:val="0"/>
      <w:marRight w:val="0"/>
      <w:marTop w:val="0"/>
      <w:marBottom w:val="0"/>
      <w:divBdr>
        <w:top w:val="none" w:sz="0" w:space="0" w:color="auto"/>
        <w:left w:val="none" w:sz="0" w:space="0" w:color="auto"/>
        <w:bottom w:val="none" w:sz="0" w:space="0" w:color="auto"/>
        <w:right w:val="none" w:sz="0" w:space="0" w:color="auto"/>
      </w:divBdr>
      <w:divsChild>
        <w:div w:id="885415011">
          <w:marLeft w:val="0"/>
          <w:marRight w:val="0"/>
          <w:marTop w:val="0"/>
          <w:marBottom w:val="0"/>
          <w:divBdr>
            <w:top w:val="none" w:sz="0" w:space="0" w:color="auto"/>
            <w:left w:val="none" w:sz="0" w:space="0" w:color="auto"/>
            <w:bottom w:val="none" w:sz="0" w:space="0" w:color="auto"/>
            <w:right w:val="none" w:sz="0" w:space="0" w:color="auto"/>
          </w:divBdr>
        </w:div>
        <w:div w:id="1624581829">
          <w:marLeft w:val="0"/>
          <w:marRight w:val="0"/>
          <w:marTop w:val="0"/>
          <w:marBottom w:val="0"/>
          <w:divBdr>
            <w:top w:val="none" w:sz="0" w:space="0" w:color="auto"/>
            <w:left w:val="none" w:sz="0" w:space="0" w:color="auto"/>
            <w:bottom w:val="none" w:sz="0" w:space="0" w:color="auto"/>
            <w:right w:val="none" w:sz="0" w:space="0" w:color="auto"/>
          </w:divBdr>
        </w:div>
        <w:div w:id="1965623023">
          <w:marLeft w:val="0"/>
          <w:marRight w:val="0"/>
          <w:marTop w:val="0"/>
          <w:marBottom w:val="0"/>
          <w:divBdr>
            <w:top w:val="none" w:sz="0" w:space="0" w:color="auto"/>
            <w:left w:val="none" w:sz="0" w:space="0" w:color="auto"/>
            <w:bottom w:val="none" w:sz="0" w:space="0" w:color="auto"/>
            <w:right w:val="none" w:sz="0" w:space="0" w:color="auto"/>
          </w:divBdr>
        </w:div>
        <w:div w:id="383867147">
          <w:marLeft w:val="0"/>
          <w:marRight w:val="0"/>
          <w:marTop w:val="0"/>
          <w:marBottom w:val="0"/>
          <w:divBdr>
            <w:top w:val="none" w:sz="0" w:space="0" w:color="auto"/>
            <w:left w:val="none" w:sz="0" w:space="0" w:color="auto"/>
            <w:bottom w:val="none" w:sz="0" w:space="0" w:color="auto"/>
            <w:right w:val="none" w:sz="0" w:space="0" w:color="auto"/>
          </w:divBdr>
        </w:div>
        <w:div w:id="421268312">
          <w:marLeft w:val="0"/>
          <w:marRight w:val="0"/>
          <w:marTop w:val="0"/>
          <w:marBottom w:val="0"/>
          <w:divBdr>
            <w:top w:val="none" w:sz="0" w:space="0" w:color="auto"/>
            <w:left w:val="none" w:sz="0" w:space="0" w:color="auto"/>
            <w:bottom w:val="none" w:sz="0" w:space="0" w:color="auto"/>
            <w:right w:val="none" w:sz="0" w:space="0" w:color="auto"/>
          </w:divBdr>
        </w:div>
        <w:div w:id="812254229">
          <w:marLeft w:val="0"/>
          <w:marRight w:val="0"/>
          <w:marTop w:val="0"/>
          <w:marBottom w:val="0"/>
          <w:divBdr>
            <w:top w:val="none" w:sz="0" w:space="0" w:color="auto"/>
            <w:left w:val="none" w:sz="0" w:space="0" w:color="auto"/>
            <w:bottom w:val="none" w:sz="0" w:space="0" w:color="auto"/>
            <w:right w:val="none" w:sz="0" w:space="0" w:color="auto"/>
          </w:divBdr>
        </w:div>
        <w:div w:id="883056351">
          <w:marLeft w:val="0"/>
          <w:marRight w:val="0"/>
          <w:marTop w:val="0"/>
          <w:marBottom w:val="0"/>
          <w:divBdr>
            <w:top w:val="none" w:sz="0" w:space="0" w:color="auto"/>
            <w:left w:val="none" w:sz="0" w:space="0" w:color="auto"/>
            <w:bottom w:val="none" w:sz="0" w:space="0" w:color="auto"/>
            <w:right w:val="none" w:sz="0" w:space="0" w:color="auto"/>
          </w:divBdr>
        </w:div>
        <w:div w:id="1029722859">
          <w:marLeft w:val="0"/>
          <w:marRight w:val="0"/>
          <w:marTop w:val="0"/>
          <w:marBottom w:val="0"/>
          <w:divBdr>
            <w:top w:val="none" w:sz="0" w:space="0" w:color="auto"/>
            <w:left w:val="none" w:sz="0" w:space="0" w:color="auto"/>
            <w:bottom w:val="none" w:sz="0" w:space="0" w:color="auto"/>
            <w:right w:val="none" w:sz="0" w:space="0" w:color="auto"/>
          </w:divBdr>
        </w:div>
        <w:div w:id="491220925">
          <w:marLeft w:val="0"/>
          <w:marRight w:val="0"/>
          <w:marTop w:val="0"/>
          <w:marBottom w:val="0"/>
          <w:divBdr>
            <w:top w:val="none" w:sz="0" w:space="0" w:color="auto"/>
            <w:left w:val="none" w:sz="0" w:space="0" w:color="auto"/>
            <w:bottom w:val="none" w:sz="0" w:space="0" w:color="auto"/>
            <w:right w:val="none" w:sz="0" w:space="0" w:color="auto"/>
          </w:divBdr>
        </w:div>
        <w:div w:id="1455638478">
          <w:marLeft w:val="0"/>
          <w:marRight w:val="0"/>
          <w:marTop w:val="0"/>
          <w:marBottom w:val="0"/>
          <w:divBdr>
            <w:top w:val="none" w:sz="0" w:space="0" w:color="auto"/>
            <w:left w:val="none" w:sz="0" w:space="0" w:color="auto"/>
            <w:bottom w:val="none" w:sz="0" w:space="0" w:color="auto"/>
            <w:right w:val="none" w:sz="0" w:space="0" w:color="auto"/>
          </w:divBdr>
        </w:div>
      </w:divsChild>
    </w:div>
    <w:div w:id="150602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3</cp:revision>
  <dcterms:created xsi:type="dcterms:W3CDTF">2024-10-01T06:21:00Z</dcterms:created>
  <dcterms:modified xsi:type="dcterms:W3CDTF">2024-10-01T06:21:00Z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2024-09-26T13:21:22Z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48a0649b-1d77-4e7a-9656-4ebde0a61fc0</vt:lpwstr>
  </property>
  <property fmtid="{D5CDD505-2E9C-101B-9397-08002B2CF9AE}" pid="8" name="MSIP_Label_0ad73909-fe4c-4ea4-a237-8cae65968fdb_ContentBits">
    <vt:lpwstr>0</vt:lpwstr>
  </property>
</Properties>
</file>