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BB409" w14:textId="77777777" w:rsidR="000B6EE3" w:rsidRPr="00C7380B" w:rsidRDefault="000B6EE3" w:rsidP="000B6EE3">
      <w:pPr>
        <w:spacing w:after="0"/>
        <w:jc w:val="both"/>
        <w:rPr>
          <w:rFonts w:ascii="Times New Roman" w:hAnsi="Times New Roman" w:cs="Times New Roman"/>
          <w:sz w:val="24"/>
          <w:szCs w:val="24"/>
        </w:rPr>
      </w:pPr>
      <w:r w:rsidRPr="00C7380B">
        <w:rPr>
          <w:rFonts w:ascii="Times New Roman" w:hAnsi="Times New Roman" w:cs="Times New Roman"/>
          <w:sz w:val="24"/>
          <w:szCs w:val="24"/>
        </w:rPr>
        <w:t>Pranešimas spaudai</w:t>
      </w:r>
    </w:p>
    <w:p w14:paraId="7964BBA0" w14:textId="66CFB00A" w:rsidR="000B6EE3" w:rsidRPr="000B6EE3" w:rsidRDefault="000B6EE3" w:rsidP="000B6EE3">
      <w:pPr>
        <w:spacing w:after="0"/>
        <w:jc w:val="both"/>
        <w:rPr>
          <w:rFonts w:ascii="Times New Roman" w:hAnsi="Times New Roman" w:cs="Times New Roman"/>
          <w:sz w:val="24"/>
          <w:szCs w:val="24"/>
        </w:rPr>
      </w:pPr>
      <w:r w:rsidRPr="00C7380B">
        <w:rPr>
          <w:rFonts w:ascii="Times New Roman" w:hAnsi="Times New Roman" w:cs="Times New Roman"/>
          <w:sz w:val="24"/>
          <w:szCs w:val="24"/>
        </w:rPr>
        <w:t xml:space="preserve">2024 m. </w:t>
      </w:r>
      <w:r w:rsidR="00E26452">
        <w:rPr>
          <w:rFonts w:ascii="Times New Roman" w:hAnsi="Times New Roman" w:cs="Times New Roman"/>
          <w:sz w:val="24"/>
          <w:szCs w:val="24"/>
        </w:rPr>
        <w:t>spalio</w:t>
      </w:r>
      <w:r w:rsidRPr="00C7380B">
        <w:rPr>
          <w:rFonts w:ascii="Times New Roman" w:hAnsi="Times New Roman" w:cs="Times New Roman"/>
          <w:sz w:val="24"/>
          <w:szCs w:val="24"/>
        </w:rPr>
        <w:t xml:space="preserve"> </w:t>
      </w:r>
      <w:r w:rsidR="00F66E54">
        <w:rPr>
          <w:rFonts w:ascii="Times New Roman" w:hAnsi="Times New Roman" w:cs="Times New Roman"/>
          <w:sz w:val="24"/>
          <w:szCs w:val="24"/>
        </w:rPr>
        <w:t>10</w:t>
      </w:r>
      <w:r w:rsidRPr="00C7380B">
        <w:rPr>
          <w:rFonts w:ascii="Times New Roman" w:hAnsi="Times New Roman" w:cs="Times New Roman"/>
          <w:sz w:val="24"/>
          <w:szCs w:val="24"/>
        </w:rPr>
        <w:t xml:space="preserve"> d.</w:t>
      </w:r>
    </w:p>
    <w:p w14:paraId="25856763" w14:textId="77777777" w:rsidR="000B6EE3" w:rsidRDefault="000B6EE3" w:rsidP="000B6EE3">
      <w:pPr>
        <w:jc w:val="both"/>
        <w:rPr>
          <w:rFonts w:ascii="Times New Roman" w:hAnsi="Times New Roman" w:cs="Times New Roman"/>
          <w:b/>
          <w:bCs/>
          <w:sz w:val="28"/>
          <w:szCs w:val="28"/>
        </w:rPr>
      </w:pPr>
    </w:p>
    <w:p w14:paraId="71763BA7" w14:textId="3FE44240" w:rsidR="00BC6CFB" w:rsidRDefault="00147347" w:rsidP="000B6EE3">
      <w:pPr>
        <w:jc w:val="both"/>
        <w:rPr>
          <w:rFonts w:ascii="Times New Roman" w:hAnsi="Times New Roman" w:cs="Times New Roman"/>
          <w:b/>
          <w:bCs/>
          <w:sz w:val="28"/>
          <w:szCs w:val="28"/>
        </w:rPr>
      </w:pPr>
      <w:r w:rsidRPr="00147347">
        <w:rPr>
          <w:rFonts w:ascii="Times New Roman" w:hAnsi="Times New Roman" w:cs="Times New Roman"/>
          <w:b/>
          <w:bCs/>
          <w:sz w:val="28"/>
          <w:szCs w:val="28"/>
        </w:rPr>
        <w:t>Lietuvos NT vystytojams į nugarą alsuoja nauji reikalavimai</w:t>
      </w:r>
    </w:p>
    <w:p w14:paraId="21F4D3EE" w14:textId="28878140" w:rsidR="009F6F8F" w:rsidRDefault="009C70AD" w:rsidP="000B6EE3">
      <w:pPr>
        <w:jc w:val="both"/>
        <w:rPr>
          <w:rFonts w:ascii="Times New Roman" w:hAnsi="Times New Roman" w:cs="Times New Roman"/>
          <w:b/>
          <w:bCs/>
          <w:sz w:val="24"/>
          <w:szCs w:val="24"/>
          <w:lang w:eastAsia="lt-LT"/>
        </w:rPr>
      </w:pPr>
      <w:r>
        <w:rPr>
          <w:rFonts w:ascii="Times New Roman" w:hAnsi="Times New Roman" w:cs="Times New Roman"/>
          <w:b/>
          <w:bCs/>
          <w:sz w:val="24"/>
          <w:szCs w:val="24"/>
          <w:lang w:eastAsia="lt-LT"/>
        </w:rPr>
        <w:t>Nekilnojamojo turto (NT) rinkoje įsitvirtinę</w:t>
      </w:r>
      <w:r w:rsidR="00941E66">
        <w:rPr>
          <w:rFonts w:ascii="Times New Roman" w:hAnsi="Times New Roman" w:cs="Times New Roman"/>
          <w:b/>
          <w:bCs/>
          <w:sz w:val="24"/>
          <w:szCs w:val="24"/>
          <w:lang w:eastAsia="lt-LT"/>
        </w:rPr>
        <w:t>s</w:t>
      </w:r>
      <w:r w:rsidR="001B3BA7">
        <w:rPr>
          <w:rFonts w:ascii="Times New Roman" w:hAnsi="Times New Roman" w:cs="Times New Roman"/>
          <w:b/>
          <w:bCs/>
          <w:sz w:val="24"/>
          <w:szCs w:val="24"/>
          <w:lang w:eastAsia="lt-LT"/>
        </w:rPr>
        <w:t xml:space="preserve"> pastatų sertifikavimas pagal tvarumo standartus jau seniai tapo nusistovėjusia praktika. </w:t>
      </w:r>
      <w:r w:rsidR="00544971">
        <w:rPr>
          <w:rFonts w:ascii="Times New Roman" w:hAnsi="Times New Roman" w:cs="Times New Roman"/>
          <w:b/>
          <w:bCs/>
          <w:sz w:val="24"/>
          <w:szCs w:val="24"/>
          <w:lang w:eastAsia="lt-LT"/>
        </w:rPr>
        <w:t>Vis dėlto ir šioje srityje yra pokyčių – r</w:t>
      </w:r>
      <w:r w:rsidR="00B61137">
        <w:rPr>
          <w:rFonts w:ascii="Times New Roman" w:hAnsi="Times New Roman" w:cs="Times New Roman"/>
          <w:b/>
          <w:bCs/>
          <w:sz w:val="24"/>
          <w:szCs w:val="24"/>
          <w:lang w:eastAsia="lt-LT"/>
        </w:rPr>
        <w:t>eikalavimai atitikt</w:t>
      </w:r>
      <w:r w:rsidR="00180279">
        <w:rPr>
          <w:rFonts w:ascii="Times New Roman" w:hAnsi="Times New Roman" w:cs="Times New Roman"/>
          <w:b/>
          <w:bCs/>
          <w:sz w:val="24"/>
          <w:szCs w:val="24"/>
          <w:lang w:eastAsia="lt-LT"/>
        </w:rPr>
        <w:t>i tarptautinius tvarumo standartus vis dažniau keliami ne tik</w:t>
      </w:r>
      <w:r w:rsidR="00E75651">
        <w:rPr>
          <w:rFonts w:ascii="Times New Roman" w:hAnsi="Times New Roman" w:cs="Times New Roman"/>
          <w:b/>
          <w:bCs/>
          <w:sz w:val="24"/>
          <w:szCs w:val="24"/>
          <w:lang w:eastAsia="lt-LT"/>
        </w:rPr>
        <w:t xml:space="preserve"> pastatams, bet ir pačioms NT srityje veikiančioms įmonėms.</w:t>
      </w:r>
    </w:p>
    <w:p w14:paraId="59AC2BA7" w14:textId="37F11EE7" w:rsidR="003939EE" w:rsidRDefault="00BE5770" w:rsidP="003939EE">
      <w:pPr>
        <w:jc w:val="both"/>
        <w:rPr>
          <w:rFonts w:ascii="Times New Roman" w:hAnsi="Times New Roman" w:cs="Times New Roman"/>
          <w:sz w:val="24"/>
          <w:szCs w:val="24"/>
          <w:bdr w:val="none" w:sz="0" w:space="0" w:color="auto" w:frame="1"/>
        </w:rPr>
      </w:pPr>
      <w:r>
        <w:rPr>
          <w:rFonts w:ascii="Times New Roman" w:hAnsi="Times New Roman" w:cs="Times New Roman"/>
          <w:sz w:val="24"/>
          <w:szCs w:val="24"/>
          <w:lang w:eastAsia="lt-LT"/>
        </w:rPr>
        <w:t xml:space="preserve">Pasak </w:t>
      </w:r>
      <w:r w:rsidR="00CA36FA">
        <w:rPr>
          <w:rFonts w:ascii="Times New Roman" w:hAnsi="Times New Roman" w:cs="Times New Roman"/>
          <w:sz w:val="24"/>
          <w:szCs w:val="24"/>
          <w:lang w:eastAsia="lt-LT"/>
        </w:rPr>
        <w:t xml:space="preserve">„Vesta </w:t>
      </w:r>
      <w:proofErr w:type="spellStart"/>
      <w:r w:rsidR="00CA36FA">
        <w:rPr>
          <w:rFonts w:ascii="Times New Roman" w:hAnsi="Times New Roman" w:cs="Times New Roman"/>
          <w:sz w:val="24"/>
          <w:szCs w:val="24"/>
          <w:lang w:eastAsia="lt-LT"/>
        </w:rPr>
        <w:t>Consulting</w:t>
      </w:r>
      <w:proofErr w:type="spellEnd"/>
      <w:r w:rsidR="00CA36FA">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 xml:space="preserve">vadovo Evaldo Savickio, </w:t>
      </w:r>
      <w:r w:rsidR="004747E3">
        <w:rPr>
          <w:rFonts w:ascii="Times New Roman" w:hAnsi="Times New Roman" w:cs="Times New Roman"/>
          <w:sz w:val="24"/>
          <w:szCs w:val="24"/>
          <w:lang w:eastAsia="lt-LT"/>
        </w:rPr>
        <w:t>Baltijos šalių rinkose stebima nauja tendencija – tvarumas yra vertinamas vis platesne apimtimi</w:t>
      </w:r>
      <w:r w:rsidR="006F4A6D">
        <w:rPr>
          <w:rFonts w:ascii="Times New Roman" w:hAnsi="Times New Roman" w:cs="Times New Roman"/>
          <w:sz w:val="24"/>
          <w:szCs w:val="24"/>
          <w:lang w:eastAsia="lt-LT"/>
        </w:rPr>
        <w:t>.</w:t>
      </w:r>
    </w:p>
    <w:p w14:paraId="3D137F82" w14:textId="769C865E" w:rsidR="003939EE" w:rsidRDefault="003939EE" w:rsidP="003939EE">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w:t>
      </w:r>
      <w:r w:rsidR="00291D1E">
        <w:rPr>
          <w:rFonts w:ascii="Times New Roman" w:hAnsi="Times New Roman" w:cs="Times New Roman"/>
          <w:sz w:val="24"/>
          <w:szCs w:val="24"/>
          <w:bdr w:val="none" w:sz="0" w:space="0" w:color="auto" w:frame="1"/>
        </w:rPr>
        <w:t>I</w:t>
      </w:r>
      <w:r w:rsidRPr="00C924C4">
        <w:rPr>
          <w:rFonts w:ascii="Times New Roman" w:hAnsi="Times New Roman" w:cs="Times New Roman"/>
          <w:sz w:val="24"/>
          <w:szCs w:val="24"/>
          <w:bdr w:val="none" w:sz="0" w:space="0" w:color="auto" w:frame="1"/>
        </w:rPr>
        <w:t>nstituciniai investuotojai, svarstantys apie investavimą į NT įmonės naujų projektų vystymą, rūpinasi ne tik pastat</w:t>
      </w:r>
      <w:r>
        <w:rPr>
          <w:rFonts w:ascii="Times New Roman" w:hAnsi="Times New Roman" w:cs="Times New Roman"/>
          <w:sz w:val="24"/>
          <w:szCs w:val="24"/>
          <w:bdr w:val="none" w:sz="0" w:space="0" w:color="auto" w:frame="1"/>
        </w:rPr>
        <w:t>o</w:t>
      </w:r>
      <w:r w:rsidRPr="00C924C4">
        <w:rPr>
          <w:rFonts w:ascii="Times New Roman" w:hAnsi="Times New Roman" w:cs="Times New Roman"/>
          <w:sz w:val="24"/>
          <w:szCs w:val="24"/>
          <w:bdr w:val="none" w:sz="0" w:space="0" w:color="auto" w:frame="1"/>
        </w:rPr>
        <w:t xml:space="preserve">, tačiau ir bendrovės tvarumu. </w:t>
      </w:r>
      <w:r>
        <w:rPr>
          <w:rFonts w:ascii="Times New Roman" w:hAnsi="Times New Roman" w:cs="Times New Roman"/>
          <w:sz w:val="24"/>
          <w:szCs w:val="24"/>
          <w:bdr w:val="none" w:sz="0" w:space="0" w:color="auto" w:frame="1"/>
        </w:rPr>
        <w:t>Jau</w:t>
      </w:r>
      <w:r w:rsidRPr="00C924C4">
        <w:rPr>
          <w:rFonts w:ascii="Times New Roman" w:hAnsi="Times New Roman" w:cs="Times New Roman"/>
          <w:sz w:val="24"/>
          <w:szCs w:val="24"/>
          <w:bdr w:val="none" w:sz="0" w:space="0" w:color="auto" w:frame="1"/>
        </w:rPr>
        <w:t xml:space="preserve"> nebeužtenka parodyti, kad bendrovės kuriamas produktas yra tvarus ir atitinka tvarumo standartus</w:t>
      </w:r>
      <w:r>
        <w:rPr>
          <w:rFonts w:ascii="Times New Roman" w:hAnsi="Times New Roman" w:cs="Times New Roman"/>
          <w:sz w:val="24"/>
          <w:szCs w:val="24"/>
          <w:bdr w:val="none" w:sz="0" w:space="0" w:color="auto" w:frame="1"/>
        </w:rPr>
        <w:t xml:space="preserve">, būtina atskleisti ir pagrįsti informaciją apie pačios </w:t>
      </w:r>
      <w:r w:rsidRPr="00C924C4">
        <w:rPr>
          <w:rFonts w:ascii="Times New Roman" w:hAnsi="Times New Roman" w:cs="Times New Roman"/>
          <w:sz w:val="24"/>
          <w:szCs w:val="24"/>
          <w:bdr w:val="none" w:sz="0" w:space="0" w:color="auto" w:frame="1"/>
        </w:rPr>
        <w:t>bendrovės valdymo kultūrą, sprendimų priėmimo principus, įdiegtus standartus, politikas ir strateginius tikslus</w:t>
      </w:r>
      <w:r>
        <w:rPr>
          <w:rFonts w:ascii="Times New Roman" w:hAnsi="Times New Roman" w:cs="Times New Roman"/>
          <w:sz w:val="24"/>
          <w:szCs w:val="24"/>
          <w:bdr w:val="none" w:sz="0" w:space="0" w:color="auto" w:frame="1"/>
        </w:rPr>
        <w:t xml:space="preserve">“, – </w:t>
      </w:r>
      <w:r w:rsidR="00291D1E">
        <w:rPr>
          <w:rFonts w:ascii="Times New Roman" w:hAnsi="Times New Roman" w:cs="Times New Roman"/>
          <w:sz w:val="24"/>
          <w:szCs w:val="24"/>
          <w:bdr w:val="none" w:sz="0" w:space="0" w:color="auto" w:frame="1"/>
        </w:rPr>
        <w:t>komentuoja</w:t>
      </w:r>
      <w:r>
        <w:rPr>
          <w:rFonts w:ascii="Times New Roman" w:hAnsi="Times New Roman" w:cs="Times New Roman"/>
          <w:sz w:val="24"/>
          <w:szCs w:val="24"/>
          <w:bdr w:val="none" w:sz="0" w:space="0" w:color="auto" w:frame="1"/>
        </w:rPr>
        <w:t xml:space="preserve"> </w:t>
      </w:r>
      <w:r w:rsidR="00707EDE">
        <w:rPr>
          <w:rFonts w:ascii="Times New Roman" w:hAnsi="Times New Roman" w:cs="Times New Roman"/>
          <w:sz w:val="24"/>
          <w:szCs w:val="24"/>
          <w:bdr w:val="none" w:sz="0" w:space="0" w:color="auto" w:frame="1"/>
        </w:rPr>
        <w:t>E. Savickis</w:t>
      </w:r>
      <w:r>
        <w:rPr>
          <w:rFonts w:ascii="Times New Roman" w:hAnsi="Times New Roman" w:cs="Times New Roman"/>
          <w:sz w:val="24"/>
          <w:szCs w:val="24"/>
          <w:bdr w:val="none" w:sz="0" w:space="0" w:color="auto" w:frame="1"/>
        </w:rPr>
        <w:t>.</w:t>
      </w:r>
    </w:p>
    <w:p w14:paraId="300F6FE6" w14:textId="6DDBAE18" w:rsidR="003939EE" w:rsidRDefault="00291D1E" w:rsidP="003939EE">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Jo teigimu, i</w:t>
      </w:r>
      <w:r w:rsidR="003939EE">
        <w:rPr>
          <w:rFonts w:ascii="Times New Roman" w:hAnsi="Times New Roman" w:cs="Times New Roman"/>
          <w:sz w:val="24"/>
          <w:szCs w:val="24"/>
          <w:bdr w:val="none" w:sz="0" w:space="0" w:color="auto" w:frame="1"/>
        </w:rPr>
        <w:t xml:space="preserve">nvestuotojams vis labiau rūpi, kaip organizacija valdo rizikas – verslo tęstinumo, socialines, geopolitines, klimato kaitos ir kt., kas kuruoja tvarumo ir aplinkosaugines, socialines bei valdysenos (angl. ESG) veiklas, kaip užtikrinamas atitikimas EK reglamentams bei direktyvoms (CSRD, SFDR, Taksonomijos ir kt.). Tai yra visai kito lygio įsipareigojimai ir informacijos atskleidimai, kas reikalauja brandaus organizacijos valdymo ir planavimo. </w:t>
      </w:r>
    </w:p>
    <w:p w14:paraId="66B0BBA7" w14:textId="5B44A3F1" w:rsidR="00882F91" w:rsidRDefault="00882F91" w:rsidP="00E75651">
      <w:pPr>
        <w:jc w:val="both"/>
        <w:rPr>
          <w:rFonts w:ascii="Times New Roman" w:hAnsi="Times New Roman" w:cs="Times New Roman"/>
          <w:sz w:val="24"/>
          <w:szCs w:val="24"/>
          <w:lang w:eastAsia="lt-LT"/>
        </w:rPr>
      </w:pPr>
    </w:p>
    <w:p w14:paraId="48F9A976" w14:textId="2944FFE1" w:rsidR="00E75651" w:rsidRPr="00F51F1F" w:rsidRDefault="00E75651" w:rsidP="00E75651">
      <w:pPr>
        <w:jc w:val="both"/>
        <w:rPr>
          <w:rFonts w:ascii="Times New Roman" w:hAnsi="Times New Roman" w:cs="Times New Roman"/>
          <w:b/>
          <w:bCs/>
          <w:sz w:val="24"/>
          <w:szCs w:val="24"/>
          <w:bdr w:val="none" w:sz="0" w:space="0" w:color="auto" w:frame="1"/>
        </w:rPr>
      </w:pPr>
      <w:r>
        <w:rPr>
          <w:rFonts w:ascii="Times New Roman" w:hAnsi="Times New Roman" w:cs="Times New Roman"/>
          <w:b/>
          <w:bCs/>
          <w:sz w:val="24"/>
          <w:szCs w:val="24"/>
          <w:bdr w:val="none" w:sz="0" w:space="0" w:color="auto" w:frame="1"/>
        </w:rPr>
        <w:t>Kelią skinasi nauja metodologija</w:t>
      </w:r>
    </w:p>
    <w:p w14:paraId="2CE6F294"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Dėl augančių reikalavimų atskleisti su tvarumu susijusią informaciją NT rinkoje pamažu įsitvirtina GRESB metodologija, skirta įvertinti NT sektoriuje veikiančių įmonių tvarumo lygį ir atlikti lyginamąją analizę (angl. </w:t>
      </w:r>
      <w:proofErr w:type="spellStart"/>
      <w:r>
        <w:rPr>
          <w:rFonts w:ascii="Times New Roman" w:hAnsi="Times New Roman" w:cs="Times New Roman"/>
          <w:sz w:val="24"/>
          <w:szCs w:val="24"/>
          <w:bdr w:val="none" w:sz="0" w:space="0" w:color="auto" w:frame="1"/>
        </w:rPr>
        <w:t>benchmark</w:t>
      </w:r>
      <w:proofErr w:type="spellEnd"/>
      <w:r>
        <w:rPr>
          <w:rFonts w:ascii="Times New Roman" w:hAnsi="Times New Roman" w:cs="Times New Roman"/>
          <w:sz w:val="24"/>
          <w:szCs w:val="24"/>
          <w:bdr w:val="none" w:sz="0" w:space="0" w:color="auto" w:frame="1"/>
        </w:rPr>
        <w:t>).</w:t>
      </w:r>
    </w:p>
    <w:p w14:paraId="32F4E205" w14:textId="5719340D"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w:t>
      </w:r>
      <w:r w:rsidRPr="00C924C4">
        <w:rPr>
          <w:rFonts w:ascii="Times New Roman" w:hAnsi="Times New Roman" w:cs="Times New Roman"/>
          <w:sz w:val="24"/>
          <w:szCs w:val="24"/>
          <w:bdr w:val="none" w:sz="0" w:space="0" w:color="auto" w:frame="1"/>
        </w:rPr>
        <w:t xml:space="preserve">GRESB tampa labai svarbiu instrumentu </w:t>
      </w:r>
      <w:r>
        <w:rPr>
          <w:rFonts w:ascii="Times New Roman" w:hAnsi="Times New Roman" w:cs="Times New Roman"/>
          <w:sz w:val="24"/>
          <w:szCs w:val="24"/>
          <w:bdr w:val="none" w:sz="0" w:space="0" w:color="auto" w:frame="1"/>
        </w:rPr>
        <w:t>NT</w:t>
      </w:r>
      <w:r w:rsidRPr="00C924C4">
        <w:rPr>
          <w:rFonts w:ascii="Times New Roman" w:hAnsi="Times New Roman" w:cs="Times New Roman"/>
          <w:sz w:val="24"/>
          <w:szCs w:val="24"/>
          <w:bdr w:val="none" w:sz="0" w:space="0" w:color="auto" w:frame="1"/>
        </w:rPr>
        <w:t xml:space="preserve"> bendrovėms, kuris puikiai suderintas su privalomaisiais E</w:t>
      </w:r>
      <w:r>
        <w:rPr>
          <w:rFonts w:ascii="Times New Roman" w:hAnsi="Times New Roman" w:cs="Times New Roman"/>
          <w:sz w:val="24"/>
          <w:szCs w:val="24"/>
          <w:bdr w:val="none" w:sz="0" w:space="0" w:color="auto" w:frame="1"/>
        </w:rPr>
        <w:t>uropos komisijos</w:t>
      </w:r>
      <w:r w:rsidRPr="00C924C4">
        <w:rPr>
          <w:rFonts w:ascii="Times New Roman" w:hAnsi="Times New Roman" w:cs="Times New Roman"/>
          <w:sz w:val="24"/>
          <w:szCs w:val="24"/>
          <w:bdr w:val="none" w:sz="0" w:space="0" w:color="auto" w:frame="1"/>
        </w:rPr>
        <w:t xml:space="preserve"> išleistais ESG atskleidimo reglamentais bei direktyvomis. </w:t>
      </w:r>
      <w:r>
        <w:rPr>
          <w:rFonts w:ascii="Times New Roman" w:hAnsi="Times New Roman" w:cs="Times New Roman"/>
          <w:sz w:val="24"/>
          <w:szCs w:val="24"/>
          <w:bdr w:val="none" w:sz="0" w:space="0" w:color="auto" w:frame="1"/>
        </w:rPr>
        <w:t xml:space="preserve">Šį standartą vis dažniau renkasi ir </w:t>
      </w:r>
      <w:r w:rsidRPr="00C924C4">
        <w:rPr>
          <w:rFonts w:ascii="Times New Roman" w:hAnsi="Times New Roman" w:cs="Times New Roman"/>
          <w:sz w:val="24"/>
          <w:szCs w:val="24"/>
          <w:bdr w:val="none" w:sz="0" w:space="0" w:color="auto" w:frame="1"/>
        </w:rPr>
        <w:t>Lietuvos</w:t>
      </w:r>
      <w:r>
        <w:rPr>
          <w:rFonts w:ascii="Times New Roman" w:hAnsi="Times New Roman" w:cs="Times New Roman"/>
          <w:sz w:val="24"/>
          <w:szCs w:val="24"/>
          <w:bdr w:val="none" w:sz="0" w:space="0" w:color="auto" w:frame="1"/>
        </w:rPr>
        <w:t xml:space="preserve"> bei kitų</w:t>
      </w:r>
      <w:r w:rsidRPr="00C924C4">
        <w:rPr>
          <w:rFonts w:ascii="Times New Roman" w:hAnsi="Times New Roman" w:cs="Times New Roman"/>
          <w:sz w:val="24"/>
          <w:szCs w:val="24"/>
          <w:bdr w:val="none" w:sz="0" w:space="0" w:color="auto" w:frame="1"/>
        </w:rPr>
        <w:t xml:space="preserve"> Baltijos šalių NT įmonės</w:t>
      </w:r>
      <w:r>
        <w:rPr>
          <w:rFonts w:ascii="Times New Roman" w:hAnsi="Times New Roman" w:cs="Times New Roman"/>
          <w:sz w:val="24"/>
          <w:szCs w:val="24"/>
          <w:bdr w:val="none" w:sz="0" w:space="0" w:color="auto" w:frame="1"/>
        </w:rPr>
        <w:t xml:space="preserve">, kad atskleistų su tvarumu susijusią informaciją ir stiprintų savo reputaciją bei konkurencingumą tarp kitų rinkos dalyvių“, – teigia </w:t>
      </w:r>
      <w:r w:rsidR="001334A6">
        <w:rPr>
          <w:rFonts w:ascii="Times New Roman" w:hAnsi="Times New Roman" w:cs="Times New Roman"/>
          <w:sz w:val="24"/>
          <w:szCs w:val="24"/>
          <w:bdr w:val="none" w:sz="0" w:space="0" w:color="auto" w:frame="1"/>
        </w:rPr>
        <w:t>E. Savickis</w:t>
      </w:r>
      <w:r>
        <w:rPr>
          <w:rFonts w:ascii="Times New Roman" w:hAnsi="Times New Roman" w:cs="Times New Roman"/>
          <w:sz w:val="24"/>
          <w:szCs w:val="24"/>
          <w:bdr w:val="none" w:sz="0" w:space="0" w:color="auto" w:frame="1"/>
        </w:rPr>
        <w:t>.</w:t>
      </w:r>
    </w:p>
    <w:p w14:paraId="778FB3E1"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Tačiau </w:t>
      </w:r>
      <w:r w:rsidRPr="39710D03">
        <w:rPr>
          <w:rFonts w:ascii="Times New Roman" w:hAnsi="Times New Roman" w:cs="Times New Roman"/>
          <w:sz w:val="24"/>
          <w:szCs w:val="24"/>
        </w:rPr>
        <w:t>dar yra</w:t>
      </w:r>
      <w:r>
        <w:rPr>
          <w:rFonts w:ascii="Times New Roman" w:hAnsi="Times New Roman" w:cs="Times New Roman"/>
          <w:sz w:val="24"/>
          <w:szCs w:val="24"/>
          <w:bdr w:val="none" w:sz="0" w:space="0" w:color="auto" w:frame="1"/>
        </w:rPr>
        <w:t xml:space="preserve"> kur pasistengti, pastebi jis. P</w:t>
      </w:r>
      <w:r w:rsidRPr="00C924C4">
        <w:rPr>
          <w:rFonts w:ascii="Times New Roman" w:hAnsi="Times New Roman" w:cs="Times New Roman"/>
          <w:sz w:val="24"/>
          <w:szCs w:val="24"/>
          <w:bdr w:val="none" w:sz="0" w:space="0" w:color="auto" w:frame="1"/>
        </w:rPr>
        <w:t>raėjusiais m</w:t>
      </w:r>
      <w:r>
        <w:rPr>
          <w:rFonts w:ascii="Times New Roman" w:hAnsi="Times New Roman" w:cs="Times New Roman"/>
          <w:sz w:val="24"/>
          <w:szCs w:val="24"/>
          <w:bdr w:val="none" w:sz="0" w:space="0" w:color="auto" w:frame="1"/>
        </w:rPr>
        <w:t>etais daugiau kaip 2</w:t>
      </w:r>
      <w:r w:rsidRPr="00C924C4">
        <w:rPr>
          <w:rFonts w:ascii="Times New Roman" w:hAnsi="Times New Roman" w:cs="Times New Roman"/>
          <w:sz w:val="24"/>
          <w:szCs w:val="24"/>
          <w:bdr w:val="none" w:sz="0" w:space="0" w:color="auto" w:frame="1"/>
        </w:rPr>
        <w:t xml:space="preserve"> tūkst. NT</w:t>
      </w:r>
      <w:r>
        <w:rPr>
          <w:rFonts w:ascii="Times New Roman" w:hAnsi="Times New Roman" w:cs="Times New Roman"/>
          <w:sz w:val="24"/>
          <w:szCs w:val="24"/>
          <w:bdr w:val="none" w:sz="0" w:space="0" w:color="auto" w:frame="1"/>
        </w:rPr>
        <w:t> įmonių</w:t>
      </w:r>
      <w:r w:rsidRPr="00C924C4">
        <w:rPr>
          <w:rFonts w:ascii="Times New Roman" w:hAnsi="Times New Roman" w:cs="Times New Roman"/>
          <w:sz w:val="24"/>
          <w:szCs w:val="24"/>
          <w:bdr w:val="none" w:sz="0" w:space="0" w:color="auto" w:frame="1"/>
        </w:rPr>
        <w:t xml:space="preserve"> visame pasaulyje</w:t>
      </w:r>
      <w:r>
        <w:rPr>
          <w:rFonts w:ascii="Times New Roman" w:hAnsi="Times New Roman" w:cs="Times New Roman"/>
          <w:sz w:val="24"/>
          <w:szCs w:val="24"/>
          <w:bdr w:val="none" w:sz="0" w:space="0" w:color="auto" w:frame="1"/>
        </w:rPr>
        <w:t xml:space="preserve"> nusprendė atskleisti savo ESG rezultatus ir siekti GRESB įvertinimo. Didžioji dalis, daugiau kaip 1</w:t>
      </w:r>
      <w:r w:rsidRPr="00C924C4">
        <w:rPr>
          <w:rFonts w:ascii="Times New Roman" w:hAnsi="Times New Roman" w:cs="Times New Roman"/>
          <w:sz w:val="24"/>
          <w:szCs w:val="24"/>
          <w:bdr w:val="none" w:sz="0" w:space="0" w:color="auto" w:frame="1"/>
        </w:rPr>
        <w:t xml:space="preserve"> tūkst.</w:t>
      </w:r>
      <w:r w:rsidRPr="39710D03">
        <w:rPr>
          <w:rFonts w:ascii="Times New Roman" w:hAnsi="Times New Roman" w:cs="Times New Roman"/>
          <w:sz w:val="24"/>
          <w:szCs w:val="24"/>
        </w:rPr>
        <w:t xml:space="preserve"> NT įmonių, yra registruotos Europoje, tuo tarpu iš JAV buvo 433 įmonės, iš Australijos – 134, Japonijos – 135. </w:t>
      </w:r>
    </w:p>
    <w:p w14:paraId="5EF4A550"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„Jungtinė Karalystė tvirtai užėmė lyderės poziciją Europoje – net 285 šios šalies NT įmonės atskleidė ESG rodiklius. Kiek mažesnės apimtys Vokietijoje (115 įmonių) ir Italijoje (95). Tuo tarpu Baltijos šalių NT vystytojų statistika yra gana kukli – Lietuvoje ESG rodiklius atskleidė tik 2 įmonės, Estijoje – 1, o Latvijoje – nė viena“, – vardina E. Savickis.</w:t>
      </w:r>
    </w:p>
    <w:p w14:paraId="6A76E186"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Pašnekovo teigimu, priežastis paprasta:</w:t>
      </w:r>
      <w:r w:rsidRPr="00C924C4">
        <w:rPr>
          <w:rFonts w:ascii="Times New Roman" w:hAnsi="Times New Roman" w:cs="Times New Roman"/>
          <w:sz w:val="24"/>
          <w:szCs w:val="24"/>
          <w:bdr w:val="none" w:sz="0" w:space="0" w:color="auto" w:frame="1"/>
        </w:rPr>
        <w:t xml:space="preserve"> Baltijos šalys yra gana mažos ir nepatrauklios dėl savo rinkos dydžio didiesiems NT investuotojams, veikiantiems globalioje rinkoje ir reikalaujantiems ESG duomenų iš potencialiai investuojamų subjektų. </w:t>
      </w:r>
      <w:r>
        <w:rPr>
          <w:rFonts w:ascii="Times New Roman" w:hAnsi="Times New Roman" w:cs="Times New Roman"/>
          <w:sz w:val="24"/>
          <w:szCs w:val="24"/>
          <w:bdr w:val="none" w:sz="0" w:space="0" w:color="auto" w:frame="1"/>
        </w:rPr>
        <w:t>Vis dėlto, situacija po truputį keičiasi, įsitikinęs jis: „Lietuvos NT vystytojai pradeda domėtis GRESB standartu. Tėra laiko klausimas, kada dauguma šalyje veikiančių NT vystytojų privalės atsigręžti į šią metodologiją.“</w:t>
      </w:r>
    </w:p>
    <w:p w14:paraId="47D8DFD0" w14:textId="77777777" w:rsidR="001334A6" w:rsidRDefault="001334A6" w:rsidP="00E75651">
      <w:pPr>
        <w:jc w:val="both"/>
        <w:rPr>
          <w:rFonts w:ascii="Times New Roman" w:hAnsi="Times New Roman" w:cs="Times New Roman"/>
          <w:sz w:val="24"/>
          <w:szCs w:val="24"/>
          <w:bdr w:val="none" w:sz="0" w:space="0" w:color="auto" w:frame="1"/>
        </w:rPr>
      </w:pPr>
    </w:p>
    <w:p w14:paraId="03571169" w14:textId="37A9A9DC" w:rsidR="009F6F8F" w:rsidRPr="00AF1AD7" w:rsidRDefault="00AF1AD7" w:rsidP="000B6EE3">
      <w:pPr>
        <w:jc w:val="both"/>
        <w:rPr>
          <w:rFonts w:ascii="Times New Roman" w:hAnsi="Times New Roman" w:cs="Times New Roman"/>
          <w:b/>
          <w:bCs/>
          <w:sz w:val="24"/>
          <w:szCs w:val="24"/>
          <w:lang w:eastAsia="lt-LT"/>
        </w:rPr>
      </w:pPr>
      <w:r w:rsidRPr="00AF1AD7">
        <w:rPr>
          <w:rFonts w:ascii="Times New Roman" w:hAnsi="Times New Roman" w:cs="Times New Roman"/>
          <w:b/>
          <w:bCs/>
          <w:sz w:val="24"/>
          <w:szCs w:val="24"/>
          <w:lang w:eastAsia="lt-LT"/>
        </w:rPr>
        <w:t>Tvarumui neabejingi ir gyventojai</w:t>
      </w:r>
    </w:p>
    <w:p w14:paraId="60CBB4F7" w14:textId="310B48DC" w:rsidR="00EC6689" w:rsidRDefault="00CB2CA2" w:rsidP="000B6EE3">
      <w:pPr>
        <w:jc w:val="both"/>
        <w:rPr>
          <w:rFonts w:ascii="Times New Roman" w:hAnsi="Times New Roman" w:cs="Times New Roman"/>
          <w:sz w:val="24"/>
          <w:szCs w:val="24"/>
          <w:lang w:eastAsia="lt-LT"/>
        </w:rPr>
      </w:pPr>
      <w:r>
        <w:rPr>
          <w:rFonts w:ascii="Times New Roman" w:hAnsi="Times New Roman" w:cs="Times New Roman"/>
          <w:sz w:val="24"/>
          <w:szCs w:val="24"/>
          <w:lang w:eastAsia="lt-LT"/>
        </w:rPr>
        <w:lastRenderedPageBreak/>
        <w:t>Šių metų b</w:t>
      </w:r>
      <w:r w:rsidR="00AF1AD7">
        <w:rPr>
          <w:rFonts w:ascii="Times New Roman" w:hAnsi="Times New Roman" w:cs="Times New Roman"/>
          <w:sz w:val="24"/>
          <w:szCs w:val="24"/>
          <w:lang w:eastAsia="lt-LT"/>
        </w:rPr>
        <w:t>alandžio pabaigoje atlikt</w:t>
      </w:r>
      <w:r w:rsidR="00312044">
        <w:rPr>
          <w:rFonts w:ascii="Times New Roman" w:hAnsi="Times New Roman" w:cs="Times New Roman"/>
          <w:sz w:val="24"/>
          <w:szCs w:val="24"/>
          <w:lang w:eastAsia="lt-LT"/>
        </w:rPr>
        <w:t>os</w:t>
      </w:r>
      <w:r w:rsidR="00AF1AD7">
        <w:rPr>
          <w:rFonts w:ascii="Times New Roman" w:hAnsi="Times New Roman" w:cs="Times New Roman"/>
          <w:sz w:val="24"/>
          <w:szCs w:val="24"/>
          <w:lang w:eastAsia="lt-LT"/>
        </w:rPr>
        <w:t xml:space="preserve"> „</w:t>
      </w:r>
      <w:proofErr w:type="spellStart"/>
      <w:r w:rsidR="00AF1AD7">
        <w:rPr>
          <w:rFonts w:ascii="Times New Roman" w:hAnsi="Times New Roman" w:cs="Times New Roman"/>
          <w:sz w:val="24"/>
          <w:szCs w:val="24"/>
          <w:lang w:eastAsia="lt-LT"/>
        </w:rPr>
        <w:t>Spinter</w:t>
      </w:r>
      <w:proofErr w:type="spellEnd"/>
      <w:r w:rsidR="00AF1AD7">
        <w:rPr>
          <w:rFonts w:ascii="Times New Roman" w:hAnsi="Times New Roman" w:cs="Times New Roman"/>
          <w:sz w:val="24"/>
          <w:szCs w:val="24"/>
          <w:lang w:eastAsia="lt-LT"/>
        </w:rPr>
        <w:t xml:space="preserve"> tyrimai“ apklaus</w:t>
      </w:r>
      <w:r w:rsidR="00312044">
        <w:rPr>
          <w:rFonts w:ascii="Times New Roman" w:hAnsi="Times New Roman" w:cs="Times New Roman"/>
          <w:sz w:val="24"/>
          <w:szCs w:val="24"/>
          <w:lang w:eastAsia="lt-LT"/>
        </w:rPr>
        <w:t>os rezultatai rodo, kad NT vystytojų dėmesys tvarumui aktualus ir Lietuvos gyventojams. Daugiau nei pusei respondentų (55 proc.) svarbu, kad NT vystytojai turėtų išsikeltus aiškius tvarumo tikslus</w:t>
      </w:r>
      <w:r w:rsidR="002A4830">
        <w:rPr>
          <w:rFonts w:ascii="Times New Roman" w:hAnsi="Times New Roman" w:cs="Times New Roman"/>
          <w:sz w:val="24"/>
          <w:szCs w:val="24"/>
          <w:lang w:eastAsia="lt-LT"/>
        </w:rPr>
        <w:t xml:space="preserve"> – aplinkosauginius, socialinius ir valdysenos.</w:t>
      </w:r>
    </w:p>
    <w:p w14:paraId="48BBBE4B" w14:textId="1BF36007" w:rsidR="00E81F7C" w:rsidRDefault="007C18C2" w:rsidP="000B6EE3">
      <w:pPr>
        <w:jc w:val="both"/>
        <w:rPr>
          <w:rFonts w:ascii="Times New Roman" w:hAnsi="Times New Roman" w:cs="Times New Roman"/>
          <w:sz w:val="24"/>
          <w:szCs w:val="24"/>
          <w:lang w:eastAsia="lt-LT"/>
        </w:rPr>
      </w:pPr>
      <w:r>
        <w:rPr>
          <w:rFonts w:ascii="Times New Roman" w:hAnsi="Times New Roman" w:cs="Times New Roman"/>
          <w:sz w:val="24"/>
          <w:szCs w:val="24"/>
          <w:lang w:eastAsia="lt-LT"/>
        </w:rPr>
        <w:t>„</w:t>
      </w:r>
      <w:r w:rsidR="00DA71E8">
        <w:rPr>
          <w:rFonts w:ascii="Times New Roman" w:hAnsi="Times New Roman" w:cs="Times New Roman"/>
          <w:sz w:val="24"/>
          <w:szCs w:val="24"/>
          <w:lang w:eastAsia="lt-LT"/>
        </w:rPr>
        <w:t>Tvarumas skirtingose rinkose bei pramonės šakose</w:t>
      </w:r>
      <w:r w:rsidR="00F73FE8">
        <w:rPr>
          <w:rFonts w:ascii="Times New Roman" w:hAnsi="Times New Roman" w:cs="Times New Roman"/>
          <w:sz w:val="24"/>
          <w:szCs w:val="24"/>
          <w:lang w:eastAsia="lt-LT"/>
        </w:rPr>
        <w:t>, tarp jų ir NT,</w:t>
      </w:r>
      <w:r w:rsidR="00DA71E8">
        <w:rPr>
          <w:rFonts w:ascii="Times New Roman" w:hAnsi="Times New Roman" w:cs="Times New Roman"/>
          <w:sz w:val="24"/>
          <w:szCs w:val="24"/>
          <w:lang w:eastAsia="lt-LT"/>
        </w:rPr>
        <w:t xml:space="preserve"> įgauna formą ir aiškesn</w:t>
      </w:r>
      <w:r w:rsidR="00475761">
        <w:rPr>
          <w:rFonts w:ascii="Times New Roman" w:hAnsi="Times New Roman" w:cs="Times New Roman"/>
          <w:sz w:val="24"/>
          <w:szCs w:val="24"/>
          <w:lang w:eastAsia="lt-LT"/>
        </w:rPr>
        <w:t>į apibrėžimą dėl griežtėjančių Europos Komisijos</w:t>
      </w:r>
      <w:r w:rsidR="00B144DC">
        <w:rPr>
          <w:rFonts w:ascii="Times New Roman" w:hAnsi="Times New Roman" w:cs="Times New Roman"/>
          <w:sz w:val="24"/>
          <w:szCs w:val="24"/>
          <w:lang w:eastAsia="lt-LT"/>
        </w:rPr>
        <w:t xml:space="preserve"> (EK)</w:t>
      </w:r>
      <w:r w:rsidR="00475761">
        <w:rPr>
          <w:rFonts w:ascii="Times New Roman" w:hAnsi="Times New Roman" w:cs="Times New Roman"/>
          <w:sz w:val="24"/>
          <w:szCs w:val="24"/>
          <w:lang w:eastAsia="lt-LT"/>
        </w:rPr>
        <w:t xml:space="preserve"> išleistų reglamentų bei investuotojų lūkesčių. Vis dėlto, </w:t>
      </w:r>
      <w:r w:rsidR="00F73FE8">
        <w:rPr>
          <w:rFonts w:ascii="Times New Roman" w:hAnsi="Times New Roman" w:cs="Times New Roman"/>
          <w:sz w:val="24"/>
          <w:szCs w:val="24"/>
          <w:lang w:eastAsia="lt-LT"/>
        </w:rPr>
        <w:t>pokytis nėra vienpusis</w:t>
      </w:r>
      <w:r w:rsidR="00475761">
        <w:rPr>
          <w:rFonts w:ascii="Times New Roman" w:hAnsi="Times New Roman" w:cs="Times New Roman"/>
          <w:sz w:val="24"/>
          <w:szCs w:val="24"/>
          <w:lang w:eastAsia="lt-LT"/>
        </w:rPr>
        <w:t xml:space="preserve"> </w:t>
      </w:r>
      <w:r w:rsidR="00E95C8E">
        <w:rPr>
          <w:rFonts w:ascii="Times New Roman" w:hAnsi="Times New Roman" w:cs="Times New Roman"/>
          <w:sz w:val="24"/>
          <w:szCs w:val="24"/>
          <w:lang w:eastAsia="lt-LT"/>
        </w:rPr>
        <w:t>–</w:t>
      </w:r>
      <w:r w:rsidR="00475761">
        <w:rPr>
          <w:rFonts w:ascii="Times New Roman" w:hAnsi="Times New Roman" w:cs="Times New Roman"/>
          <w:sz w:val="24"/>
          <w:szCs w:val="24"/>
          <w:lang w:eastAsia="lt-LT"/>
        </w:rPr>
        <w:t xml:space="preserve"> keičiasi</w:t>
      </w:r>
      <w:r w:rsidR="00E95C8E">
        <w:rPr>
          <w:rFonts w:ascii="Times New Roman" w:hAnsi="Times New Roman" w:cs="Times New Roman"/>
          <w:sz w:val="24"/>
          <w:szCs w:val="24"/>
          <w:lang w:eastAsia="lt-LT"/>
        </w:rPr>
        <w:t xml:space="preserve"> ir visuomenės branda, supratimas apie pastatus, jų poveikį žmonėms, miesto formavimui ir ateities kartoms</w:t>
      </w:r>
      <w:r w:rsidR="00C51A19">
        <w:rPr>
          <w:rFonts w:ascii="Times New Roman" w:hAnsi="Times New Roman" w:cs="Times New Roman"/>
          <w:sz w:val="24"/>
          <w:szCs w:val="24"/>
          <w:lang w:eastAsia="lt-LT"/>
        </w:rPr>
        <w:t>. Tą matome ir iš apklausos duomenų</w:t>
      </w:r>
      <w:r w:rsidR="00574472">
        <w:rPr>
          <w:rFonts w:ascii="Times New Roman" w:hAnsi="Times New Roman" w:cs="Times New Roman"/>
          <w:sz w:val="24"/>
          <w:szCs w:val="24"/>
          <w:lang w:eastAsia="lt-LT"/>
        </w:rPr>
        <w:t xml:space="preserve"> – NT tvarumu labiausiai domisi </w:t>
      </w:r>
      <w:r w:rsidR="00DD74CE">
        <w:rPr>
          <w:rFonts w:ascii="Times New Roman" w:hAnsi="Times New Roman" w:cs="Times New Roman"/>
          <w:sz w:val="24"/>
          <w:szCs w:val="24"/>
          <w:lang w:eastAsia="lt-LT"/>
        </w:rPr>
        <w:t xml:space="preserve">respondentai, turintys </w:t>
      </w:r>
      <w:r w:rsidR="00574472">
        <w:rPr>
          <w:rFonts w:ascii="Times New Roman" w:hAnsi="Times New Roman" w:cs="Times New Roman"/>
          <w:sz w:val="24"/>
          <w:szCs w:val="24"/>
          <w:lang w:eastAsia="lt-LT"/>
        </w:rPr>
        <w:t>aukšt</w:t>
      </w:r>
      <w:r w:rsidR="00DD74CE">
        <w:rPr>
          <w:rFonts w:ascii="Times New Roman" w:hAnsi="Times New Roman" w:cs="Times New Roman"/>
          <w:sz w:val="24"/>
          <w:szCs w:val="24"/>
          <w:lang w:eastAsia="lt-LT"/>
        </w:rPr>
        <w:t>ąjį</w:t>
      </w:r>
      <w:r w:rsidR="00574472">
        <w:rPr>
          <w:rFonts w:ascii="Times New Roman" w:hAnsi="Times New Roman" w:cs="Times New Roman"/>
          <w:sz w:val="24"/>
          <w:szCs w:val="24"/>
          <w:lang w:eastAsia="lt-LT"/>
        </w:rPr>
        <w:t xml:space="preserve"> išsilavinim</w:t>
      </w:r>
      <w:r w:rsidR="00DD74CE">
        <w:rPr>
          <w:rFonts w:ascii="Times New Roman" w:hAnsi="Times New Roman" w:cs="Times New Roman"/>
          <w:sz w:val="24"/>
          <w:szCs w:val="24"/>
          <w:lang w:eastAsia="lt-LT"/>
        </w:rPr>
        <w:t>ą</w:t>
      </w:r>
      <w:r w:rsidR="00574472">
        <w:rPr>
          <w:rFonts w:ascii="Times New Roman" w:hAnsi="Times New Roman" w:cs="Times New Roman"/>
          <w:sz w:val="24"/>
          <w:szCs w:val="24"/>
          <w:lang w:eastAsia="lt-LT"/>
        </w:rPr>
        <w:t>, didmiesči</w:t>
      </w:r>
      <w:r w:rsidR="00DD74CE">
        <w:rPr>
          <w:rFonts w:ascii="Times New Roman" w:hAnsi="Times New Roman" w:cs="Times New Roman"/>
          <w:sz w:val="24"/>
          <w:szCs w:val="24"/>
          <w:lang w:eastAsia="lt-LT"/>
        </w:rPr>
        <w:t>ų</w:t>
      </w:r>
      <w:r w:rsidR="00574472">
        <w:rPr>
          <w:rFonts w:ascii="Times New Roman" w:hAnsi="Times New Roman" w:cs="Times New Roman"/>
          <w:sz w:val="24"/>
          <w:szCs w:val="24"/>
          <w:lang w:eastAsia="lt-LT"/>
        </w:rPr>
        <w:t xml:space="preserve"> gyventojai</w:t>
      </w:r>
      <w:r w:rsidR="00F73FE8">
        <w:rPr>
          <w:rFonts w:ascii="Times New Roman" w:hAnsi="Times New Roman" w:cs="Times New Roman"/>
          <w:sz w:val="24"/>
          <w:szCs w:val="24"/>
          <w:lang w:eastAsia="lt-LT"/>
        </w:rPr>
        <w:t xml:space="preserve">“, – komentuoja </w:t>
      </w:r>
      <w:r w:rsidR="00876E11">
        <w:rPr>
          <w:rFonts w:ascii="Times New Roman" w:hAnsi="Times New Roman" w:cs="Times New Roman"/>
          <w:sz w:val="24"/>
          <w:szCs w:val="24"/>
          <w:lang w:eastAsia="lt-LT"/>
        </w:rPr>
        <w:t>E</w:t>
      </w:r>
      <w:r w:rsidR="002A4830">
        <w:rPr>
          <w:rFonts w:ascii="Times New Roman" w:hAnsi="Times New Roman" w:cs="Times New Roman"/>
          <w:sz w:val="24"/>
          <w:szCs w:val="24"/>
          <w:lang w:eastAsia="lt-LT"/>
        </w:rPr>
        <w:t>.</w:t>
      </w:r>
      <w:r w:rsidR="00876E11">
        <w:rPr>
          <w:rFonts w:ascii="Times New Roman" w:hAnsi="Times New Roman" w:cs="Times New Roman"/>
          <w:sz w:val="24"/>
          <w:szCs w:val="24"/>
          <w:lang w:eastAsia="lt-LT"/>
        </w:rPr>
        <w:t xml:space="preserve"> Savi</w:t>
      </w:r>
      <w:r w:rsidR="00E81F7C">
        <w:rPr>
          <w:rFonts w:ascii="Times New Roman" w:hAnsi="Times New Roman" w:cs="Times New Roman"/>
          <w:sz w:val="24"/>
          <w:szCs w:val="24"/>
          <w:lang w:eastAsia="lt-LT"/>
        </w:rPr>
        <w:t>ckis.</w:t>
      </w:r>
    </w:p>
    <w:p w14:paraId="75C41E71" w14:textId="5822AA1B" w:rsidR="00A92F72" w:rsidRDefault="007B08E8" w:rsidP="00CB2CA2">
      <w:pPr>
        <w:jc w:val="both"/>
        <w:rPr>
          <w:rFonts w:ascii="Times New Roman" w:hAnsi="Times New Roman" w:cs="Times New Roman"/>
          <w:sz w:val="24"/>
          <w:szCs w:val="24"/>
        </w:rPr>
      </w:pPr>
      <w:r>
        <w:rPr>
          <w:rFonts w:ascii="Times New Roman" w:hAnsi="Times New Roman" w:cs="Times New Roman"/>
          <w:sz w:val="24"/>
          <w:szCs w:val="24"/>
          <w:bdr w:val="none" w:sz="0" w:space="0" w:color="auto" w:frame="1"/>
        </w:rPr>
        <w:t>Apklausos duomenimis, NT vystytojo išsikelti tvarumo tikslai visiškai nesvarbūs 11 proc., greičiau nesvarbūs – 15 proc. respondentų. Į pateiktą klausimą negalėjo atsakyti 19 proc. apklaustųjų.</w:t>
      </w:r>
      <w:r w:rsidR="00CB2CA2">
        <w:rPr>
          <w:rFonts w:ascii="Times New Roman" w:hAnsi="Times New Roman" w:cs="Times New Roman"/>
          <w:sz w:val="24"/>
          <w:szCs w:val="24"/>
          <w:bdr w:val="none" w:sz="0" w:space="0" w:color="auto" w:frame="1"/>
        </w:rPr>
        <w:t xml:space="preserve"> </w:t>
      </w:r>
      <w:r w:rsidR="000F14EC">
        <w:rPr>
          <w:rFonts w:ascii="Times New Roman" w:hAnsi="Times New Roman" w:cs="Times New Roman"/>
          <w:sz w:val="24"/>
          <w:szCs w:val="24"/>
          <w:bdr w:val="none" w:sz="0" w:space="0" w:color="auto" w:frame="1"/>
        </w:rPr>
        <w:t xml:space="preserve">Apklausoje dalyvavo </w:t>
      </w:r>
      <w:r w:rsidR="00A92F72">
        <w:rPr>
          <w:rFonts w:ascii="Times New Roman" w:hAnsi="Times New Roman" w:cs="Times New Roman"/>
          <w:sz w:val="24"/>
          <w:szCs w:val="24"/>
        </w:rPr>
        <w:t>1015 respondentų nuo 18 iki 75 metų amžiaus.</w:t>
      </w:r>
    </w:p>
    <w:p w14:paraId="24ECD301" w14:textId="62241FA6" w:rsidR="00D75A9B" w:rsidRPr="00A6076F" w:rsidRDefault="00D75A9B" w:rsidP="000B6EE3">
      <w:pPr>
        <w:jc w:val="both"/>
        <w:rPr>
          <w:rFonts w:ascii="Times New Roman" w:hAnsi="Times New Roman" w:cs="Times New Roman"/>
          <w:sz w:val="24"/>
          <w:szCs w:val="24"/>
          <w:lang w:eastAsia="lt-LT"/>
        </w:rPr>
      </w:pPr>
    </w:p>
    <w:p w14:paraId="5F1EE590" w14:textId="77777777" w:rsidR="00D77B62" w:rsidRDefault="00D77B62" w:rsidP="000B6EE3">
      <w:pPr>
        <w:spacing w:after="0" w:line="240" w:lineRule="auto"/>
        <w:jc w:val="both"/>
        <w:rPr>
          <w:rFonts w:ascii="Times New Roman" w:eastAsia="Times New Roman" w:hAnsi="Times New Roman" w:cs="Times New Roman"/>
          <w:kern w:val="0"/>
          <w:sz w:val="24"/>
          <w:szCs w:val="24"/>
          <w:lang w:eastAsia="lt-LT"/>
          <w14:ligatures w14:val="none"/>
        </w:rPr>
      </w:pPr>
    </w:p>
    <w:p w14:paraId="38AD04DE" w14:textId="77777777" w:rsidR="005030D9" w:rsidRPr="005030D9" w:rsidRDefault="005030D9" w:rsidP="000B6EE3">
      <w:pPr>
        <w:spacing w:after="0" w:line="240" w:lineRule="auto"/>
        <w:jc w:val="both"/>
        <w:rPr>
          <w:rFonts w:ascii="Times New Roman" w:eastAsia="Times New Roman" w:hAnsi="Times New Roman" w:cs="Times New Roman"/>
          <w:kern w:val="0"/>
          <w:sz w:val="24"/>
          <w:szCs w:val="24"/>
          <w:lang w:eastAsia="lt-LT"/>
          <w14:ligatures w14:val="none"/>
        </w:rPr>
      </w:pPr>
    </w:p>
    <w:p w14:paraId="4E58495F" w14:textId="0C426A1B" w:rsidR="00B20ED1" w:rsidRPr="00C924C4" w:rsidRDefault="00B20ED1" w:rsidP="000B6EE3">
      <w:pPr>
        <w:jc w:val="both"/>
        <w:rPr>
          <w:rFonts w:ascii="Times New Roman" w:hAnsi="Times New Roman" w:cs="Times New Roman"/>
          <w:sz w:val="24"/>
          <w:szCs w:val="24"/>
          <w:lang w:eastAsia="lt-LT"/>
        </w:rPr>
      </w:pPr>
      <w:r w:rsidRPr="00C924C4">
        <w:rPr>
          <w:rFonts w:ascii="Times New Roman" w:hAnsi="Times New Roman" w:cs="Times New Roman"/>
          <w:sz w:val="24"/>
          <w:szCs w:val="24"/>
          <w:bdr w:val="none" w:sz="0" w:space="0" w:color="auto" w:frame="1"/>
        </w:rPr>
        <w:t> </w:t>
      </w:r>
    </w:p>
    <w:p w14:paraId="484862F6" w14:textId="77777777" w:rsidR="00E030A8" w:rsidRPr="00DA732D" w:rsidRDefault="00E030A8" w:rsidP="000B6EE3">
      <w:pPr>
        <w:jc w:val="both"/>
        <w:rPr>
          <w:rFonts w:ascii="Times New Roman" w:hAnsi="Times New Roman" w:cs="Times New Roman"/>
          <w:sz w:val="24"/>
          <w:szCs w:val="24"/>
          <w:lang w:eastAsia="lt-LT"/>
        </w:rPr>
      </w:pPr>
    </w:p>
    <w:sectPr w:rsidR="00E030A8" w:rsidRPr="00DA732D" w:rsidSect="000B6EE3">
      <w:head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A455B" w14:textId="77777777" w:rsidR="00602355" w:rsidRDefault="00602355" w:rsidP="000B6EE3">
      <w:pPr>
        <w:spacing w:after="0" w:line="240" w:lineRule="auto"/>
      </w:pPr>
      <w:r>
        <w:separator/>
      </w:r>
    </w:p>
  </w:endnote>
  <w:endnote w:type="continuationSeparator" w:id="0">
    <w:p w14:paraId="22A7BE4B" w14:textId="77777777" w:rsidR="00602355" w:rsidRDefault="00602355" w:rsidP="000B6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72915" w14:textId="77777777" w:rsidR="00602355" w:rsidRDefault="00602355" w:rsidP="000B6EE3">
      <w:pPr>
        <w:spacing w:after="0" w:line="240" w:lineRule="auto"/>
      </w:pPr>
      <w:r>
        <w:separator/>
      </w:r>
    </w:p>
  </w:footnote>
  <w:footnote w:type="continuationSeparator" w:id="0">
    <w:p w14:paraId="7FB7537F" w14:textId="77777777" w:rsidR="00602355" w:rsidRDefault="00602355" w:rsidP="000B6E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90272" w14:textId="3FAB5592" w:rsidR="000B6EE3" w:rsidRDefault="000B6EE3" w:rsidP="000B6EE3">
    <w:pPr>
      <w:pStyle w:val="Header"/>
      <w:jc w:val="right"/>
    </w:pPr>
    <w:r>
      <w:rPr>
        <w:noProof/>
      </w:rPr>
      <w:drawing>
        <wp:inline distT="0" distB="0" distL="0" distR="0" wp14:anchorId="2AFEA2B3" wp14:editId="05B46CA5">
          <wp:extent cx="2764155" cy="434340"/>
          <wp:effectExtent l="0" t="0" r="0" b="3810"/>
          <wp:docPr id="737195519"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195519" name="Picture 2" descr="A black background with a black squar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764155" cy="434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F274F3"/>
    <w:multiLevelType w:val="multilevel"/>
    <w:tmpl w:val="E2522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AA602C"/>
    <w:multiLevelType w:val="hybridMultilevel"/>
    <w:tmpl w:val="78FAB5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61397866">
    <w:abstractNumId w:val="0"/>
  </w:num>
  <w:num w:numId="2" w16cid:durableId="10799115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D9"/>
    <w:rsid w:val="00025F93"/>
    <w:rsid w:val="00045ED0"/>
    <w:rsid w:val="000674D1"/>
    <w:rsid w:val="00073B31"/>
    <w:rsid w:val="00077B66"/>
    <w:rsid w:val="000B6EE3"/>
    <w:rsid w:val="000D0440"/>
    <w:rsid w:val="000E78D3"/>
    <w:rsid w:val="000F14EC"/>
    <w:rsid w:val="000F3996"/>
    <w:rsid w:val="0011533F"/>
    <w:rsid w:val="00117B32"/>
    <w:rsid w:val="001306B0"/>
    <w:rsid w:val="001334A6"/>
    <w:rsid w:val="00147347"/>
    <w:rsid w:val="001602AF"/>
    <w:rsid w:val="00180279"/>
    <w:rsid w:val="0019317A"/>
    <w:rsid w:val="00197C11"/>
    <w:rsid w:val="001B2EB7"/>
    <w:rsid w:val="001B3BA7"/>
    <w:rsid w:val="001B4882"/>
    <w:rsid w:val="001B66CC"/>
    <w:rsid w:val="001E2D44"/>
    <w:rsid w:val="00212B00"/>
    <w:rsid w:val="00212CB0"/>
    <w:rsid w:val="00234C53"/>
    <w:rsid w:val="002474B3"/>
    <w:rsid w:val="00273A3C"/>
    <w:rsid w:val="00291D1E"/>
    <w:rsid w:val="002A4830"/>
    <w:rsid w:val="002D45D1"/>
    <w:rsid w:val="002E4C22"/>
    <w:rsid w:val="002E4F75"/>
    <w:rsid w:val="002F0C43"/>
    <w:rsid w:val="002F2B37"/>
    <w:rsid w:val="002F3C15"/>
    <w:rsid w:val="002F4E70"/>
    <w:rsid w:val="00307E37"/>
    <w:rsid w:val="00311194"/>
    <w:rsid w:val="00312044"/>
    <w:rsid w:val="0031572A"/>
    <w:rsid w:val="00316C06"/>
    <w:rsid w:val="00321B84"/>
    <w:rsid w:val="00343106"/>
    <w:rsid w:val="00351C9B"/>
    <w:rsid w:val="003939EE"/>
    <w:rsid w:val="00393B83"/>
    <w:rsid w:val="00394159"/>
    <w:rsid w:val="003E630B"/>
    <w:rsid w:val="004118DA"/>
    <w:rsid w:val="004273B2"/>
    <w:rsid w:val="00464015"/>
    <w:rsid w:val="004747E3"/>
    <w:rsid w:val="00475019"/>
    <w:rsid w:val="00475761"/>
    <w:rsid w:val="004A3D3A"/>
    <w:rsid w:val="004B1910"/>
    <w:rsid w:val="004D55A3"/>
    <w:rsid w:val="004F7D83"/>
    <w:rsid w:val="005030D9"/>
    <w:rsid w:val="00512941"/>
    <w:rsid w:val="00527751"/>
    <w:rsid w:val="005309B5"/>
    <w:rsid w:val="005314B3"/>
    <w:rsid w:val="00544971"/>
    <w:rsid w:val="00574472"/>
    <w:rsid w:val="005B2D99"/>
    <w:rsid w:val="005B68CB"/>
    <w:rsid w:val="005D03F2"/>
    <w:rsid w:val="005D0C21"/>
    <w:rsid w:val="005E0A92"/>
    <w:rsid w:val="005F5CA8"/>
    <w:rsid w:val="00602355"/>
    <w:rsid w:val="00604FFB"/>
    <w:rsid w:val="00612159"/>
    <w:rsid w:val="00627AB9"/>
    <w:rsid w:val="006370B6"/>
    <w:rsid w:val="0064183D"/>
    <w:rsid w:val="006A14F7"/>
    <w:rsid w:val="006C0F18"/>
    <w:rsid w:val="006E2E18"/>
    <w:rsid w:val="006E7A9B"/>
    <w:rsid w:val="006F4A6D"/>
    <w:rsid w:val="00707EDE"/>
    <w:rsid w:val="00715D15"/>
    <w:rsid w:val="00717EA3"/>
    <w:rsid w:val="0072054D"/>
    <w:rsid w:val="007406D8"/>
    <w:rsid w:val="0076090A"/>
    <w:rsid w:val="00780B22"/>
    <w:rsid w:val="007B03F3"/>
    <w:rsid w:val="007B08E8"/>
    <w:rsid w:val="007B4FE8"/>
    <w:rsid w:val="007C18C2"/>
    <w:rsid w:val="007E213F"/>
    <w:rsid w:val="007E78D5"/>
    <w:rsid w:val="008007C0"/>
    <w:rsid w:val="008053C0"/>
    <w:rsid w:val="00814B81"/>
    <w:rsid w:val="008152A2"/>
    <w:rsid w:val="00834F1A"/>
    <w:rsid w:val="00854B8B"/>
    <w:rsid w:val="00864DA7"/>
    <w:rsid w:val="00876E11"/>
    <w:rsid w:val="00882F91"/>
    <w:rsid w:val="008924D9"/>
    <w:rsid w:val="008B781A"/>
    <w:rsid w:val="008E1562"/>
    <w:rsid w:val="0091537C"/>
    <w:rsid w:val="009312EB"/>
    <w:rsid w:val="009362D4"/>
    <w:rsid w:val="00941E66"/>
    <w:rsid w:val="0094382B"/>
    <w:rsid w:val="009621AB"/>
    <w:rsid w:val="00980ADC"/>
    <w:rsid w:val="0098792C"/>
    <w:rsid w:val="009B3A2C"/>
    <w:rsid w:val="009C2FB0"/>
    <w:rsid w:val="009C70AD"/>
    <w:rsid w:val="009D386D"/>
    <w:rsid w:val="009D55AB"/>
    <w:rsid w:val="009E52F6"/>
    <w:rsid w:val="009E6E9E"/>
    <w:rsid w:val="009F6F8F"/>
    <w:rsid w:val="00A10451"/>
    <w:rsid w:val="00A1432D"/>
    <w:rsid w:val="00A1643D"/>
    <w:rsid w:val="00A179CF"/>
    <w:rsid w:val="00A2561C"/>
    <w:rsid w:val="00A27770"/>
    <w:rsid w:val="00A375B5"/>
    <w:rsid w:val="00A420C5"/>
    <w:rsid w:val="00A45C23"/>
    <w:rsid w:val="00A46021"/>
    <w:rsid w:val="00A5709C"/>
    <w:rsid w:val="00A6076F"/>
    <w:rsid w:val="00A679B2"/>
    <w:rsid w:val="00A77BFC"/>
    <w:rsid w:val="00A82547"/>
    <w:rsid w:val="00A9042A"/>
    <w:rsid w:val="00A91571"/>
    <w:rsid w:val="00A92F72"/>
    <w:rsid w:val="00AE1C0D"/>
    <w:rsid w:val="00AF1AD7"/>
    <w:rsid w:val="00B12D89"/>
    <w:rsid w:val="00B144DC"/>
    <w:rsid w:val="00B168E9"/>
    <w:rsid w:val="00B20ED1"/>
    <w:rsid w:val="00B25E6B"/>
    <w:rsid w:val="00B30C98"/>
    <w:rsid w:val="00B32A8E"/>
    <w:rsid w:val="00B34FF4"/>
    <w:rsid w:val="00B40CB4"/>
    <w:rsid w:val="00B44B1B"/>
    <w:rsid w:val="00B61137"/>
    <w:rsid w:val="00B660F6"/>
    <w:rsid w:val="00B67DF1"/>
    <w:rsid w:val="00B746D6"/>
    <w:rsid w:val="00B81D45"/>
    <w:rsid w:val="00BC6CFB"/>
    <w:rsid w:val="00BE5770"/>
    <w:rsid w:val="00C359E8"/>
    <w:rsid w:val="00C474FD"/>
    <w:rsid w:val="00C511C5"/>
    <w:rsid w:val="00C51A19"/>
    <w:rsid w:val="00C550AB"/>
    <w:rsid w:val="00C67937"/>
    <w:rsid w:val="00C844F6"/>
    <w:rsid w:val="00C92E62"/>
    <w:rsid w:val="00CA36FA"/>
    <w:rsid w:val="00CA7443"/>
    <w:rsid w:val="00CB2CA2"/>
    <w:rsid w:val="00CC0FFC"/>
    <w:rsid w:val="00CC471A"/>
    <w:rsid w:val="00CC607D"/>
    <w:rsid w:val="00CD7BD9"/>
    <w:rsid w:val="00CF4BD1"/>
    <w:rsid w:val="00D22DF6"/>
    <w:rsid w:val="00D26D9A"/>
    <w:rsid w:val="00D333C3"/>
    <w:rsid w:val="00D33802"/>
    <w:rsid w:val="00D36D71"/>
    <w:rsid w:val="00D437B8"/>
    <w:rsid w:val="00D6309E"/>
    <w:rsid w:val="00D72483"/>
    <w:rsid w:val="00D75A9B"/>
    <w:rsid w:val="00D76D47"/>
    <w:rsid w:val="00D77B62"/>
    <w:rsid w:val="00D77D41"/>
    <w:rsid w:val="00D96FD0"/>
    <w:rsid w:val="00DA29DA"/>
    <w:rsid w:val="00DA5B71"/>
    <w:rsid w:val="00DA6DFF"/>
    <w:rsid w:val="00DA71E8"/>
    <w:rsid w:val="00DA732D"/>
    <w:rsid w:val="00DB65B9"/>
    <w:rsid w:val="00DB73D5"/>
    <w:rsid w:val="00DD74CE"/>
    <w:rsid w:val="00E030A8"/>
    <w:rsid w:val="00E04ADF"/>
    <w:rsid w:val="00E04F2E"/>
    <w:rsid w:val="00E26452"/>
    <w:rsid w:val="00E271BB"/>
    <w:rsid w:val="00E45E42"/>
    <w:rsid w:val="00E72DA3"/>
    <w:rsid w:val="00E74DD6"/>
    <w:rsid w:val="00E75651"/>
    <w:rsid w:val="00E81F7C"/>
    <w:rsid w:val="00E838CF"/>
    <w:rsid w:val="00E95C8E"/>
    <w:rsid w:val="00EC6689"/>
    <w:rsid w:val="00EE6F89"/>
    <w:rsid w:val="00EF522D"/>
    <w:rsid w:val="00F014F2"/>
    <w:rsid w:val="00F1037B"/>
    <w:rsid w:val="00F237D0"/>
    <w:rsid w:val="00F40673"/>
    <w:rsid w:val="00F51F1F"/>
    <w:rsid w:val="00F66E54"/>
    <w:rsid w:val="00F67B8C"/>
    <w:rsid w:val="00F73FE8"/>
    <w:rsid w:val="00F8191E"/>
    <w:rsid w:val="00FF0ECE"/>
    <w:rsid w:val="00FF4225"/>
    <w:rsid w:val="0AD52D38"/>
    <w:rsid w:val="0B344E33"/>
    <w:rsid w:val="0DE338C3"/>
    <w:rsid w:val="13F220AD"/>
    <w:rsid w:val="17F1AC03"/>
    <w:rsid w:val="1C286600"/>
    <w:rsid w:val="364372DA"/>
    <w:rsid w:val="394B1FDA"/>
    <w:rsid w:val="39710D03"/>
    <w:rsid w:val="4203CD69"/>
    <w:rsid w:val="4255E59B"/>
    <w:rsid w:val="46331697"/>
    <w:rsid w:val="4BF19E70"/>
    <w:rsid w:val="5580FFFA"/>
    <w:rsid w:val="56403DAB"/>
    <w:rsid w:val="5F3C6D8C"/>
    <w:rsid w:val="631BB4CF"/>
    <w:rsid w:val="74767CC7"/>
    <w:rsid w:val="793E5543"/>
    <w:rsid w:val="7B364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8C47C2"/>
  <w15:chartTrackingRefBased/>
  <w15:docId w15:val="{79E07974-339C-44AE-8685-832EC1B71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30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030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030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030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30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30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30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30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30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30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030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030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030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030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030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30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30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30D9"/>
    <w:rPr>
      <w:rFonts w:eastAsiaTheme="majorEastAsia" w:cstheme="majorBidi"/>
      <w:color w:val="272727" w:themeColor="text1" w:themeTint="D8"/>
    </w:rPr>
  </w:style>
  <w:style w:type="paragraph" w:styleId="Title">
    <w:name w:val="Title"/>
    <w:basedOn w:val="Normal"/>
    <w:next w:val="Normal"/>
    <w:link w:val="TitleChar"/>
    <w:uiPriority w:val="10"/>
    <w:qFormat/>
    <w:rsid w:val="005030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30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30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30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30D9"/>
    <w:pPr>
      <w:spacing w:before="160"/>
      <w:jc w:val="center"/>
    </w:pPr>
    <w:rPr>
      <w:i/>
      <w:iCs/>
      <w:color w:val="404040" w:themeColor="text1" w:themeTint="BF"/>
    </w:rPr>
  </w:style>
  <w:style w:type="character" w:customStyle="1" w:styleId="QuoteChar">
    <w:name w:val="Quote Char"/>
    <w:basedOn w:val="DefaultParagraphFont"/>
    <w:link w:val="Quote"/>
    <w:uiPriority w:val="29"/>
    <w:rsid w:val="005030D9"/>
    <w:rPr>
      <w:i/>
      <w:iCs/>
      <w:color w:val="404040" w:themeColor="text1" w:themeTint="BF"/>
    </w:rPr>
  </w:style>
  <w:style w:type="paragraph" w:styleId="ListParagraph">
    <w:name w:val="List Paragraph"/>
    <w:basedOn w:val="Normal"/>
    <w:uiPriority w:val="34"/>
    <w:qFormat/>
    <w:rsid w:val="005030D9"/>
    <w:pPr>
      <w:ind w:left="720"/>
      <w:contextualSpacing/>
    </w:pPr>
  </w:style>
  <w:style w:type="character" w:styleId="IntenseEmphasis">
    <w:name w:val="Intense Emphasis"/>
    <w:basedOn w:val="DefaultParagraphFont"/>
    <w:uiPriority w:val="21"/>
    <w:qFormat/>
    <w:rsid w:val="005030D9"/>
    <w:rPr>
      <w:i/>
      <w:iCs/>
      <w:color w:val="0F4761" w:themeColor="accent1" w:themeShade="BF"/>
    </w:rPr>
  </w:style>
  <w:style w:type="paragraph" w:styleId="IntenseQuote">
    <w:name w:val="Intense Quote"/>
    <w:basedOn w:val="Normal"/>
    <w:next w:val="Normal"/>
    <w:link w:val="IntenseQuoteChar"/>
    <w:uiPriority w:val="30"/>
    <w:qFormat/>
    <w:rsid w:val="005030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30D9"/>
    <w:rPr>
      <w:i/>
      <w:iCs/>
      <w:color w:val="0F4761" w:themeColor="accent1" w:themeShade="BF"/>
    </w:rPr>
  </w:style>
  <w:style w:type="character" w:styleId="IntenseReference">
    <w:name w:val="Intense Reference"/>
    <w:basedOn w:val="DefaultParagraphFont"/>
    <w:uiPriority w:val="32"/>
    <w:qFormat/>
    <w:rsid w:val="005030D9"/>
    <w:rPr>
      <w:b/>
      <w:bCs/>
      <w:smallCaps/>
      <w:color w:val="0F4761" w:themeColor="accent1" w:themeShade="BF"/>
      <w:spacing w:val="5"/>
    </w:rPr>
  </w:style>
  <w:style w:type="paragraph" w:styleId="NormalWeb">
    <w:name w:val="Normal (Web)"/>
    <w:basedOn w:val="Normal"/>
    <w:uiPriority w:val="99"/>
    <w:semiHidden/>
    <w:unhideWhenUsed/>
    <w:rsid w:val="0098792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ui-provider">
    <w:name w:val="ui-provider"/>
    <w:basedOn w:val="DefaultParagraphFont"/>
    <w:rsid w:val="004A3D3A"/>
  </w:style>
  <w:style w:type="character" w:styleId="Hyperlink">
    <w:name w:val="Hyperlink"/>
    <w:basedOn w:val="DefaultParagraphFont"/>
    <w:uiPriority w:val="99"/>
    <w:semiHidden/>
    <w:unhideWhenUsed/>
    <w:rsid w:val="00B20ED1"/>
    <w:rPr>
      <w:color w:val="0000FF"/>
      <w:u w:val="single"/>
    </w:rPr>
  </w:style>
  <w:style w:type="paragraph" w:styleId="Header">
    <w:name w:val="header"/>
    <w:basedOn w:val="Normal"/>
    <w:link w:val="HeaderChar"/>
    <w:uiPriority w:val="99"/>
    <w:unhideWhenUsed/>
    <w:rsid w:val="000B6EE3"/>
    <w:pPr>
      <w:tabs>
        <w:tab w:val="center" w:pos="4819"/>
        <w:tab w:val="right" w:pos="9638"/>
      </w:tabs>
      <w:spacing w:after="0" w:line="240" w:lineRule="auto"/>
    </w:pPr>
  </w:style>
  <w:style w:type="character" w:customStyle="1" w:styleId="HeaderChar">
    <w:name w:val="Header Char"/>
    <w:basedOn w:val="DefaultParagraphFont"/>
    <w:link w:val="Header"/>
    <w:uiPriority w:val="99"/>
    <w:rsid w:val="000B6EE3"/>
  </w:style>
  <w:style w:type="paragraph" w:styleId="Footer">
    <w:name w:val="footer"/>
    <w:basedOn w:val="Normal"/>
    <w:link w:val="FooterChar"/>
    <w:uiPriority w:val="99"/>
    <w:unhideWhenUsed/>
    <w:rsid w:val="000B6EE3"/>
    <w:pPr>
      <w:tabs>
        <w:tab w:val="center" w:pos="4819"/>
        <w:tab w:val="right" w:pos="9638"/>
      </w:tabs>
      <w:spacing w:after="0" w:line="240" w:lineRule="auto"/>
    </w:pPr>
  </w:style>
  <w:style w:type="character" w:customStyle="1" w:styleId="FooterChar">
    <w:name w:val="Footer Char"/>
    <w:basedOn w:val="DefaultParagraphFont"/>
    <w:link w:val="Footer"/>
    <w:uiPriority w:val="99"/>
    <w:rsid w:val="000B6EE3"/>
  </w:style>
  <w:style w:type="paragraph" w:styleId="Revision">
    <w:name w:val="Revision"/>
    <w:hidden/>
    <w:uiPriority w:val="99"/>
    <w:semiHidden/>
    <w:rsid w:val="00DA5B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206819">
      <w:bodyDiv w:val="1"/>
      <w:marLeft w:val="0"/>
      <w:marRight w:val="0"/>
      <w:marTop w:val="0"/>
      <w:marBottom w:val="0"/>
      <w:divBdr>
        <w:top w:val="none" w:sz="0" w:space="0" w:color="auto"/>
        <w:left w:val="none" w:sz="0" w:space="0" w:color="auto"/>
        <w:bottom w:val="none" w:sz="0" w:space="0" w:color="auto"/>
        <w:right w:val="none" w:sz="0" w:space="0" w:color="auto"/>
      </w:divBdr>
      <w:divsChild>
        <w:div w:id="898437310">
          <w:marLeft w:val="0"/>
          <w:marRight w:val="0"/>
          <w:marTop w:val="0"/>
          <w:marBottom w:val="0"/>
          <w:divBdr>
            <w:top w:val="none" w:sz="0" w:space="0" w:color="auto"/>
            <w:left w:val="none" w:sz="0" w:space="0" w:color="auto"/>
            <w:bottom w:val="none" w:sz="0" w:space="0" w:color="auto"/>
            <w:right w:val="none" w:sz="0" w:space="0" w:color="auto"/>
          </w:divBdr>
          <w:divsChild>
            <w:div w:id="1106657172">
              <w:marLeft w:val="0"/>
              <w:marRight w:val="0"/>
              <w:marTop w:val="0"/>
              <w:marBottom w:val="0"/>
              <w:divBdr>
                <w:top w:val="none" w:sz="0" w:space="0" w:color="auto"/>
                <w:left w:val="none" w:sz="0" w:space="0" w:color="auto"/>
                <w:bottom w:val="none" w:sz="0" w:space="0" w:color="auto"/>
                <w:right w:val="none" w:sz="0" w:space="0" w:color="auto"/>
              </w:divBdr>
              <w:divsChild>
                <w:div w:id="1244876721">
                  <w:marLeft w:val="0"/>
                  <w:marRight w:val="0"/>
                  <w:marTop w:val="0"/>
                  <w:marBottom w:val="0"/>
                  <w:divBdr>
                    <w:top w:val="none" w:sz="0" w:space="0" w:color="auto"/>
                    <w:left w:val="none" w:sz="0" w:space="0" w:color="auto"/>
                    <w:bottom w:val="none" w:sz="0" w:space="0" w:color="auto"/>
                    <w:right w:val="none" w:sz="0" w:space="0" w:color="auto"/>
                  </w:divBdr>
                  <w:divsChild>
                    <w:div w:id="564687867">
                      <w:marLeft w:val="0"/>
                      <w:marRight w:val="0"/>
                      <w:marTop w:val="0"/>
                      <w:marBottom w:val="0"/>
                      <w:divBdr>
                        <w:top w:val="none" w:sz="0" w:space="0" w:color="auto"/>
                        <w:left w:val="none" w:sz="0" w:space="0" w:color="auto"/>
                        <w:bottom w:val="none" w:sz="0" w:space="0" w:color="auto"/>
                        <w:right w:val="none" w:sz="0" w:space="0" w:color="auto"/>
                      </w:divBdr>
                      <w:divsChild>
                        <w:div w:id="1443724117">
                          <w:marLeft w:val="0"/>
                          <w:marRight w:val="0"/>
                          <w:marTop w:val="0"/>
                          <w:marBottom w:val="300"/>
                          <w:divBdr>
                            <w:top w:val="none" w:sz="0" w:space="0" w:color="auto"/>
                            <w:left w:val="none" w:sz="0" w:space="0" w:color="auto"/>
                            <w:bottom w:val="none" w:sz="0" w:space="0" w:color="auto"/>
                            <w:right w:val="none" w:sz="0" w:space="0" w:color="auto"/>
                          </w:divBdr>
                          <w:divsChild>
                            <w:div w:id="844787095">
                              <w:marLeft w:val="0"/>
                              <w:marRight w:val="0"/>
                              <w:marTop w:val="0"/>
                              <w:marBottom w:val="0"/>
                              <w:divBdr>
                                <w:top w:val="none" w:sz="0" w:space="0" w:color="auto"/>
                                <w:left w:val="none" w:sz="0" w:space="0" w:color="auto"/>
                                <w:bottom w:val="none" w:sz="0" w:space="0" w:color="auto"/>
                                <w:right w:val="none" w:sz="0" w:space="0" w:color="auto"/>
                              </w:divBdr>
                            </w:div>
                          </w:divsChild>
                        </w:div>
                        <w:div w:id="782531206">
                          <w:marLeft w:val="0"/>
                          <w:marRight w:val="0"/>
                          <w:marTop w:val="0"/>
                          <w:marBottom w:val="0"/>
                          <w:divBdr>
                            <w:top w:val="none" w:sz="0" w:space="0" w:color="auto"/>
                            <w:left w:val="none" w:sz="0" w:space="0" w:color="auto"/>
                            <w:bottom w:val="none" w:sz="0" w:space="0" w:color="auto"/>
                            <w:right w:val="none" w:sz="0" w:space="0" w:color="auto"/>
                          </w:divBdr>
                          <w:divsChild>
                            <w:div w:id="52266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965339">
                      <w:marLeft w:val="0"/>
                      <w:marRight w:val="0"/>
                      <w:marTop w:val="0"/>
                      <w:marBottom w:val="0"/>
                      <w:divBdr>
                        <w:top w:val="none" w:sz="0" w:space="0" w:color="auto"/>
                        <w:left w:val="none" w:sz="0" w:space="0" w:color="auto"/>
                        <w:bottom w:val="none" w:sz="0" w:space="0" w:color="auto"/>
                        <w:right w:val="none" w:sz="0" w:space="0" w:color="auto"/>
                      </w:divBdr>
                      <w:divsChild>
                        <w:div w:id="513616553">
                          <w:marLeft w:val="0"/>
                          <w:marRight w:val="0"/>
                          <w:marTop w:val="0"/>
                          <w:marBottom w:val="0"/>
                          <w:divBdr>
                            <w:top w:val="none" w:sz="0" w:space="0" w:color="auto"/>
                            <w:left w:val="none" w:sz="0" w:space="0" w:color="auto"/>
                            <w:bottom w:val="none" w:sz="0" w:space="0" w:color="auto"/>
                            <w:right w:val="none" w:sz="0" w:space="0" w:color="auto"/>
                          </w:divBdr>
                        </w:div>
                      </w:divsChild>
                    </w:div>
                    <w:div w:id="1147287440">
                      <w:marLeft w:val="0"/>
                      <w:marRight w:val="0"/>
                      <w:marTop w:val="0"/>
                      <w:marBottom w:val="0"/>
                      <w:divBdr>
                        <w:top w:val="none" w:sz="0" w:space="0" w:color="auto"/>
                        <w:left w:val="none" w:sz="0" w:space="0" w:color="auto"/>
                        <w:bottom w:val="none" w:sz="0" w:space="0" w:color="auto"/>
                        <w:right w:val="none" w:sz="0" w:space="0" w:color="auto"/>
                      </w:divBdr>
                      <w:divsChild>
                        <w:div w:id="2117864181">
                          <w:marLeft w:val="0"/>
                          <w:marRight w:val="0"/>
                          <w:marTop w:val="0"/>
                          <w:marBottom w:val="300"/>
                          <w:divBdr>
                            <w:top w:val="none" w:sz="0" w:space="0" w:color="auto"/>
                            <w:left w:val="none" w:sz="0" w:space="0" w:color="auto"/>
                            <w:bottom w:val="none" w:sz="0" w:space="0" w:color="auto"/>
                            <w:right w:val="none" w:sz="0" w:space="0" w:color="auto"/>
                          </w:divBdr>
                          <w:divsChild>
                            <w:div w:id="2029477271">
                              <w:marLeft w:val="0"/>
                              <w:marRight w:val="0"/>
                              <w:marTop w:val="0"/>
                              <w:marBottom w:val="0"/>
                              <w:divBdr>
                                <w:top w:val="none" w:sz="0" w:space="0" w:color="auto"/>
                                <w:left w:val="none" w:sz="0" w:space="0" w:color="auto"/>
                                <w:bottom w:val="none" w:sz="0" w:space="0" w:color="auto"/>
                                <w:right w:val="none" w:sz="0" w:space="0" w:color="auto"/>
                              </w:divBdr>
                            </w:div>
                          </w:divsChild>
                        </w:div>
                        <w:div w:id="1393504608">
                          <w:marLeft w:val="0"/>
                          <w:marRight w:val="0"/>
                          <w:marTop w:val="0"/>
                          <w:marBottom w:val="0"/>
                          <w:divBdr>
                            <w:top w:val="none" w:sz="0" w:space="0" w:color="auto"/>
                            <w:left w:val="none" w:sz="0" w:space="0" w:color="auto"/>
                            <w:bottom w:val="none" w:sz="0" w:space="0" w:color="auto"/>
                            <w:right w:val="none" w:sz="0" w:space="0" w:color="auto"/>
                          </w:divBdr>
                          <w:divsChild>
                            <w:div w:id="13861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875501">
                      <w:marLeft w:val="0"/>
                      <w:marRight w:val="0"/>
                      <w:marTop w:val="0"/>
                      <w:marBottom w:val="0"/>
                      <w:divBdr>
                        <w:top w:val="none" w:sz="0" w:space="0" w:color="auto"/>
                        <w:left w:val="none" w:sz="0" w:space="0" w:color="auto"/>
                        <w:bottom w:val="none" w:sz="0" w:space="0" w:color="auto"/>
                        <w:right w:val="none" w:sz="0" w:space="0" w:color="auto"/>
                      </w:divBdr>
                      <w:divsChild>
                        <w:div w:id="449857640">
                          <w:marLeft w:val="0"/>
                          <w:marRight w:val="0"/>
                          <w:marTop w:val="0"/>
                          <w:marBottom w:val="0"/>
                          <w:divBdr>
                            <w:top w:val="none" w:sz="0" w:space="0" w:color="auto"/>
                            <w:left w:val="none" w:sz="0" w:space="0" w:color="auto"/>
                            <w:bottom w:val="none" w:sz="0" w:space="0" w:color="auto"/>
                            <w:right w:val="none" w:sz="0" w:space="0" w:color="auto"/>
                          </w:divBdr>
                        </w:div>
                      </w:divsChild>
                    </w:div>
                    <w:div w:id="1474371598">
                      <w:marLeft w:val="0"/>
                      <w:marRight w:val="0"/>
                      <w:marTop w:val="0"/>
                      <w:marBottom w:val="0"/>
                      <w:divBdr>
                        <w:top w:val="none" w:sz="0" w:space="0" w:color="auto"/>
                        <w:left w:val="none" w:sz="0" w:space="0" w:color="auto"/>
                        <w:bottom w:val="none" w:sz="0" w:space="0" w:color="auto"/>
                        <w:right w:val="none" w:sz="0" w:space="0" w:color="auto"/>
                      </w:divBdr>
                      <w:divsChild>
                        <w:div w:id="1436709296">
                          <w:marLeft w:val="0"/>
                          <w:marRight w:val="0"/>
                          <w:marTop w:val="0"/>
                          <w:marBottom w:val="300"/>
                          <w:divBdr>
                            <w:top w:val="none" w:sz="0" w:space="0" w:color="auto"/>
                            <w:left w:val="none" w:sz="0" w:space="0" w:color="auto"/>
                            <w:bottom w:val="none" w:sz="0" w:space="0" w:color="auto"/>
                            <w:right w:val="none" w:sz="0" w:space="0" w:color="auto"/>
                          </w:divBdr>
                          <w:divsChild>
                            <w:div w:id="1292520909">
                              <w:marLeft w:val="0"/>
                              <w:marRight w:val="0"/>
                              <w:marTop w:val="0"/>
                              <w:marBottom w:val="0"/>
                              <w:divBdr>
                                <w:top w:val="none" w:sz="0" w:space="0" w:color="auto"/>
                                <w:left w:val="none" w:sz="0" w:space="0" w:color="auto"/>
                                <w:bottom w:val="none" w:sz="0" w:space="0" w:color="auto"/>
                                <w:right w:val="none" w:sz="0" w:space="0" w:color="auto"/>
                              </w:divBdr>
                            </w:div>
                          </w:divsChild>
                        </w:div>
                        <w:div w:id="451290167">
                          <w:marLeft w:val="0"/>
                          <w:marRight w:val="0"/>
                          <w:marTop w:val="0"/>
                          <w:marBottom w:val="0"/>
                          <w:divBdr>
                            <w:top w:val="none" w:sz="0" w:space="0" w:color="auto"/>
                            <w:left w:val="none" w:sz="0" w:space="0" w:color="auto"/>
                            <w:bottom w:val="none" w:sz="0" w:space="0" w:color="auto"/>
                            <w:right w:val="none" w:sz="0" w:space="0" w:color="auto"/>
                          </w:divBdr>
                          <w:divsChild>
                            <w:div w:id="1255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16575">
                  <w:marLeft w:val="0"/>
                  <w:marRight w:val="0"/>
                  <w:marTop w:val="0"/>
                  <w:marBottom w:val="0"/>
                  <w:divBdr>
                    <w:top w:val="none" w:sz="0" w:space="0" w:color="auto"/>
                    <w:left w:val="none" w:sz="0" w:space="0" w:color="auto"/>
                    <w:bottom w:val="none" w:sz="0" w:space="0" w:color="auto"/>
                    <w:right w:val="none" w:sz="0" w:space="0" w:color="auto"/>
                  </w:divBdr>
                  <w:divsChild>
                    <w:div w:id="456293508">
                      <w:marLeft w:val="0"/>
                      <w:marRight w:val="0"/>
                      <w:marTop w:val="0"/>
                      <w:marBottom w:val="0"/>
                      <w:divBdr>
                        <w:top w:val="none" w:sz="0" w:space="0" w:color="auto"/>
                        <w:left w:val="none" w:sz="0" w:space="0" w:color="auto"/>
                        <w:bottom w:val="none" w:sz="0" w:space="0" w:color="auto"/>
                        <w:right w:val="none" w:sz="0" w:space="0" w:color="auto"/>
                      </w:divBdr>
                      <w:divsChild>
                        <w:div w:id="14967713">
                          <w:marLeft w:val="0"/>
                          <w:marRight w:val="0"/>
                          <w:marTop w:val="0"/>
                          <w:marBottom w:val="300"/>
                          <w:divBdr>
                            <w:top w:val="none" w:sz="0" w:space="0" w:color="auto"/>
                            <w:left w:val="none" w:sz="0" w:space="0" w:color="auto"/>
                            <w:bottom w:val="none" w:sz="0" w:space="0" w:color="auto"/>
                            <w:right w:val="none" w:sz="0" w:space="0" w:color="auto"/>
                          </w:divBdr>
                          <w:divsChild>
                            <w:div w:id="1637300201">
                              <w:marLeft w:val="0"/>
                              <w:marRight w:val="0"/>
                              <w:marTop w:val="0"/>
                              <w:marBottom w:val="0"/>
                              <w:divBdr>
                                <w:top w:val="none" w:sz="0" w:space="0" w:color="auto"/>
                                <w:left w:val="none" w:sz="0" w:space="0" w:color="auto"/>
                                <w:bottom w:val="none" w:sz="0" w:space="0" w:color="auto"/>
                                <w:right w:val="none" w:sz="0" w:space="0" w:color="auto"/>
                              </w:divBdr>
                            </w:div>
                          </w:divsChild>
                        </w:div>
                        <w:div w:id="546838719">
                          <w:marLeft w:val="0"/>
                          <w:marRight w:val="0"/>
                          <w:marTop w:val="0"/>
                          <w:marBottom w:val="300"/>
                          <w:divBdr>
                            <w:top w:val="none" w:sz="0" w:space="0" w:color="auto"/>
                            <w:left w:val="none" w:sz="0" w:space="0" w:color="auto"/>
                            <w:bottom w:val="none" w:sz="0" w:space="0" w:color="auto"/>
                            <w:right w:val="none" w:sz="0" w:space="0" w:color="auto"/>
                          </w:divBdr>
                          <w:divsChild>
                            <w:div w:id="42101792">
                              <w:marLeft w:val="0"/>
                              <w:marRight w:val="0"/>
                              <w:marTop w:val="0"/>
                              <w:marBottom w:val="0"/>
                              <w:divBdr>
                                <w:top w:val="none" w:sz="0" w:space="0" w:color="auto"/>
                                <w:left w:val="none" w:sz="0" w:space="0" w:color="auto"/>
                                <w:bottom w:val="none" w:sz="0" w:space="0" w:color="auto"/>
                                <w:right w:val="none" w:sz="0" w:space="0" w:color="auto"/>
                              </w:divBdr>
                            </w:div>
                          </w:divsChild>
                        </w:div>
                        <w:div w:id="695427610">
                          <w:marLeft w:val="0"/>
                          <w:marRight w:val="0"/>
                          <w:marTop w:val="0"/>
                          <w:marBottom w:val="0"/>
                          <w:divBdr>
                            <w:top w:val="none" w:sz="0" w:space="0" w:color="auto"/>
                            <w:left w:val="none" w:sz="0" w:space="0" w:color="auto"/>
                            <w:bottom w:val="none" w:sz="0" w:space="0" w:color="auto"/>
                            <w:right w:val="none" w:sz="0" w:space="0" w:color="auto"/>
                          </w:divBdr>
                          <w:divsChild>
                            <w:div w:id="1773357049">
                              <w:marLeft w:val="585"/>
                              <w:marRight w:val="0"/>
                              <w:marTop w:val="14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326382">
          <w:marLeft w:val="0"/>
          <w:marRight w:val="0"/>
          <w:marTop w:val="0"/>
          <w:marBottom w:val="0"/>
          <w:divBdr>
            <w:top w:val="none" w:sz="0" w:space="0" w:color="auto"/>
            <w:left w:val="none" w:sz="0" w:space="0" w:color="auto"/>
            <w:bottom w:val="none" w:sz="0" w:space="0" w:color="auto"/>
            <w:right w:val="none" w:sz="0" w:space="0" w:color="auto"/>
          </w:divBdr>
          <w:divsChild>
            <w:div w:id="2125271700">
              <w:marLeft w:val="0"/>
              <w:marRight w:val="0"/>
              <w:marTop w:val="0"/>
              <w:marBottom w:val="0"/>
              <w:divBdr>
                <w:top w:val="none" w:sz="0" w:space="0" w:color="auto"/>
                <w:left w:val="none" w:sz="0" w:space="0" w:color="auto"/>
                <w:bottom w:val="none" w:sz="0" w:space="0" w:color="auto"/>
                <w:right w:val="none" w:sz="0" w:space="0" w:color="auto"/>
              </w:divBdr>
              <w:divsChild>
                <w:div w:id="151261348">
                  <w:marLeft w:val="0"/>
                  <w:marRight w:val="0"/>
                  <w:marTop w:val="0"/>
                  <w:marBottom w:val="0"/>
                  <w:divBdr>
                    <w:top w:val="none" w:sz="0" w:space="0" w:color="auto"/>
                    <w:left w:val="none" w:sz="0" w:space="0" w:color="auto"/>
                    <w:bottom w:val="none" w:sz="0" w:space="0" w:color="auto"/>
                    <w:right w:val="none" w:sz="0" w:space="0" w:color="auto"/>
                  </w:divBdr>
                  <w:divsChild>
                    <w:div w:id="1978952915">
                      <w:marLeft w:val="0"/>
                      <w:marRight w:val="0"/>
                      <w:marTop w:val="0"/>
                      <w:marBottom w:val="300"/>
                      <w:divBdr>
                        <w:top w:val="none" w:sz="0" w:space="0" w:color="auto"/>
                        <w:left w:val="none" w:sz="0" w:space="0" w:color="auto"/>
                        <w:bottom w:val="none" w:sz="0" w:space="0" w:color="auto"/>
                        <w:right w:val="none" w:sz="0" w:space="0" w:color="auto"/>
                      </w:divBdr>
                      <w:divsChild>
                        <w:div w:id="1152260231">
                          <w:marLeft w:val="705"/>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860">
      <w:bodyDiv w:val="1"/>
      <w:marLeft w:val="0"/>
      <w:marRight w:val="0"/>
      <w:marTop w:val="0"/>
      <w:marBottom w:val="0"/>
      <w:divBdr>
        <w:top w:val="none" w:sz="0" w:space="0" w:color="auto"/>
        <w:left w:val="none" w:sz="0" w:space="0" w:color="auto"/>
        <w:bottom w:val="none" w:sz="0" w:space="0" w:color="auto"/>
        <w:right w:val="none" w:sz="0" w:space="0" w:color="auto"/>
      </w:divBdr>
      <w:divsChild>
        <w:div w:id="2037461152">
          <w:marLeft w:val="0"/>
          <w:marRight w:val="0"/>
          <w:marTop w:val="0"/>
          <w:marBottom w:val="0"/>
          <w:divBdr>
            <w:top w:val="none" w:sz="0" w:space="0" w:color="auto"/>
            <w:left w:val="none" w:sz="0" w:space="0" w:color="auto"/>
            <w:bottom w:val="none" w:sz="0" w:space="0" w:color="auto"/>
            <w:right w:val="none" w:sz="0" w:space="0" w:color="auto"/>
          </w:divBdr>
        </w:div>
        <w:div w:id="1936287203">
          <w:marLeft w:val="0"/>
          <w:marRight w:val="0"/>
          <w:marTop w:val="0"/>
          <w:marBottom w:val="0"/>
          <w:divBdr>
            <w:top w:val="none" w:sz="0" w:space="0" w:color="auto"/>
            <w:left w:val="none" w:sz="0" w:space="0" w:color="auto"/>
            <w:bottom w:val="none" w:sz="0" w:space="0" w:color="auto"/>
            <w:right w:val="none" w:sz="0" w:space="0" w:color="auto"/>
          </w:divBdr>
        </w:div>
        <w:div w:id="1810319969">
          <w:marLeft w:val="0"/>
          <w:marRight w:val="0"/>
          <w:marTop w:val="0"/>
          <w:marBottom w:val="0"/>
          <w:divBdr>
            <w:top w:val="none" w:sz="0" w:space="0" w:color="auto"/>
            <w:left w:val="none" w:sz="0" w:space="0" w:color="auto"/>
            <w:bottom w:val="none" w:sz="0" w:space="0" w:color="auto"/>
            <w:right w:val="none" w:sz="0" w:space="0" w:color="auto"/>
          </w:divBdr>
        </w:div>
      </w:divsChild>
    </w:div>
    <w:div w:id="364867388">
      <w:bodyDiv w:val="1"/>
      <w:marLeft w:val="0"/>
      <w:marRight w:val="0"/>
      <w:marTop w:val="0"/>
      <w:marBottom w:val="0"/>
      <w:divBdr>
        <w:top w:val="none" w:sz="0" w:space="0" w:color="auto"/>
        <w:left w:val="none" w:sz="0" w:space="0" w:color="auto"/>
        <w:bottom w:val="none" w:sz="0" w:space="0" w:color="auto"/>
        <w:right w:val="none" w:sz="0" w:space="0" w:color="auto"/>
      </w:divBdr>
    </w:div>
    <w:div w:id="1335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83E248-D18A-4BB3-B7AE-BB60B5A0615F}">
  <ds:schemaRefs>
    <ds:schemaRef ds:uri="http://schemas.microsoft.com/sharepoint/v3/contenttype/forms"/>
  </ds:schemaRefs>
</ds:datastoreItem>
</file>

<file path=customXml/itemProps2.xml><?xml version="1.0" encoding="utf-8"?>
<ds:datastoreItem xmlns:ds="http://schemas.openxmlformats.org/officeDocument/2006/customXml" ds:itemID="{ED192F13-DA95-443D-B3DB-789C11053034}">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C105A67F-305E-4FB3-9A06-CBD4F3229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2801</Words>
  <Characters>1597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Edgaras Batušan</cp:lastModifiedBy>
  <cp:revision>33</cp:revision>
  <dcterms:created xsi:type="dcterms:W3CDTF">2024-10-09T08:14:00Z</dcterms:created>
  <dcterms:modified xsi:type="dcterms:W3CDTF">2024-10-10T08:29:00Z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5428b2eeaa4ca4a18c1d2ae84aa5217b5e6b15a51293a73c53345e4ec328bb7a</vt:lpwstr>
  </property>
  <property fmtid="{D5CDD505-2E9C-101B-9397-08002B2CF9AE}" pid="3" name="ContentTypeId">
    <vt:lpwstr>0x010100228955D77AF03A478266A9C939F62C57</vt:lpwstr>
  </property>
  <property fmtid="{D5CDD505-2E9C-101B-9397-08002B2CF9AE}" pid="4" name="MediaServiceImageTags">
    <vt:lpwstr/>
  </property>
</Properties>
</file>