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18DF4" w14:textId="0AFBE567" w:rsidR="009B790C" w:rsidRPr="009B790C" w:rsidRDefault="009B790C" w:rsidP="00882CBC">
      <w:pPr>
        <w:jc w:val="both"/>
        <w:rPr>
          <w:rFonts w:cs="Times New Roman"/>
          <w:sz w:val="20"/>
          <w:szCs w:val="20"/>
          <w:lang w:val="lt-LT"/>
        </w:rPr>
      </w:pPr>
      <w:r w:rsidRPr="009B790C">
        <w:rPr>
          <w:rFonts w:cs="Times New Roman"/>
          <w:sz w:val="20"/>
          <w:szCs w:val="20"/>
          <w:lang w:val="lt-LT"/>
        </w:rPr>
        <w:t>Pranešimas žiniasklaidai</w:t>
      </w:r>
    </w:p>
    <w:p w14:paraId="17211936" w14:textId="06976AD7" w:rsidR="009B790C" w:rsidRPr="009B790C" w:rsidRDefault="009B790C" w:rsidP="00882CBC">
      <w:pPr>
        <w:jc w:val="both"/>
        <w:rPr>
          <w:rFonts w:cs="Times New Roman"/>
          <w:sz w:val="20"/>
          <w:szCs w:val="20"/>
          <w:lang w:val="en-US"/>
        </w:rPr>
      </w:pPr>
      <w:r w:rsidRPr="009B790C">
        <w:rPr>
          <w:rFonts w:cs="Times New Roman"/>
          <w:sz w:val="20"/>
          <w:szCs w:val="20"/>
          <w:lang w:val="en-US"/>
        </w:rPr>
        <w:t xml:space="preserve">2024 m. spalio </w:t>
      </w:r>
      <w:r w:rsidRPr="009B790C">
        <w:rPr>
          <w:rFonts w:cs="Times New Roman"/>
          <w:sz w:val="20"/>
          <w:szCs w:val="20"/>
          <w:lang w:val="lt-LT"/>
        </w:rPr>
        <w:t>14 d.</w:t>
      </w:r>
    </w:p>
    <w:p w14:paraId="0B3E9FB5" w14:textId="77777777" w:rsidR="009B790C" w:rsidRDefault="009B790C" w:rsidP="00882CBC">
      <w:pPr>
        <w:jc w:val="both"/>
        <w:rPr>
          <w:rFonts w:cs="Times New Roman"/>
          <w:b/>
          <w:bCs/>
          <w:sz w:val="28"/>
          <w:szCs w:val="28"/>
          <w:lang w:val="lt-LT"/>
        </w:rPr>
      </w:pPr>
    </w:p>
    <w:p w14:paraId="0AA2CE39" w14:textId="4ECF8C1A" w:rsidR="00DC1DF7" w:rsidRPr="009B790C" w:rsidRDefault="003F1215" w:rsidP="00882CBC">
      <w:pPr>
        <w:jc w:val="both"/>
        <w:rPr>
          <w:rFonts w:cs="Times New Roman"/>
          <w:b/>
          <w:bCs/>
          <w:sz w:val="28"/>
          <w:szCs w:val="28"/>
          <w:lang w:val="lt-LT"/>
        </w:rPr>
      </w:pPr>
      <w:r w:rsidRPr="009B790C">
        <w:rPr>
          <w:rFonts w:cs="Times New Roman"/>
          <w:b/>
          <w:bCs/>
          <w:sz w:val="28"/>
          <w:szCs w:val="28"/>
          <w:lang w:val="lt-LT"/>
        </w:rPr>
        <w:t>Kriptovaliutų tendencijos</w:t>
      </w:r>
      <w:r w:rsidR="00DC1DF7" w:rsidRPr="009B790C">
        <w:rPr>
          <w:rFonts w:cs="Times New Roman"/>
          <w:b/>
          <w:bCs/>
          <w:sz w:val="28"/>
          <w:szCs w:val="28"/>
          <w:lang w:val="lt-LT"/>
        </w:rPr>
        <w:t xml:space="preserve">: </w:t>
      </w:r>
      <w:r w:rsidR="009B790C" w:rsidRPr="009B790C">
        <w:rPr>
          <w:rFonts w:cs="Times New Roman"/>
          <w:b/>
          <w:bCs/>
          <w:sz w:val="28"/>
          <w:szCs w:val="28"/>
          <w:lang w:val="lt-LT"/>
        </w:rPr>
        <w:t xml:space="preserve">investuotojų optimizmas rinkos vertę padidino </w:t>
      </w:r>
      <w:r w:rsidR="006471D3" w:rsidRPr="009B790C">
        <w:rPr>
          <w:rFonts w:cs="Times New Roman"/>
          <w:b/>
          <w:bCs/>
          <w:sz w:val="28"/>
          <w:szCs w:val="28"/>
          <w:lang w:val="lt-LT"/>
        </w:rPr>
        <w:t>beveik dešimtadaliu</w:t>
      </w:r>
    </w:p>
    <w:p w14:paraId="472AE4E1" w14:textId="77777777" w:rsidR="003F1215" w:rsidRPr="009B790C" w:rsidRDefault="003F1215" w:rsidP="00882CBC">
      <w:pPr>
        <w:jc w:val="both"/>
        <w:rPr>
          <w:rFonts w:cs="Times New Roman"/>
          <w:b/>
          <w:bCs/>
          <w:lang w:val="lt-LT"/>
        </w:rPr>
      </w:pPr>
    </w:p>
    <w:p w14:paraId="0B62F2E2" w14:textId="4A196A1F" w:rsidR="00BC6E8D" w:rsidRPr="009B790C" w:rsidRDefault="003F1215" w:rsidP="00882CBC">
      <w:pPr>
        <w:jc w:val="both"/>
        <w:rPr>
          <w:rFonts w:cs="Times New Roman"/>
          <w:b/>
          <w:bCs/>
          <w:lang w:val="lt-LT"/>
        </w:rPr>
      </w:pPr>
      <w:r w:rsidRPr="009B790C">
        <w:rPr>
          <w:rFonts w:cs="Times New Roman"/>
          <w:b/>
          <w:bCs/>
          <w:lang w:val="lt-LT"/>
        </w:rPr>
        <w:t xml:space="preserve">Rugsėjį kriptovaliutų rinką teigiamai paveikė du svarbūs įvykiai. </w:t>
      </w:r>
      <w:r w:rsidR="008321A4" w:rsidRPr="009B790C">
        <w:rPr>
          <w:rFonts w:cs="Times New Roman"/>
          <w:b/>
          <w:bCs/>
          <w:lang w:val="lt-LT"/>
        </w:rPr>
        <w:t>Visų p</w:t>
      </w:r>
      <w:r w:rsidRPr="009B790C">
        <w:rPr>
          <w:rFonts w:cs="Times New Roman"/>
          <w:b/>
          <w:bCs/>
          <w:lang w:val="lt-LT"/>
        </w:rPr>
        <w:t>irma, JAV Federalinė rezervų sistema (FED) 50 bazinių punktų sumažin</w:t>
      </w:r>
      <w:r w:rsidR="004514E2" w:rsidRPr="009B790C">
        <w:rPr>
          <w:rFonts w:cs="Times New Roman"/>
          <w:b/>
          <w:bCs/>
          <w:lang w:val="lt-LT"/>
        </w:rPr>
        <w:t>o</w:t>
      </w:r>
      <w:r w:rsidRPr="009B790C">
        <w:rPr>
          <w:rFonts w:cs="Times New Roman"/>
          <w:b/>
          <w:bCs/>
          <w:lang w:val="lt-LT"/>
        </w:rPr>
        <w:t xml:space="preserve"> palūkanų normas. Antra, Kinija 20 bazinių punktų sumažino bankų privalomųjų atsargų dydį ir septynių dienų atpirkimo sandorių palūkanų normą. Dėl šių sprendimų Kinijos bankų sistemoje atsilaisvino 1 tr</w:t>
      </w:r>
      <w:r w:rsidR="00953FB5" w:rsidRPr="009B790C">
        <w:rPr>
          <w:rFonts w:cs="Times New Roman"/>
          <w:b/>
          <w:bCs/>
          <w:lang w:val="lt-LT"/>
        </w:rPr>
        <w:t>ln.</w:t>
      </w:r>
      <w:r w:rsidRPr="009B790C">
        <w:rPr>
          <w:rFonts w:cs="Times New Roman"/>
          <w:b/>
          <w:bCs/>
          <w:lang w:val="lt-LT"/>
        </w:rPr>
        <w:t xml:space="preserve"> juanių, arba apie 142,5 mlrd.</w:t>
      </w:r>
      <w:r w:rsidR="00710206" w:rsidRPr="009B790C">
        <w:rPr>
          <w:rFonts w:cs="Times New Roman"/>
          <w:b/>
          <w:bCs/>
          <w:lang w:val="lt-LT"/>
        </w:rPr>
        <w:t xml:space="preserve"> JAV</w:t>
      </w:r>
      <w:r w:rsidRPr="009B790C">
        <w:rPr>
          <w:rFonts w:cs="Times New Roman"/>
          <w:b/>
          <w:bCs/>
          <w:lang w:val="lt-LT"/>
        </w:rPr>
        <w:t xml:space="preserve"> dolerių. Abu įvykiai </w:t>
      </w:r>
      <w:r w:rsidR="00710206" w:rsidRPr="009B790C">
        <w:rPr>
          <w:rFonts w:cs="Times New Roman"/>
          <w:b/>
          <w:bCs/>
          <w:lang w:val="lt-LT"/>
        </w:rPr>
        <w:t>paskatino teigiamas investuotojų nuotaikas</w:t>
      </w:r>
      <w:r w:rsidRPr="009B790C">
        <w:rPr>
          <w:rFonts w:cs="Times New Roman"/>
          <w:b/>
          <w:bCs/>
          <w:lang w:val="lt-LT"/>
        </w:rPr>
        <w:t xml:space="preserve">, o bendra kriptovaliutų rinkos kapitalizacija rugsėjo mėn. padidėjo 8 </w:t>
      </w:r>
      <w:r w:rsidR="00710206" w:rsidRPr="009B790C">
        <w:rPr>
          <w:rFonts w:cs="Times New Roman"/>
          <w:b/>
          <w:bCs/>
          <w:lang w:val="lt-LT"/>
        </w:rPr>
        <w:t>proc.</w:t>
      </w:r>
      <w:r w:rsidRPr="009B790C">
        <w:rPr>
          <w:rFonts w:cs="Times New Roman"/>
          <w:b/>
          <w:bCs/>
          <w:lang w:val="lt-LT"/>
        </w:rPr>
        <w:t xml:space="preserve">, </w:t>
      </w:r>
      <w:r w:rsidR="00710206" w:rsidRPr="009B790C">
        <w:rPr>
          <w:rFonts w:cs="Times New Roman"/>
          <w:b/>
          <w:bCs/>
          <w:lang w:val="lt-LT"/>
        </w:rPr>
        <w:t>skelbiama</w:t>
      </w:r>
      <w:r w:rsidRPr="009B790C">
        <w:rPr>
          <w:rFonts w:cs="Times New Roman"/>
          <w:b/>
          <w:bCs/>
          <w:lang w:val="lt-LT"/>
        </w:rPr>
        <w:t xml:space="preserve"> „Binance“ spalio mėn</w:t>
      </w:r>
      <w:r w:rsidR="00710206" w:rsidRPr="009B790C">
        <w:rPr>
          <w:rFonts w:cs="Times New Roman"/>
          <w:b/>
          <w:bCs/>
          <w:lang w:val="lt-LT"/>
        </w:rPr>
        <w:t>esio</w:t>
      </w:r>
      <w:r w:rsidRPr="009B790C">
        <w:rPr>
          <w:rFonts w:cs="Times New Roman"/>
          <w:b/>
          <w:bCs/>
          <w:lang w:val="lt-LT"/>
        </w:rPr>
        <w:t xml:space="preserve"> kriptovaliutų rinkos tendencijų apžvalg</w:t>
      </w:r>
      <w:r w:rsidR="00710206" w:rsidRPr="009B790C">
        <w:rPr>
          <w:rFonts w:cs="Times New Roman"/>
          <w:b/>
          <w:bCs/>
          <w:lang w:val="lt-LT"/>
        </w:rPr>
        <w:t>oje</w:t>
      </w:r>
      <w:r w:rsidRPr="009B790C">
        <w:rPr>
          <w:rFonts w:cs="Times New Roman"/>
          <w:b/>
          <w:bCs/>
          <w:lang w:val="lt-LT"/>
        </w:rPr>
        <w:t>.</w:t>
      </w:r>
    </w:p>
    <w:p w14:paraId="08965D59" w14:textId="77777777" w:rsidR="00BC6E8D" w:rsidRPr="009B790C" w:rsidRDefault="00BC6E8D" w:rsidP="00882CBC">
      <w:pPr>
        <w:jc w:val="both"/>
        <w:rPr>
          <w:rFonts w:cs="Times New Roman"/>
          <w:lang w:val="lt-LT"/>
        </w:rPr>
      </w:pPr>
    </w:p>
    <w:p w14:paraId="3F47DCE2" w14:textId="68C484B8" w:rsidR="00BC6E8D" w:rsidRPr="009B790C" w:rsidRDefault="00BC6E8D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>Iš didžiausių kriptovaliutų rugsėjį labiausiai (20,1 proc.) išaugo „Avalanche“ (AVAX)</w:t>
      </w:r>
      <w:r w:rsidR="004514E2" w:rsidRPr="009B790C">
        <w:rPr>
          <w:rFonts w:cs="Times New Roman"/>
          <w:lang w:val="lt-LT"/>
        </w:rPr>
        <w:t xml:space="preserve"> vertė</w:t>
      </w:r>
      <w:r w:rsidRPr="009B790C">
        <w:rPr>
          <w:rFonts w:cs="Times New Roman"/>
          <w:lang w:val="lt-LT"/>
        </w:rPr>
        <w:t xml:space="preserve">. Tai daugiausia lėmė „Avalanche Foundation“ 40 mln. JAV dolerių vertės dotacijų programa „Retro9000“. Ja siekiama paskatinti kūrėjus plėtoti </w:t>
      </w:r>
      <w:r w:rsidR="008321A4" w:rsidRPr="009B790C">
        <w:rPr>
          <w:rFonts w:cs="Times New Roman"/>
          <w:lang w:val="lt-LT"/>
        </w:rPr>
        <w:t>„</w:t>
      </w:r>
      <w:r w:rsidRPr="009B790C">
        <w:rPr>
          <w:rFonts w:cs="Times New Roman"/>
          <w:lang w:val="lt-LT"/>
        </w:rPr>
        <w:t>Avalanche</w:t>
      </w:r>
      <w:r w:rsidR="008321A4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 xml:space="preserve"> tinklą prieš įvedant naują tinklo atnaujinimą </w:t>
      </w:r>
      <w:r w:rsidR="004514E2" w:rsidRPr="009B790C">
        <w:rPr>
          <w:rFonts w:cs="Times New Roman"/>
          <w:lang w:val="lt-LT"/>
        </w:rPr>
        <w:t>„</w:t>
      </w:r>
      <w:r w:rsidRPr="009B790C">
        <w:rPr>
          <w:rFonts w:cs="Times New Roman"/>
          <w:lang w:val="lt-LT"/>
        </w:rPr>
        <w:t>Avalanche9000”.</w:t>
      </w:r>
      <w:r w:rsidR="00791F8E" w:rsidRPr="009B790C">
        <w:rPr>
          <w:rFonts w:cs="Times New Roman"/>
          <w:lang w:val="lt-LT"/>
        </w:rPr>
        <w:t xml:space="preserve"> </w:t>
      </w:r>
      <w:r w:rsidRPr="009B790C">
        <w:rPr>
          <w:rFonts w:cs="Times New Roman"/>
          <w:lang w:val="lt-LT"/>
        </w:rPr>
        <w:t>Tikimasi, kad tai bus didžiausias „Avalanche“ tinklo atnaujinimas nuo pagrindinio tinklo paleidimo.</w:t>
      </w:r>
    </w:p>
    <w:p w14:paraId="7DD5234B" w14:textId="77777777" w:rsidR="00BC6E8D" w:rsidRPr="009B790C" w:rsidRDefault="00BC6E8D" w:rsidP="00882CBC">
      <w:pPr>
        <w:jc w:val="both"/>
        <w:rPr>
          <w:rFonts w:cs="Times New Roman"/>
          <w:lang w:val="lt-LT"/>
        </w:rPr>
      </w:pPr>
    </w:p>
    <w:p w14:paraId="27F7D29F" w14:textId="5F7B9974" w:rsidR="00BC6E8D" w:rsidRPr="009B790C" w:rsidRDefault="00BC6E8D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 xml:space="preserve">Verslininko Elono Musko veikla socialiniame tinkle </w:t>
      </w:r>
      <w:r w:rsidR="008321A4" w:rsidRPr="009B790C">
        <w:rPr>
          <w:rFonts w:cs="Times New Roman"/>
          <w:lang w:val="lt-LT"/>
        </w:rPr>
        <w:t>„</w:t>
      </w:r>
      <w:r w:rsidRPr="009B790C">
        <w:rPr>
          <w:rFonts w:cs="Times New Roman"/>
          <w:lang w:val="lt-LT"/>
        </w:rPr>
        <w:t>X</w:t>
      </w:r>
      <w:r w:rsidR="008321A4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 xml:space="preserve"> dar kartą padidino DOGE memų monetos </w:t>
      </w:r>
      <w:r w:rsidR="004514E2" w:rsidRPr="009B790C">
        <w:rPr>
          <w:rFonts w:cs="Times New Roman"/>
          <w:lang w:val="lt-LT"/>
        </w:rPr>
        <w:t xml:space="preserve">„Dogecoin“ </w:t>
      </w:r>
      <w:r w:rsidRPr="009B790C">
        <w:rPr>
          <w:rFonts w:cs="Times New Roman"/>
          <w:lang w:val="lt-LT"/>
        </w:rPr>
        <w:t>kainą, kuri rugsėjo mėn. šoktelėjo 14,9 proc. dėl verslininko įrašo,</w:t>
      </w:r>
      <w:r w:rsidR="004514E2" w:rsidRPr="009B790C">
        <w:rPr>
          <w:rFonts w:cs="Times New Roman"/>
          <w:lang w:val="lt-LT"/>
        </w:rPr>
        <w:t xml:space="preserve"> </w:t>
      </w:r>
      <w:r w:rsidRPr="009B790C">
        <w:rPr>
          <w:rFonts w:cs="Times New Roman"/>
          <w:lang w:val="lt-LT"/>
        </w:rPr>
        <w:t xml:space="preserve">kuriame žaismingai paminėtas terminas </w:t>
      </w:r>
      <w:r w:rsidR="008321A4" w:rsidRPr="009B790C">
        <w:rPr>
          <w:rFonts w:cs="Times New Roman"/>
          <w:lang w:val="lt-LT"/>
        </w:rPr>
        <w:t>„</w:t>
      </w:r>
      <w:r w:rsidRPr="009B790C">
        <w:rPr>
          <w:rFonts w:cs="Times New Roman"/>
          <w:lang w:val="lt-LT"/>
        </w:rPr>
        <w:t>Vyriausybės efektyvumo departamentas</w:t>
      </w:r>
      <w:r w:rsidR="008321A4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 xml:space="preserve"> (ang</w:t>
      </w:r>
      <w:r w:rsidR="004514E2" w:rsidRPr="009B790C">
        <w:rPr>
          <w:rFonts w:cs="Times New Roman"/>
          <w:lang w:val="lt-LT"/>
        </w:rPr>
        <w:t>l.</w:t>
      </w:r>
      <w:r w:rsidRPr="009B790C">
        <w:rPr>
          <w:rFonts w:cs="Times New Roman"/>
          <w:lang w:val="lt-LT"/>
        </w:rPr>
        <w:t xml:space="preserve"> </w:t>
      </w:r>
      <w:r w:rsidR="004514E2" w:rsidRPr="009B790C">
        <w:rPr>
          <w:rFonts w:cs="Times New Roman"/>
          <w:lang w:val="lt-LT"/>
        </w:rPr>
        <w:t>„</w:t>
      </w:r>
      <w:r w:rsidRPr="009B790C">
        <w:rPr>
          <w:rFonts w:cs="Times New Roman"/>
          <w:lang w:val="lt-LT"/>
        </w:rPr>
        <w:t>Department of Government Efficiency</w:t>
      </w:r>
      <w:r w:rsidR="004514E2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 xml:space="preserve">, sutrumpintai </w:t>
      </w:r>
      <w:r w:rsidR="008321A4" w:rsidRPr="009B790C">
        <w:rPr>
          <w:rFonts w:cs="Times New Roman"/>
          <w:lang w:val="lt-LT"/>
        </w:rPr>
        <w:t>–</w:t>
      </w:r>
      <w:r w:rsidR="004514E2" w:rsidRPr="009B790C">
        <w:rPr>
          <w:rFonts w:cs="Times New Roman"/>
          <w:lang w:val="lt-LT"/>
        </w:rPr>
        <w:t xml:space="preserve"> </w:t>
      </w:r>
      <w:r w:rsidRPr="009B790C">
        <w:rPr>
          <w:rFonts w:cs="Times New Roman"/>
          <w:lang w:val="lt-LT"/>
        </w:rPr>
        <w:t xml:space="preserve">DOGE). Tai </w:t>
      </w:r>
      <w:r w:rsidR="008321A4" w:rsidRPr="009B790C">
        <w:rPr>
          <w:rFonts w:cs="Times New Roman"/>
          <w:lang w:val="lt-LT"/>
        </w:rPr>
        <w:t>susilaukė didelio</w:t>
      </w:r>
      <w:r w:rsidRPr="009B790C">
        <w:rPr>
          <w:rFonts w:cs="Times New Roman"/>
          <w:lang w:val="lt-LT"/>
        </w:rPr>
        <w:t xml:space="preserve"> svetainės naudotojų dėmes</w:t>
      </w:r>
      <w:r w:rsidR="008321A4" w:rsidRPr="009B790C">
        <w:rPr>
          <w:rFonts w:cs="Times New Roman"/>
          <w:lang w:val="lt-LT"/>
        </w:rPr>
        <w:t>io</w:t>
      </w:r>
      <w:r w:rsidRPr="009B790C">
        <w:rPr>
          <w:rFonts w:cs="Times New Roman"/>
          <w:lang w:val="lt-LT"/>
        </w:rPr>
        <w:t xml:space="preserve"> ir spekuliacij</w:t>
      </w:r>
      <w:r w:rsidR="008321A4" w:rsidRPr="009B790C">
        <w:rPr>
          <w:rFonts w:cs="Times New Roman"/>
          <w:lang w:val="lt-LT"/>
        </w:rPr>
        <w:t>ų</w:t>
      </w:r>
      <w:r w:rsidRPr="009B790C">
        <w:rPr>
          <w:rFonts w:cs="Times New Roman"/>
          <w:lang w:val="lt-LT"/>
        </w:rPr>
        <w:t xml:space="preserve"> bei paskatino staigų </w:t>
      </w:r>
      <w:r w:rsidR="004514E2" w:rsidRPr="009B790C">
        <w:rPr>
          <w:rFonts w:cs="Times New Roman"/>
          <w:lang w:val="lt-LT"/>
        </w:rPr>
        <w:t>„Dogecoin“</w:t>
      </w:r>
      <w:r w:rsidRPr="009B790C">
        <w:rPr>
          <w:rFonts w:cs="Times New Roman"/>
          <w:lang w:val="lt-LT"/>
        </w:rPr>
        <w:t xml:space="preserve"> kainos </w:t>
      </w:r>
      <w:r w:rsidR="004514E2" w:rsidRPr="009B790C">
        <w:rPr>
          <w:rFonts w:cs="Times New Roman"/>
          <w:lang w:val="lt-LT"/>
        </w:rPr>
        <w:t>augimą</w:t>
      </w:r>
      <w:r w:rsidRPr="009B790C">
        <w:rPr>
          <w:rFonts w:cs="Times New Roman"/>
          <w:lang w:val="lt-LT"/>
        </w:rPr>
        <w:t>.</w:t>
      </w:r>
    </w:p>
    <w:p w14:paraId="2053570E" w14:textId="77777777" w:rsidR="004514E2" w:rsidRPr="009B790C" w:rsidRDefault="004514E2" w:rsidP="00882CBC">
      <w:pPr>
        <w:jc w:val="both"/>
        <w:rPr>
          <w:rFonts w:cs="Times New Roman"/>
          <w:lang w:val="lt-LT"/>
        </w:rPr>
      </w:pPr>
    </w:p>
    <w:p w14:paraId="2769794F" w14:textId="75EAB73D" w:rsidR="004514E2" w:rsidRPr="009B790C" w:rsidRDefault="004514E2" w:rsidP="004514E2">
      <w:pPr>
        <w:jc w:val="both"/>
        <w:rPr>
          <w:rFonts w:cs="Times New Roman"/>
        </w:rPr>
      </w:pPr>
      <w:r w:rsidRPr="009B790C">
        <w:rPr>
          <w:rFonts w:cs="Times New Roman"/>
        </w:rPr>
        <w:t>Bitkoino (BTC) kaina rugsėjį buvo gana nepastovi: mėnesį ji pradėjo nuo 53 272 eurų, rugsėjo 7 d. trumpam buvo nukritusi iki 48 000 eurų, o vėliau toliau kilo ir mėnesį baigė ties 57 042 eurais, t. y. padidėjo 7 proc. </w:t>
      </w:r>
    </w:p>
    <w:p w14:paraId="79E8DEE2" w14:textId="77777777" w:rsidR="004514E2" w:rsidRPr="009B790C" w:rsidRDefault="004514E2" w:rsidP="004514E2">
      <w:pPr>
        <w:jc w:val="both"/>
        <w:rPr>
          <w:rFonts w:cs="Times New Roman"/>
        </w:rPr>
      </w:pPr>
    </w:p>
    <w:p w14:paraId="145F8399" w14:textId="453D30D7" w:rsidR="004514E2" w:rsidRPr="009B790C" w:rsidRDefault="004514E2" w:rsidP="004514E2">
      <w:pPr>
        <w:jc w:val="both"/>
        <w:rPr>
          <w:rFonts w:cs="Times New Roman"/>
        </w:rPr>
      </w:pPr>
      <w:r w:rsidRPr="009B790C">
        <w:rPr>
          <w:rFonts w:cs="Times New Roman"/>
        </w:rPr>
        <w:t>Istoriškai rugsėjis būdavo gana silpnas mėnuo bitkoinui, tačiau ši tendencija šiemet buvo sulaužyta, o mėnuo tapo stipriausiu rugsėju per visą bitkoino istoriją.</w:t>
      </w:r>
    </w:p>
    <w:p w14:paraId="06CA18FC" w14:textId="77777777" w:rsidR="004514E2" w:rsidRPr="009B790C" w:rsidRDefault="004514E2" w:rsidP="004514E2">
      <w:pPr>
        <w:jc w:val="both"/>
        <w:rPr>
          <w:rFonts w:cs="Times New Roman"/>
        </w:rPr>
      </w:pPr>
    </w:p>
    <w:p w14:paraId="2F484B64" w14:textId="5D1166B4" w:rsidR="004514E2" w:rsidRPr="009B790C" w:rsidRDefault="0024457A" w:rsidP="004514E2">
      <w:pPr>
        <w:jc w:val="both"/>
        <w:rPr>
          <w:rFonts w:cs="Times New Roman"/>
        </w:rPr>
      </w:pPr>
      <w:r w:rsidRPr="009B790C">
        <w:rPr>
          <w:rFonts w:cs="Times New Roman"/>
        </w:rPr>
        <w:t>Tuo metu e</w:t>
      </w:r>
      <w:r w:rsidR="004514E2" w:rsidRPr="009B790C">
        <w:rPr>
          <w:rFonts w:cs="Times New Roman"/>
        </w:rPr>
        <w:t xml:space="preserve">terio (ETH) kainos augimas, lyginant su bitkoinu, buvo kuklesnis – rugsėjį jis pabrango </w:t>
      </w:r>
      <w:r w:rsidR="00B4790B" w:rsidRPr="009B790C">
        <w:rPr>
          <w:rFonts w:cs="Times New Roman"/>
          <w:lang w:val="en-US"/>
        </w:rPr>
        <w:t>2,8</w:t>
      </w:r>
      <w:r w:rsidR="004514E2" w:rsidRPr="009B790C">
        <w:rPr>
          <w:rFonts w:cs="Times New Roman"/>
        </w:rPr>
        <w:t xml:space="preserve"> proc. Pirmąją mėnesio dieną vieną eterį buvo galima įsigyti už 2 264 eurus, o paskutinę mėnesio dieną kaina pakilo iki 2 333 eurų. Žemiausias jo kainos taškas taip pat buvo rugsėjo 7 d., kai kaina smuko šiek tiek žemiau 2 000 eurų. </w:t>
      </w:r>
    </w:p>
    <w:p w14:paraId="6E584566" w14:textId="77777777" w:rsidR="00BC6E8D" w:rsidRPr="009B790C" w:rsidRDefault="00BC6E8D" w:rsidP="00882CBC">
      <w:pPr>
        <w:jc w:val="both"/>
        <w:rPr>
          <w:rFonts w:cs="Times New Roman"/>
          <w:lang w:val="lt-LT"/>
        </w:rPr>
      </w:pPr>
    </w:p>
    <w:p w14:paraId="7569F876" w14:textId="349BB493" w:rsidR="00BC6E8D" w:rsidRPr="009B790C" w:rsidRDefault="003F1215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>T</w:t>
      </w:r>
      <w:r w:rsidR="00BC6E8D" w:rsidRPr="009B790C">
        <w:rPr>
          <w:rFonts w:cs="Times New Roman"/>
          <w:lang w:val="lt-LT"/>
        </w:rPr>
        <w:t xml:space="preserve">arp mėnesio pralaimėtojų buvo kriptovaliuta </w:t>
      </w:r>
      <w:r w:rsidR="00B4790B" w:rsidRPr="009B790C">
        <w:rPr>
          <w:rFonts w:cs="Times New Roman"/>
          <w:lang w:val="lt-LT"/>
        </w:rPr>
        <w:t>„</w:t>
      </w:r>
      <w:r w:rsidR="00BC6E8D" w:rsidRPr="009B790C">
        <w:rPr>
          <w:rFonts w:cs="Times New Roman"/>
          <w:lang w:val="lt-LT"/>
        </w:rPr>
        <w:t>Tron</w:t>
      </w:r>
      <w:r w:rsidR="00B4790B" w:rsidRPr="009B790C">
        <w:rPr>
          <w:rFonts w:cs="Times New Roman"/>
          <w:lang w:val="lt-LT"/>
        </w:rPr>
        <w:t>“</w:t>
      </w:r>
      <w:r w:rsidR="00BC6E8D" w:rsidRPr="009B790C">
        <w:rPr>
          <w:rFonts w:cs="Times New Roman"/>
          <w:lang w:val="lt-LT"/>
        </w:rPr>
        <w:t xml:space="preserve"> (TRX), </w:t>
      </w:r>
      <w:r w:rsidR="008321A4" w:rsidRPr="009B790C">
        <w:rPr>
          <w:rFonts w:cs="Times New Roman"/>
          <w:lang w:val="lt-LT"/>
        </w:rPr>
        <w:t>pigusi</w:t>
      </w:r>
      <w:r w:rsidR="00BC6E8D" w:rsidRPr="009B790C">
        <w:rPr>
          <w:rFonts w:cs="Times New Roman"/>
          <w:lang w:val="lt-LT"/>
        </w:rPr>
        <w:t xml:space="preserve"> 2,3 </w:t>
      </w:r>
      <w:r w:rsidRPr="009B790C">
        <w:rPr>
          <w:rFonts w:cs="Times New Roman"/>
          <w:lang w:val="lt-LT"/>
        </w:rPr>
        <w:t>proc</w:t>
      </w:r>
      <w:r w:rsidR="00BC6E8D" w:rsidRPr="009B790C">
        <w:rPr>
          <w:rFonts w:cs="Times New Roman"/>
          <w:lang w:val="lt-LT"/>
        </w:rPr>
        <w:t>. Ankstesniais mėnesiais „Tron“ ekosistemoje vyko me</w:t>
      </w:r>
      <w:r w:rsidRPr="009B790C">
        <w:rPr>
          <w:rFonts w:cs="Times New Roman"/>
          <w:lang w:val="lt-LT"/>
        </w:rPr>
        <w:t>mų</w:t>
      </w:r>
      <w:r w:rsidR="00BC6E8D" w:rsidRPr="009B790C">
        <w:rPr>
          <w:rFonts w:cs="Times New Roman"/>
          <w:lang w:val="lt-LT"/>
        </w:rPr>
        <w:t xml:space="preserve"> monetų bumas, dėl kurio labai padidėjo tinklo aktyvumas ir atitinkamai pakilo TRX kaina.</w:t>
      </w:r>
    </w:p>
    <w:p w14:paraId="5BCF4585" w14:textId="77777777" w:rsidR="00995AC9" w:rsidRPr="009B790C" w:rsidRDefault="00995AC9" w:rsidP="00882CBC">
      <w:pPr>
        <w:jc w:val="both"/>
        <w:rPr>
          <w:rFonts w:cs="Times New Roman"/>
          <w:lang w:val="lt-LT"/>
        </w:rPr>
      </w:pPr>
    </w:p>
    <w:p w14:paraId="4DB0A4AE" w14:textId="63588312" w:rsidR="00995AC9" w:rsidRPr="009B790C" w:rsidRDefault="00995AC9" w:rsidP="00882CBC">
      <w:pPr>
        <w:jc w:val="both"/>
        <w:rPr>
          <w:rFonts w:cs="Times New Roman"/>
          <w:b/>
          <w:bCs/>
          <w:lang w:val="lt-LT"/>
        </w:rPr>
      </w:pPr>
      <w:r w:rsidRPr="009B790C">
        <w:rPr>
          <w:rFonts w:cs="Times New Roman"/>
          <w:b/>
          <w:bCs/>
          <w:lang w:val="lt-LT"/>
        </w:rPr>
        <w:t>Didžiausia eterio emisija per 2 metus</w:t>
      </w:r>
    </w:p>
    <w:p w14:paraId="31817774" w14:textId="77777777" w:rsidR="00995AC9" w:rsidRPr="009B790C" w:rsidRDefault="00995AC9" w:rsidP="00882CBC">
      <w:pPr>
        <w:jc w:val="both"/>
        <w:rPr>
          <w:rFonts w:cs="Times New Roman"/>
          <w:lang w:val="lt-LT"/>
        </w:rPr>
      </w:pPr>
    </w:p>
    <w:p w14:paraId="0CAA8673" w14:textId="29A36106" w:rsidR="00995AC9" w:rsidRPr="009B790C" w:rsidRDefault="00995AC9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lastRenderedPageBreak/>
        <w:t xml:space="preserve">Investuotojai nerimauja dėl silpnų </w:t>
      </w:r>
      <w:r w:rsidR="0070551B" w:rsidRPr="009B790C">
        <w:rPr>
          <w:rFonts w:cs="Times New Roman"/>
          <w:lang w:val="lt-LT"/>
        </w:rPr>
        <w:t>eterio</w:t>
      </w:r>
      <w:r w:rsidRPr="009B790C">
        <w:rPr>
          <w:rFonts w:cs="Times New Roman"/>
          <w:lang w:val="lt-LT"/>
        </w:rPr>
        <w:t xml:space="preserve"> rezultatų (</w:t>
      </w:r>
      <w:r w:rsidR="008321A4" w:rsidRPr="009B790C">
        <w:rPr>
          <w:rFonts w:cs="Times New Roman"/>
          <w:lang w:val="lt-LT"/>
        </w:rPr>
        <w:t>omenyje turimas nuosaikus</w:t>
      </w:r>
      <w:r w:rsidRPr="009B790C">
        <w:rPr>
          <w:rFonts w:cs="Times New Roman"/>
          <w:lang w:val="lt-LT"/>
        </w:rPr>
        <w:t xml:space="preserve"> 2,8 </w:t>
      </w:r>
      <w:r w:rsidR="0070551B" w:rsidRPr="009B790C">
        <w:rPr>
          <w:rFonts w:cs="Times New Roman"/>
          <w:lang w:val="lt-LT"/>
        </w:rPr>
        <w:t>proc. vertės</w:t>
      </w:r>
      <w:r w:rsidRPr="009B790C">
        <w:rPr>
          <w:rFonts w:cs="Times New Roman"/>
          <w:lang w:val="lt-LT"/>
        </w:rPr>
        <w:t xml:space="preserve"> augim</w:t>
      </w:r>
      <w:r w:rsidR="008321A4" w:rsidRPr="009B790C">
        <w:rPr>
          <w:rFonts w:cs="Times New Roman"/>
          <w:lang w:val="lt-LT"/>
        </w:rPr>
        <w:t>as</w:t>
      </w:r>
      <w:r w:rsidRPr="009B790C">
        <w:rPr>
          <w:rFonts w:cs="Times New Roman"/>
          <w:lang w:val="lt-LT"/>
        </w:rPr>
        <w:t xml:space="preserve"> rugsė</w:t>
      </w:r>
      <w:r w:rsidR="00B4790B" w:rsidRPr="009B790C">
        <w:rPr>
          <w:rFonts w:cs="Times New Roman"/>
          <w:lang w:val="lt-LT"/>
        </w:rPr>
        <w:t>jį</w:t>
      </w:r>
      <w:r w:rsidRPr="009B790C">
        <w:rPr>
          <w:rFonts w:cs="Times New Roman"/>
          <w:lang w:val="lt-LT"/>
        </w:rPr>
        <w:t xml:space="preserve">). Rugsėjį </w:t>
      </w:r>
      <w:r w:rsidR="0070551B" w:rsidRPr="009B790C">
        <w:rPr>
          <w:rFonts w:cs="Times New Roman"/>
          <w:lang w:val="lt-LT"/>
        </w:rPr>
        <w:t>išleista didžiausia eterio emisija</w:t>
      </w:r>
      <w:r w:rsidRPr="009B790C">
        <w:rPr>
          <w:rFonts w:cs="Times New Roman"/>
          <w:lang w:val="lt-LT"/>
        </w:rPr>
        <w:t xml:space="preserve"> per dvejus metus: sumažėjus aktyvumui tinkle, sumažėjo ir „sudegintų“ ETH kiekis, o defliacijos principas </w:t>
      </w:r>
      <w:r w:rsidR="0070551B" w:rsidRPr="009B790C">
        <w:rPr>
          <w:rFonts w:cs="Times New Roman"/>
          <w:lang w:val="lt-LT"/>
        </w:rPr>
        <w:t>eterio</w:t>
      </w:r>
      <w:r w:rsidRPr="009B790C">
        <w:rPr>
          <w:rFonts w:cs="Times New Roman"/>
          <w:lang w:val="lt-LT"/>
        </w:rPr>
        <w:t xml:space="preserve"> tinkle nebeveikė, todėl kilo abejonių dėl ETH atsparumo infliacijai ir</w:t>
      </w:r>
      <w:r w:rsidR="0070551B" w:rsidRPr="009B790C">
        <w:rPr>
          <w:rFonts w:cs="Times New Roman"/>
          <w:lang w:val="lt-LT"/>
        </w:rPr>
        <w:t xml:space="preserve"> jo</w:t>
      </w:r>
      <w:r w:rsidRPr="009B790C">
        <w:rPr>
          <w:rFonts w:cs="Times New Roman"/>
          <w:lang w:val="lt-LT"/>
        </w:rPr>
        <w:t xml:space="preserve"> perkamosios galios.</w:t>
      </w:r>
    </w:p>
    <w:p w14:paraId="3C4F2DB8" w14:textId="77777777" w:rsidR="0070551B" w:rsidRPr="009B790C" w:rsidRDefault="0070551B" w:rsidP="00882CBC">
      <w:pPr>
        <w:jc w:val="both"/>
        <w:rPr>
          <w:rFonts w:cs="Times New Roman"/>
          <w:lang w:val="lt-LT"/>
        </w:rPr>
      </w:pPr>
    </w:p>
    <w:p w14:paraId="70AB0208" w14:textId="2D833202" w:rsidR="00DC1DF7" w:rsidRPr="009B790C" w:rsidRDefault="00B4790B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>Tam daugiausiai įtakos turėjo</w:t>
      </w:r>
      <w:r w:rsidR="00995AC9" w:rsidRPr="009B790C">
        <w:rPr>
          <w:rFonts w:cs="Times New Roman"/>
          <w:lang w:val="lt-LT"/>
        </w:rPr>
        <w:t xml:space="preserve"> neseniai atliktas </w:t>
      </w:r>
      <w:r w:rsidR="0070551B" w:rsidRPr="009B790C">
        <w:rPr>
          <w:rFonts w:cs="Times New Roman"/>
          <w:lang w:val="lt-LT"/>
        </w:rPr>
        <w:t>eterio</w:t>
      </w:r>
      <w:r w:rsidR="00995AC9" w:rsidRPr="009B790C">
        <w:rPr>
          <w:rFonts w:cs="Times New Roman"/>
          <w:lang w:val="lt-LT"/>
        </w:rPr>
        <w:t xml:space="preserve"> tinklo atnaujinimas (</w:t>
      </w:r>
      <w:r w:rsidRPr="009B790C">
        <w:rPr>
          <w:rFonts w:cs="Times New Roman"/>
          <w:lang w:val="lt-LT"/>
        </w:rPr>
        <w:t>„</w:t>
      </w:r>
      <w:r w:rsidR="00995AC9" w:rsidRPr="009B790C">
        <w:rPr>
          <w:rFonts w:cs="Times New Roman"/>
          <w:lang w:val="lt-LT"/>
        </w:rPr>
        <w:t>Dencun</w:t>
      </w:r>
      <w:r w:rsidRPr="009B790C">
        <w:rPr>
          <w:rFonts w:cs="Times New Roman"/>
          <w:lang w:val="lt-LT"/>
        </w:rPr>
        <w:t>“</w:t>
      </w:r>
      <w:r w:rsidR="00995AC9" w:rsidRPr="009B790C">
        <w:rPr>
          <w:rFonts w:cs="Times New Roman"/>
          <w:lang w:val="lt-LT"/>
        </w:rPr>
        <w:t xml:space="preserve">), kuris prisidėjo prie sandorių sąnaudų mažinimo </w:t>
      </w:r>
      <w:r w:rsidR="0070551B" w:rsidRPr="009B790C">
        <w:rPr>
          <w:rFonts w:cs="Times New Roman"/>
          <w:lang w:val="lt-LT"/>
        </w:rPr>
        <w:t>antrojo</w:t>
      </w:r>
      <w:r w:rsidR="00995AC9" w:rsidRPr="009B790C">
        <w:rPr>
          <w:rFonts w:cs="Times New Roman"/>
          <w:lang w:val="lt-LT"/>
        </w:rPr>
        <w:t xml:space="preserve"> sluoksnio (L2) tinkluose. Taigi </w:t>
      </w:r>
      <w:r w:rsidR="0070551B" w:rsidRPr="009B790C">
        <w:rPr>
          <w:rFonts w:cs="Times New Roman"/>
          <w:lang w:val="lt-LT"/>
        </w:rPr>
        <w:t>antrojo</w:t>
      </w:r>
      <w:r w:rsidR="00995AC9" w:rsidRPr="009B790C">
        <w:rPr>
          <w:rFonts w:cs="Times New Roman"/>
          <w:lang w:val="lt-LT"/>
        </w:rPr>
        <w:t xml:space="preserve"> sluoksnio tinklai visus metus negailestingai kanibalizavo</w:t>
      </w:r>
      <w:r w:rsidR="0070551B" w:rsidRPr="009B790C">
        <w:rPr>
          <w:rFonts w:cs="Times New Roman"/>
          <w:lang w:val="lt-LT"/>
        </w:rPr>
        <w:t xml:space="preserve"> </w:t>
      </w:r>
      <w:r w:rsidR="008321A4" w:rsidRPr="009B790C">
        <w:rPr>
          <w:rFonts w:cs="Times New Roman"/>
          <w:lang w:val="lt-LT"/>
        </w:rPr>
        <w:t xml:space="preserve">pagrindinį </w:t>
      </w:r>
      <w:r w:rsidR="0070551B" w:rsidRPr="009B790C">
        <w:rPr>
          <w:rFonts w:cs="Times New Roman"/>
          <w:lang w:val="lt-LT"/>
        </w:rPr>
        <w:t>eterio</w:t>
      </w:r>
      <w:r w:rsidR="00995AC9" w:rsidRPr="009B790C">
        <w:rPr>
          <w:rFonts w:cs="Times New Roman"/>
          <w:lang w:val="lt-LT"/>
        </w:rPr>
        <w:t xml:space="preserve"> tinklą </w:t>
      </w:r>
      <w:r w:rsidR="00791F8E" w:rsidRPr="009B790C">
        <w:rPr>
          <w:rFonts w:cs="Times New Roman"/>
          <w:lang w:val="lt-LT"/>
        </w:rPr>
        <w:t>–</w:t>
      </w:r>
      <w:r w:rsidR="00995AC9" w:rsidRPr="009B790C">
        <w:rPr>
          <w:rFonts w:cs="Times New Roman"/>
          <w:lang w:val="lt-LT"/>
        </w:rPr>
        <w:t xml:space="preserve"> sandorių sąnaudos bendrame tinkle mažėjo, todėl mažėjo ir </w:t>
      </w:r>
      <w:r w:rsidRPr="009B790C">
        <w:rPr>
          <w:rFonts w:cs="Times New Roman"/>
          <w:lang w:val="lt-LT"/>
        </w:rPr>
        <w:t>„</w:t>
      </w:r>
      <w:r w:rsidR="00995AC9" w:rsidRPr="009B790C">
        <w:rPr>
          <w:rFonts w:cs="Times New Roman"/>
          <w:lang w:val="lt-LT"/>
        </w:rPr>
        <w:t>sudeginto</w:t>
      </w:r>
      <w:r w:rsidRPr="009B790C">
        <w:rPr>
          <w:rFonts w:cs="Times New Roman"/>
          <w:lang w:val="lt-LT"/>
        </w:rPr>
        <w:t>“</w:t>
      </w:r>
      <w:r w:rsidR="00995AC9" w:rsidRPr="009B790C">
        <w:rPr>
          <w:rFonts w:cs="Times New Roman"/>
          <w:lang w:val="lt-LT"/>
        </w:rPr>
        <w:t xml:space="preserve"> </w:t>
      </w:r>
      <w:r w:rsidR="0070551B" w:rsidRPr="009B790C">
        <w:rPr>
          <w:rFonts w:cs="Times New Roman"/>
          <w:lang w:val="lt-LT"/>
        </w:rPr>
        <w:t>eterio</w:t>
      </w:r>
      <w:r w:rsidR="00995AC9" w:rsidRPr="009B790C">
        <w:rPr>
          <w:rFonts w:cs="Times New Roman"/>
          <w:lang w:val="lt-LT"/>
        </w:rPr>
        <w:t xml:space="preserve"> kiekis. </w:t>
      </w:r>
      <w:r w:rsidR="008321A4" w:rsidRPr="009B790C">
        <w:rPr>
          <w:rFonts w:cs="Times New Roman"/>
          <w:lang w:val="lt-LT"/>
        </w:rPr>
        <w:t xml:space="preserve">ETH </w:t>
      </w:r>
      <w:r w:rsidR="00995AC9" w:rsidRPr="009B790C">
        <w:rPr>
          <w:rFonts w:cs="Times New Roman"/>
          <w:lang w:val="lt-LT"/>
        </w:rPr>
        <w:t>kūrėjai tur</w:t>
      </w:r>
      <w:r w:rsidR="008321A4" w:rsidRPr="009B790C">
        <w:rPr>
          <w:rFonts w:cs="Times New Roman"/>
          <w:lang w:val="lt-LT"/>
        </w:rPr>
        <w:t>ės pasukti</w:t>
      </w:r>
      <w:r w:rsidR="00995AC9" w:rsidRPr="009B790C">
        <w:rPr>
          <w:rFonts w:cs="Times New Roman"/>
          <w:lang w:val="lt-LT"/>
        </w:rPr>
        <w:t xml:space="preserve"> galv</w:t>
      </w:r>
      <w:r w:rsidR="008321A4" w:rsidRPr="009B790C">
        <w:rPr>
          <w:rFonts w:cs="Times New Roman"/>
          <w:lang w:val="lt-LT"/>
        </w:rPr>
        <w:t>ą,</w:t>
      </w:r>
      <w:r w:rsidR="00995AC9" w:rsidRPr="009B790C">
        <w:rPr>
          <w:rFonts w:cs="Times New Roman"/>
          <w:lang w:val="lt-LT"/>
        </w:rPr>
        <w:t xml:space="preserve"> kaip gerokai padidinti </w:t>
      </w:r>
      <w:r w:rsidR="0070551B" w:rsidRPr="009B790C">
        <w:rPr>
          <w:rFonts w:cs="Times New Roman"/>
          <w:lang w:val="lt-LT"/>
        </w:rPr>
        <w:t xml:space="preserve">tinklo </w:t>
      </w:r>
      <w:r w:rsidR="00995AC9" w:rsidRPr="009B790C">
        <w:rPr>
          <w:rFonts w:cs="Times New Roman"/>
          <w:lang w:val="lt-LT"/>
        </w:rPr>
        <w:t>aktyvumą</w:t>
      </w:r>
      <w:r w:rsidR="008321A4" w:rsidRPr="009B790C">
        <w:rPr>
          <w:rFonts w:cs="Times New Roman"/>
          <w:lang w:val="lt-LT"/>
        </w:rPr>
        <w:t>, kad kriptovaliuta atgautų ankstesnį defliacinį statusą</w:t>
      </w:r>
      <w:r w:rsidR="001D3B9F" w:rsidRPr="009B790C">
        <w:rPr>
          <w:rFonts w:cs="Times New Roman"/>
          <w:lang w:val="lt-LT"/>
        </w:rPr>
        <w:t>.</w:t>
      </w:r>
    </w:p>
    <w:p w14:paraId="5CBA34F3" w14:textId="77777777" w:rsidR="00DC1DF7" w:rsidRPr="009B790C" w:rsidRDefault="00DC1DF7" w:rsidP="00882CBC">
      <w:pPr>
        <w:jc w:val="both"/>
        <w:rPr>
          <w:rFonts w:cs="Times New Roman"/>
          <w:lang w:val="lt-LT"/>
        </w:rPr>
      </w:pPr>
    </w:p>
    <w:p w14:paraId="6A7A8796" w14:textId="77777777" w:rsidR="00613329" w:rsidRPr="009B790C" w:rsidRDefault="00613329" w:rsidP="00882CBC">
      <w:pPr>
        <w:jc w:val="both"/>
        <w:rPr>
          <w:rFonts w:cs="Times New Roman"/>
          <w:b/>
          <w:bCs/>
          <w:lang w:val="lt-LT"/>
        </w:rPr>
      </w:pPr>
      <w:r w:rsidRPr="009B790C">
        <w:rPr>
          <w:rFonts w:cs="Times New Roman"/>
          <w:b/>
          <w:bCs/>
          <w:lang w:val="lt-LT"/>
        </w:rPr>
        <w:t>Kibernetinių atakų žala mažėja</w:t>
      </w:r>
    </w:p>
    <w:p w14:paraId="62F1F515" w14:textId="77777777" w:rsidR="00613329" w:rsidRPr="009B790C" w:rsidRDefault="00613329" w:rsidP="00882CBC">
      <w:pPr>
        <w:jc w:val="both"/>
        <w:rPr>
          <w:rFonts w:cs="Times New Roman"/>
          <w:lang w:val="lt-LT"/>
        </w:rPr>
      </w:pPr>
    </w:p>
    <w:p w14:paraId="79B081CC" w14:textId="5818509D" w:rsidR="00613329" w:rsidRPr="009B790C" w:rsidRDefault="00613329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 xml:space="preserve">Kibernetinės atakos prieš kriptovaliutų naudotojus </w:t>
      </w:r>
      <w:r w:rsidR="001D3B9F" w:rsidRPr="009B790C">
        <w:rPr>
          <w:rFonts w:cs="Times New Roman"/>
          <w:lang w:val="lt-LT"/>
        </w:rPr>
        <w:t xml:space="preserve"> pastaruoju metu </w:t>
      </w:r>
      <w:r w:rsidRPr="009B790C">
        <w:rPr>
          <w:rFonts w:cs="Times New Roman"/>
          <w:lang w:val="lt-LT"/>
        </w:rPr>
        <w:t xml:space="preserve">sulaukia didelio visuomenės ir žiniasklaidos dėmesio. 2024 m. kriptovaliutų sektorius dėl kibernetinių incidentų patyrė daugiau kaip 1,3 mlrd. </w:t>
      </w:r>
      <w:r w:rsidR="00995AC9" w:rsidRPr="009B790C">
        <w:rPr>
          <w:rFonts w:cs="Times New Roman"/>
          <w:lang w:val="lt-LT"/>
        </w:rPr>
        <w:t>JAV dolerių nuostolių</w:t>
      </w:r>
      <w:r w:rsidR="001D3B9F" w:rsidRPr="009B790C">
        <w:rPr>
          <w:rFonts w:cs="Times New Roman"/>
          <w:lang w:val="lt-LT"/>
        </w:rPr>
        <w:t xml:space="preserve"> – vis dėlto mažiau nei kelerius pastaruosius metus.</w:t>
      </w:r>
    </w:p>
    <w:p w14:paraId="54D56DAC" w14:textId="77777777" w:rsidR="00995AC9" w:rsidRPr="009B790C" w:rsidRDefault="00995AC9" w:rsidP="00882CBC">
      <w:pPr>
        <w:jc w:val="both"/>
        <w:rPr>
          <w:rFonts w:cs="Times New Roman"/>
          <w:lang w:val="lt-LT"/>
        </w:rPr>
      </w:pPr>
    </w:p>
    <w:p w14:paraId="127F822D" w14:textId="4A7B15FB" w:rsidR="00995AC9" w:rsidRPr="009B790C" w:rsidRDefault="00613329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 xml:space="preserve">Šiais metais </w:t>
      </w:r>
      <w:r w:rsidR="00995AC9" w:rsidRPr="009B790C">
        <w:rPr>
          <w:rFonts w:cs="Times New Roman"/>
          <w:lang w:val="lt-LT"/>
        </w:rPr>
        <w:t>reikšmingiausios</w:t>
      </w:r>
      <w:r w:rsidRPr="009B790C">
        <w:rPr>
          <w:rFonts w:cs="Times New Roman"/>
          <w:lang w:val="lt-LT"/>
        </w:rPr>
        <w:t xml:space="preserve"> kibernetinės atakos buvo nukreiptos prieš centralizuotas kriptovaliutų biržas</w:t>
      </w:r>
      <w:r w:rsidR="00995AC9" w:rsidRPr="009B790C">
        <w:rPr>
          <w:rFonts w:cs="Times New Roman"/>
          <w:lang w:val="lt-LT"/>
        </w:rPr>
        <w:t xml:space="preserve">. </w:t>
      </w:r>
      <w:r w:rsidR="001D3B9F" w:rsidRPr="009B790C">
        <w:rPr>
          <w:rFonts w:cs="Times New Roman"/>
          <w:lang w:val="lt-LT"/>
        </w:rPr>
        <w:t>D</w:t>
      </w:r>
      <w:r w:rsidR="00995AC9" w:rsidRPr="009B790C">
        <w:rPr>
          <w:rFonts w:cs="Times New Roman"/>
          <w:lang w:val="lt-LT"/>
        </w:rPr>
        <w:t xml:space="preserve">idžiausi nuostoliai fiksuoti gegužės mėnesį, kai Japonijos prekybos platforma </w:t>
      </w:r>
      <w:r w:rsidR="00B4790B" w:rsidRPr="009B790C">
        <w:rPr>
          <w:rFonts w:cs="Times New Roman"/>
          <w:lang w:val="lt-LT"/>
        </w:rPr>
        <w:t>„</w:t>
      </w:r>
      <w:r w:rsidR="00995AC9" w:rsidRPr="009B790C">
        <w:rPr>
          <w:rFonts w:cs="Times New Roman"/>
          <w:lang w:val="lt-LT"/>
        </w:rPr>
        <w:t>DMM Bitcoin</w:t>
      </w:r>
      <w:r w:rsidR="00B4790B" w:rsidRPr="009B790C">
        <w:rPr>
          <w:rFonts w:cs="Times New Roman"/>
          <w:lang w:val="lt-LT"/>
        </w:rPr>
        <w:t>“</w:t>
      </w:r>
      <w:r w:rsidR="00995AC9" w:rsidRPr="009B790C">
        <w:rPr>
          <w:rFonts w:cs="Times New Roman"/>
          <w:lang w:val="lt-LT"/>
        </w:rPr>
        <w:t xml:space="preserve"> dėl kibernetinės atakos patyrė 305 mln. </w:t>
      </w:r>
      <w:r w:rsidR="00B4790B" w:rsidRPr="009B790C">
        <w:rPr>
          <w:rFonts w:cs="Times New Roman"/>
          <w:lang w:val="lt-LT"/>
        </w:rPr>
        <w:t xml:space="preserve">JAV </w:t>
      </w:r>
      <w:r w:rsidR="00995AC9" w:rsidRPr="009B790C">
        <w:rPr>
          <w:rFonts w:cs="Times New Roman"/>
          <w:lang w:val="lt-LT"/>
        </w:rPr>
        <w:t xml:space="preserve">dolerių nuostolių (prarasta apie 4 500 BTC). Liepos mėnesį Indijos birža „WazirX“ patyrė 235 mln. </w:t>
      </w:r>
      <w:r w:rsidR="00B4790B" w:rsidRPr="009B790C">
        <w:rPr>
          <w:rFonts w:cs="Times New Roman"/>
          <w:lang w:val="lt-LT"/>
        </w:rPr>
        <w:t xml:space="preserve">JAV </w:t>
      </w:r>
      <w:r w:rsidR="00995AC9" w:rsidRPr="009B790C">
        <w:rPr>
          <w:rFonts w:cs="Times New Roman"/>
          <w:lang w:val="lt-LT"/>
        </w:rPr>
        <w:t>dolerių nuostolių.</w:t>
      </w:r>
    </w:p>
    <w:p w14:paraId="79B23F7D" w14:textId="77777777" w:rsidR="00995AC9" w:rsidRPr="009B790C" w:rsidRDefault="00995AC9" w:rsidP="00882CBC">
      <w:pPr>
        <w:jc w:val="both"/>
        <w:rPr>
          <w:rFonts w:cs="Times New Roman"/>
          <w:lang w:val="lt-LT"/>
        </w:rPr>
      </w:pPr>
    </w:p>
    <w:p w14:paraId="55383D34" w14:textId="37B8BCED" w:rsidR="00613329" w:rsidRPr="009B790C" w:rsidRDefault="00613329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>Nors šie įvykiai visada sulaukia didelio atgarsio visuomenėje, pastarųjų kelerių metų duomenys rodo nuostolių mažėjimo tendenciją:</w:t>
      </w:r>
      <w:r w:rsidR="00995AC9" w:rsidRPr="009B790C">
        <w:rPr>
          <w:rFonts w:cs="Times New Roman"/>
          <w:lang w:val="lt-LT"/>
        </w:rPr>
        <w:t xml:space="preserve"> </w:t>
      </w:r>
      <w:r w:rsidRPr="009B790C">
        <w:rPr>
          <w:rFonts w:cs="Times New Roman"/>
          <w:lang w:val="lt-LT"/>
        </w:rPr>
        <w:t>2021 m.</w:t>
      </w:r>
      <w:r w:rsidR="00995AC9" w:rsidRPr="009B790C">
        <w:rPr>
          <w:rFonts w:cs="Times New Roman"/>
          <w:lang w:val="lt-LT"/>
        </w:rPr>
        <w:t xml:space="preserve"> </w:t>
      </w:r>
      <w:r w:rsidR="00B4790B" w:rsidRPr="009B790C">
        <w:rPr>
          <w:rFonts w:cs="Times New Roman"/>
          <w:lang w:val="lt-LT"/>
        </w:rPr>
        <w:t>prarasta</w:t>
      </w:r>
      <w:r w:rsidR="00995AC9" w:rsidRPr="009B790C">
        <w:rPr>
          <w:rFonts w:cs="Times New Roman"/>
          <w:lang w:val="lt-LT"/>
        </w:rPr>
        <w:t xml:space="preserve"> 8,1 mlrd. JAV dolerių</w:t>
      </w:r>
      <w:r w:rsidR="00B4790B" w:rsidRPr="009B790C">
        <w:rPr>
          <w:rFonts w:cs="Times New Roman"/>
          <w:lang w:val="lt-LT"/>
        </w:rPr>
        <w:t xml:space="preserve">, </w:t>
      </w:r>
      <w:r w:rsidR="00995AC9" w:rsidRPr="009B790C">
        <w:rPr>
          <w:rFonts w:cs="Times New Roman"/>
          <w:lang w:val="lt-LT"/>
        </w:rPr>
        <w:t>2022 m.</w:t>
      </w:r>
      <w:r w:rsidR="00B4790B" w:rsidRPr="009B790C">
        <w:rPr>
          <w:rFonts w:cs="Times New Roman"/>
          <w:lang w:val="lt-LT"/>
        </w:rPr>
        <w:t xml:space="preserve"> </w:t>
      </w:r>
      <w:r w:rsidR="00791F8E" w:rsidRPr="009B790C">
        <w:rPr>
          <w:rFonts w:cs="Times New Roman"/>
          <w:lang w:val="lt-LT"/>
        </w:rPr>
        <w:t>–</w:t>
      </w:r>
      <w:r w:rsidR="00B4790B" w:rsidRPr="009B790C">
        <w:rPr>
          <w:rFonts w:cs="Times New Roman"/>
          <w:lang w:val="lt-LT"/>
        </w:rPr>
        <w:t xml:space="preserve"> </w:t>
      </w:r>
      <w:r w:rsidRPr="009B790C">
        <w:rPr>
          <w:rFonts w:cs="Times New Roman"/>
          <w:lang w:val="lt-LT"/>
        </w:rPr>
        <w:t>3,9 mlrd.</w:t>
      </w:r>
      <w:r w:rsidR="00995AC9" w:rsidRPr="009B790C">
        <w:rPr>
          <w:rFonts w:cs="Times New Roman"/>
          <w:lang w:val="lt-LT"/>
        </w:rPr>
        <w:t xml:space="preserve"> JAV dolerių,</w:t>
      </w:r>
      <w:r w:rsidRPr="009B790C">
        <w:rPr>
          <w:rFonts w:cs="Times New Roman"/>
          <w:lang w:val="lt-LT"/>
        </w:rPr>
        <w:t xml:space="preserve"> 2023 m. </w:t>
      </w:r>
      <w:r w:rsidR="00791F8E" w:rsidRPr="009B790C">
        <w:rPr>
          <w:rFonts w:cs="Times New Roman"/>
          <w:lang w:val="lt-LT"/>
        </w:rPr>
        <w:t>–</w:t>
      </w:r>
      <w:r w:rsidRPr="009B790C">
        <w:rPr>
          <w:rFonts w:cs="Times New Roman"/>
          <w:lang w:val="lt-LT"/>
        </w:rPr>
        <w:t xml:space="preserve"> 1,8 mlrd.</w:t>
      </w:r>
      <w:r w:rsidR="00995AC9" w:rsidRPr="009B790C">
        <w:rPr>
          <w:rFonts w:cs="Times New Roman"/>
          <w:lang w:val="lt-LT"/>
        </w:rPr>
        <w:t xml:space="preserve"> JAV dolerių, </w:t>
      </w:r>
      <w:r w:rsidRPr="009B790C">
        <w:rPr>
          <w:rFonts w:cs="Times New Roman"/>
          <w:lang w:val="lt-LT"/>
        </w:rPr>
        <w:t xml:space="preserve">2024 m. </w:t>
      </w:r>
      <w:r w:rsidR="00791F8E" w:rsidRPr="009B790C">
        <w:rPr>
          <w:rFonts w:cs="Times New Roman"/>
          <w:lang w:val="lt-LT"/>
        </w:rPr>
        <w:t>–</w:t>
      </w:r>
      <w:r w:rsidRPr="009B790C">
        <w:rPr>
          <w:rFonts w:cs="Times New Roman"/>
          <w:lang w:val="lt-LT"/>
        </w:rPr>
        <w:t xml:space="preserve"> 1,3 mlrd. JAV dolerių (iki spalio mėn.)</w:t>
      </w:r>
    </w:p>
    <w:p w14:paraId="6C1F1326" w14:textId="77777777" w:rsidR="00995AC9" w:rsidRPr="009B790C" w:rsidRDefault="00995AC9" w:rsidP="00882CBC">
      <w:pPr>
        <w:jc w:val="both"/>
        <w:rPr>
          <w:rFonts w:cs="Times New Roman"/>
          <w:lang w:val="lt-LT"/>
        </w:rPr>
      </w:pPr>
    </w:p>
    <w:p w14:paraId="481B18CF" w14:textId="7F638114" w:rsidR="00DC1DF7" w:rsidRPr="009B790C" w:rsidRDefault="00613329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 xml:space="preserve">Per kibernetines atakas prarastų </w:t>
      </w:r>
      <w:r w:rsidR="00995AC9" w:rsidRPr="009B790C">
        <w:rPr>
          <w:rFonts w:cs="Times New Roman"/>
          <w:lang w:val="lt-LT"/>
        </w:rPr>
        <w:t>sumų</w:t>
      </w:r>
      <w:r w:rsidRPr="009B790C">
        <w:rPr>
          <w:rFonts w:cs="Times New Roman"/>
          <w:lang w:val="lt-LT"/>
        </w:rPr>
        <w:t xml:space="preserve"> mažėjimą daugiausia lėmė nuolatinis biržų saugumo sistemų tobulinimas ir atsarginių saugumo fondų kūrimas</w:t>
      </w:r>
      <w:r w:rsidR="00B4790B" w:rsidRPr="009B790C">
        <w:rPr>
          <w:rFonts w:cs="Times New Roman"/>
          <w:lang w:val="lt-LT"/>
        </w:rPr>
        <w:t xml:space="preserve">, </w:t>
      </w:r>
      <w:r w:rsidRPr="009B790C">
        <w:rPr>
          <w:rFonts w:cs="Times New Roman"/>
          <w:lang w:val="lt-LT"/>
        </w:rPr>
        <w:t>pavyzdžiui, „Binance</w:t>
      </w:r>
      <w:r w:rsidR="001D3B9F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 xml:space="preserve"> SAFU</w:t>
      </w:r>
      <w:r w:rsidR="001D3B9F" w:rsidRPr="009B790C">
        <w:rPr>
          <w:rFonts w:cs="Times New Roman"/>
          <w:lang w:val="lt-LT"/>
        </w:rPr>
        <w:t xml:space="preserve"> (</w:t>
      </w:r>
      <w:proofErr w:type="spellStart"/>
      <w:r w:rsidR="001D3B9F" w:rsidRPr="009B790C">
        <w:rPr>
          <w:rFonts w:cs="Times New Roman"/>
          <w:lang w:val="lt-LT"/>
        </w:rPr>
        <w:t>Secure</w:t>
      </w:r>
      <w:proofErr w:type="spellEnd"/>
      <w:r w:rsidR="001D3B9F" w:rsidRPr="009B790C">
        <w:rPr>
          <w:rFonts w:cs="Times New Roman"/>
          <w:lang w:val="lt-LT"/>
        </w:rPr>
        <w:t xml:space="preserve"> Asset </w:t>
      </w:r>
      <w:proofErr w:type="spellStart"/>
      <w:r w:rsidR="001D3B9F" w:rsidRPr="009B790C">
        <w:rPr>
          <w:rFonts w:cs="Times New Roman"/>
          <w:lang w:val="lt-LT"/>
        </w:rPr>
        <w:t>Fund</w:t>
      </w:r>
      <w:proofErr w:type="spellEnd"/>
      <w:r w:rsidR="001D3B9F" w:rsidRPr="009B790C">
        <w:rPr>
          <w:rFonts w:cs="Times New Roman"/>
          <w:lang w:val="lt-LT"/>
        </w:rPr>
        <w:t xml:space="preserve"> for </w:t>
      </w:r>
      <w:proofErr w:type="spellStart"/>
      <w:r w:rsidR="001D3B9F" w:rsidRPr="009B790C">
        <w:rPr>
          <w:rFonts w:cs="Times New Roman"/>
          <w:lang w:val="lt-LT"/>
        </w:rPr>
        <w:t>Users</w:t>
      </w:r>
      <w:proofErr w:type="spellEnd"/>
      <w:r w:rsidR="001D3B9F" w:rsidRPr="009B790C">
        <w:rPr>
          <w:rFonts w:cs="Times New Roman"/>
          <w:lang w:val="lt-LT"/>
        </w:rPr>
        <w:t>)</w:t>
      </w:r>
      <w:r w:rsidRPr="009B790C">
        <w:rPr>
          <w:rFonts w:cs="Times New Roman"/>
          <w:lang w:val="lt-LT"/>
        </w:rPr>
        <w:t xml:space="preserve"> fondas </w:t>
      </w:r>
      <w:r w:rsidR="00791F8E" w:rsidRPr="009B790C">
        <w:rPr>
          <w:rFonts w:cs="Times New Roman"/>
          <w:lang w:val="lt-LT"/>
        </w:rPr>
        <w:t>–</w:t>
      </w:r>
      <w:r w:rsidRPr="009B790C">
        <w:rPr>
          <w:rFonts w:cs="Times New Roman"/>
          <w:lang w:val="lt-LT"/>
        </w:rPr>
        <w:t xml:space="preserve"> saugaus turto fondas naudotojams.</w:t>
      </w:r>
    </w:p>
    <w:p w14:paraId="20000B6B" w14:textId="77777777" w:rsidR="00613329" w:rsidRPr="009B790C" w:rsidRDefault="00613329" w:rsidP="00882CBC">
      <w:pPr>
        <w:jc w:val="both"/>
        <w:rPr>
          <w:rFonts w:cs="Times New Roman"/>
          <w:lang w:val="lt-LT"/>
        </w:rPr>
      </w:pPr>
    </w:p>
    <w:p w14:paraId="29C97005" w14:textId="6D28DF4C" w:rsidR="00613329" w:rsidRPr="009B790C" w:rsidRDefault="00613329" w:rsidP="00882CBC">
      <w:pPr>
        <w:jc w:val="both"/>
        <w:rPr>
          <w:rFonts w:cs="Times New Roman"/>
          <w:b/>
          <w:bCs/>
          <w:lang w:val="lt-LT"/>
        </w:rPr>
      </w:pPr>
      <w:r w:rsidRPr="009B790C">
        <w:rPr>
          <w:rFonts w:cs="Times New Roman"/>
          <w:b/>
          <w:bCs/>
          <w:lang w:val="lt-LT"/>
        </w:rPr>
        <w:t xml:space="preserve">Fizinio turto </w:t>
      </w:r>
      <w:proofErr w:type="spellStart"/>
      <w:r w:rsidRPr="009B790C">
        <w:rPr>
          <w:rFonts w:cs="Times New Roman"/>
          <w:b/>
          <w:bCs/>
          <w:lang w:val="lt-LT"/>
        </w:rPr>
        <w:t>tokenizavimo</w:t>
      </w:r>
      <w:proofErr w:type="spellEnd"/>
      <w:r w:rsidRPr="009B790C">
        <w:rPr>
          <w:rFonts w:cs="Times New Roman"/>
          <w:b/>
          <w:bCs/>
          <w:lang w:val="lt-LT"/>
        </w:rPr>
        <w:t xml:space="preserve"> bumas</w:t>
      </w:r>
    </w:p>
    <w:p w14:paraId="2C44EF69" w14:textId="77777777" w:rsidR="00613329" w:rsidRPr="009B790C" w:rsidRDefault="00613329" w:rsidP="00882CBC">
      <w:pPr>
        <w:jc w:val="both"/>
        <w:rPr>
          <w:rFonts w:cs="Times New Roman"/>
          <w:lang w:val="lt-LT"/>
        </w:rPr>
      </w:pPr>
    </w:p>
    <w:p w14:paraId="0326989B" w14:textId="3E737E31" w:rsidR="00613329" w:rsidRPr="009B790C" w:rsidRDefault="00613329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 xml:space="preserve">Fizinio turto (angl. </w:t>
      </w:r>
      <w:r w:rsidR="001D3B9F" w:rsidRPr="009B790C">
        <w:rPr>
          <w:rFonts w:cs="Times New Roman"/>
          <w:lang w:val="lt-LT"/>
        </w:rPr>
        <w:t>r</w:t>
      </w:r>
      <w:r w:rsidRPr="009B790C">
        <w:rPr>
          <w:rFonts w:cs="Times New Roman"/>
          <w:lang w:val="lt-LT"/>
        </w:rPr>
        <w:t xml:space="preserve">eal </w:t>
      </w:r>
      <w:r w:rsidR="001D3B9F" w:rsidRPr="009B790C">
        <w:rPr>
          <w:rFonts w:cs="Times New Roman"/>
          <w:lang w:val="lt-LT"/>
        </w:rPr>
        <w:t>w</w:t>
      </w:r>
      <w:r w:rsidRPr="009B790C">
        <w:rPr>
          <w:rFonts w:cs="Times New Roman"/>
          <w:lang w:val="lt-LT"/>
        </w:rPr>
        <w:t xml:space="preserve">orld </w:t>
      </w:r>
      <w:r w:rsidR="001D3B9F" w:rsidRPr="009B790C">
        <w:rPr>
          <w:rFonts w:cs="Times New Roman"/>
          <w:lang w:val="lt-LT"/>
        </w:rPr>
        <w:t>a</w:t>
      </w:r>
      <w:r w:rsidRPr="009B790C">
        <w:rPr>
          <w:rFonts w:cs="Times New Roman"/>
          <w:lang w:val="lt-LT"/>
        </w:rPr>
        <w:t xml:space="preserve">ssets), pavyzdžiui, nekilnojamojo turto, valiutų, obligacijų, žaliavų, </w:t>
      </w:r>
      <w:proofErr w:type="spellStart"/>
      <w:r w:rsidRPr="009B790C">
        <w:rPr>
          <w:rFonts w:cs="Times New Roman"/>
          <w:lang w:val="lt-LT"/>
        </w:rPr>
        <w:t>tokenizavimas</w:t>
      </w:r>
      <w:proofErr w:type="spellEnd"/>
      <w:r w:rsidRPr="009B790C">
        <w:rPr>
          <w:rFonts w:cs="Times New Roman"/>
          <w:lang w:val="lt-LT"/>
        </w:rPr>
        <w:t xml:space="preserve"> šiuo metu yra pasiekęs aukščiausią visų laikų lygį. </w:t>
      </w:r>
    </w:p>
    <w:p w14:paraId="29677EAA" w14:textId="77777777" w:rsidR="00613329" w:rsidRPr="009B790C" w:rsidRDefault="00613329" w:rsidP="00882CBC">
      <w:pPr>
        <w:jc w:val="both"/>
        <w:rPr>
          <w:rFonts w:cs="Times New Roman"/>
          <w:lang w:val="lt-LT"/>
        </w:rPr>
      </w:pPr>
    </w:p>
    <w:p w14:paraId="2FDB2B63" w14:textId="6EB839F6" w:rsidR="00613329" w:rsidRPr="009B790C" w:rsidRDefault="00613329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 xml:space="preserve">Šio sektoriaus apyvarta jau pasiekė daugiau kaip 12 mlrd. JAV dolerių. Didžiausias fizinio turto </w:t>
      </w:r>
      <w:proofErr w:type="spellStart"/>
      <w:r w:rsidR="00B07A14" w:rsidRPr="009B790C">
        <w:rPr>
          <w:rFonts w:cs="Times New Roman"/>
          <w:lang w:val="lt-LT"/>
        </w:rPr>
        <w:t>tokenizavimo</w:t>
      </w:r>
      <w:proofErr w:type="spellEnd"/>
      <w:r w:rsidRPr="009B790C">
        <w:rPr>
          <w:rFonts w:cs="Times New Roman"/>
          <w:lang w:val="lt-LT"/>
        </w:rPr>
        <w:t xml:space="preserve"> sektorius yra skolinimo pramonė, kuriai tenka apie 70 proc. viso fizinio turto </w:t>
      </w:r>
      <w:proofErr w:type="spellStart"/>
      <w:r w:rsidRPr="009B790C">
        <w:rPr>
          <w:rFonts w:cs="Times New Roman"/>
          <w:lang w:val="lt-LT"/>
        </w:rPr>
        <w:t>tokenizavimo</w:t>
      </w:r>
      <w:proofErr w:type="spellEnd"/>
      <w:r w:rsidRPr="009B790C">
        <w:rPr>
          <w:rFonts w:cs="Times New Roman"/>
          <w:lang w:val="lt-LT"/>
        </w:rPr>
        <w:t xml:space="preserve"> </w:t>
      </w:r>
      <w:r w:rsidR="00B4790B" w:rsidRPr="009B790C">
        <w:rPr>
          <w:rFonts w:cs="Times New Roman"/>
          <w:lang w:val="lt-LT"/>
        </w:rPr>
        <w:t>sektoriaus</w:t>
      </w:r>
      <w:r w:rsidRPr="009B790C">
        <w:rPr>
          <w:rFonts w:cs="Times New Roman"/>
          <w:lang w:val="lt-LT"/>
        </w:rPr>
        <w:t xml:space="preserve">. Didžiausią dalį (8,5 mlrd. JAV dolerių) sudaro </w:t>
      </w:r>
      <w:r w:rsidR="00B4790B" w:rsidRPr="009B790C">
        <w:rPr>
          <w:rFonts w:cs="Times New Roman"/>
          <w:lang w:val="lt-LT"/>
        </w:rPr>
        <w:t xml:space="preserve">vos </w:t>
      </w:r>
      <w:r w:rsidRPr="009B790C">
        <w:rPr>
          <w:rFonts w:cs="Times New Roman"/>
          <w:lang w:val="lt-LT"/>
        </w:rPr>
        <w:t xml:space="preserve">vienos </w:t>
      </w:r>
      <w:r w:rsidR="00B4790B" w:rsidRPr="009B790C">
        <w:rPr>
          <w:rFonts w:cs="Times New Roman"/>
          <w:lang w:val="lt-LT"/>
        </w:rPr>
        <w:t>„</w:t>
      </w:r>
      <w:r w:rsidRPr="009B790C">
        <w:rPr>
          <w:rFonts w:cs="Times New Roman"/>
          <w:lang w:val="lt-LT"/>
        </w:rPr>
        <w:t>fintech</w:t>
      </w:r>
      <w:r w:rsidR="00B4790B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 xml:space="preserve"> bendrovės „</w:t>
      </w:r>
      <w:proofErr w:type="spellStart"/>
      <w:r w:rsidRPr="009B790C">
        <w:rPr>
          <w:rFonts w:cs="Times New Roman"/>
          <w:lang w:val="lt-LT"/>
        </w:rPr>
        <w:t>Figure</w:t>
      </w:r>
      <w:proofErr w:type="spellEnd"/>
      <w:r w:rsidRPr="009B790C">
        <w:rPr>
          <w:rFonts w:cs="Times New Roman"/>
          <w:lang w:val="lt-LT"/>
        </w:rPr>
        <w:t>“ suteiktos paskolos, kai kaip užstatas naudojamas paskolos gavėjo nekilnojamasis turtas.</w:t>
      </w:r>
    </w:p>
    <w:p w14:paraId="764A9B80" w14:textId="77777777" w:rsidR="00613329" w:rsidRPr="009B790C" w:rsidRDefault="00613329" w:rsidP="00882CBC">
      <w:pPr>
        <w:jc w:val="both"/>
        <w:rPr>
          <w:rFonts w:cs="Times New Roman"/>
          <w:lang w:val="lt-LT"/>
        </w:rPr>
      </w:pPr>
    </w:p>
    <w:p w14:paraId="780A59F6" w14:textId="5051A287" w:rsidR="00613329" w:rsidRPr="009B790C" w:rsidRDefault="00613329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lastRenderedPageBreak/>
        <w:t xml:space="preserve">2024 m. taip pat sparčiai augo </w:t>
      </w:r>
      <w:proofErr w:type="spellStart"/>
      <w:r w:rsidRPr="009B790C">
        <w:rPr>
          <w:rFonts w:cs="Times New Roman"/>
          <w:lang w:val="lt-LT"/>
        </w:rPr>
        <w:t>tokenizuotų</w:t>
      </w:r>
      <w:proofErr w:type="spellEnd"/>
      <w:r w:rsidRPr="009B790C">
        <w:rPr>
          <w:rFonts w:cs="Times New Roman"/>
          <w:lang w:val="lt-LT"/>
        </w:rPr>
        <w:t xml:space="preserve"> vekselių vertė </w:t>
      </w:r>
      <w:r w:rsidR="00791F8E" w:rsidRPr="009B790C">
        <w:rPr>
          <w:rFonts w:cs="Times New Roman"/>
          <w:lang w:val="lt-LT"/>
        </w:rPr>
        <w:t>–</w:t>
      </w:r>
      <w:r w:rsidRPr="009B790C">
        <w:rPr>
          <w:rFonts w:cs="Times New Roman"/>
          <w:lang w:val="lt-LT"/>
        </w:rPr>
        <w:t xml:space="preserve"> nuo 769 mln. JAV dolerių metų pradžioje iki daugiau kaip 2,2 mlrd. </w:t>
      </w:r>
      <w:r w:rsidR="001D3B9F" w:rsidRPr="009B790C">
        <w:rPr>
          <w:rFonts w:cs="Times New Roman"/>
          <w:lang w:val="lt-LT"/>
        </w:rPr>
        <w:t xml:space="preserve">JAV </w:t>
      </w:r>
      <w:r w:rsidRPr="009B790C">
        <w:rPr>
          <w:rFonts w:cs="Times New Roman"/>
          <w:lang w:val="lt-LT"/>
        </w:rPr>
        <w:t>dolerių šių metų rugsėjį. To priežastis greičiausiai buvo didelės palūkanų normos JAV, kurios gerokai padidino investuotojų susidomėjimą JAV vyriausybės obligacijomis.</w:t>
      </w:r>
    </w:p>
    <w:p w14:paraId="662FE2AC" w14:textId="77777777" w:rsidR="00613329" w:rsidRPr="009B790C" w:rsidRDefault="00613329" w:rsidP="00882CBC">
      <w:pPr>
        <w:jc w:val="both"/>
        <w:rPr>
          <w:rFonts w:cs="Times New Roman"/>
          <w:lang w:val="lt-LT"/>
        </w:rPr>
      </w:pPr>
    </w:p>
    <w:p w14:paraId="40D16F17" w14:textId="27B23CCF" w:rsidR="00DC1DF7" w:rsidRPr="009B790C" w:rsidRDefault="00DC1DF7" w:rsidP="00882CBC">
      <w:pPr>
        <w:jc w:val="both"/>
        <w:rPr>
          <w:rFonts w:cs="Times New Roman"/>
          <w:b/>
          <w:bCs/>
          <w:lang w:val="lt-LT"/>
        </w:rPr>
      </w:pPr>
      <w:r w:rsidRPr="009B790C">
        <w:rPr>
          <w:rFonts w:cs="Times New Roman"/>
          <w:b/>
          <w:bCs/>
          <w:lang w:val="lt-LT"/>
        </w:rPr>
        <w:t>Šeši</w:t>
      </w:r>
      <w:r w:rsidR="00B76BDE" w:rsidRPr="009B790C">
        <w:rPr>
          <w:rFonts w:cs="Times New Roman"/>
          <w:b/>
          <w:bCs/>
          <w:lang w:val="lt-LT"/>
        </w:rPr>
        <w:t>s</w:t>
      </w:r>
      <w:r w:rsidR="007E6823" w:rsidRPr="009B790C">
        <w:rPr>
          <w:rFonts w:cs="Times New Roman"/>
          <w:b/>
          <w:bCs/>
          <w:lang w:val="lt-LT"/>
        </w:rPr>
        <w:t xml:space="preserve"> mėnesi</w:t>
      </w:r>
      <w:r w:rsidR="00B76BDE" w:rsidRPr="009B790C">
        <w:rPr>
          <w:rFonts w:cs="Times New Roman"/>
          <w:b/>
          <w:bCs/>
          <w:lang w:val="lt-LT"/>
        </w:rPr>
        <w:t>us užsitęsęs</w:t>
      </w:r>
      <w:r w:rsidRPr="009B790C">
        <w:rPr>
          <w:rFonts w:cs="Times New Roman"/>
          <w:b/>
          <w:bCs/>
          <w:lang w:val="lt-LT"/>
        </w:rPr>
        <w:t xml:space="preserve"> NFT rinkos nuosmukis</w:t>
      </w:r>
    </w:p>
    <w:p w14:paraId="23196F57" w14:textId="77777777" w:rsidR="007E6823" w:rsidRPr="009B790C" w:rsidRDefault="007E6823" w:rsidP="00882CBC">
      <w:pPr>
        <w:jc w:val="both"/>
        <w:rPr>
          <w:rFonts w:cs="Times New Roman"/>
          <w:lang w:val="lt-LT"/>
        </w:rPr>
      </w:pPr>
    </w:p>
    <w:p w14:paraId="46EF261A" w14:textId="53AAE822" w:rsidR="007E6823" w:rsidRPr="009B790C" w:rsidRDefault="00DC1DF7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 xml:space="preserve">Rugsėjį NFT rinka smuko </w:t>
      </w:r>
      <w:r w:rsidR="007E6823" w:rsidRPr="009B790C">
        <w:rPr>
          <w:rFonts w:cs="Times New Roman"/>
          <w:lang w:val="lt-LT"/>
        </w:rPr>
        <w:t>jau šeštąjį mėnesį paeiliui</w:t>
      </w:r>
      <w:r w:rsidRPr="009B790C">
        <w:rPr>
          <w:rFonts w:cs="Times New Roman"/>
          <w:lang w:val="lt-LT"/>
        </w:rPr>
        <w:t xml:space="preserve"> </w:t>
      </w:r>
      <w:r w:rsidR="007E6823" w:rsidRPr="009B790C">
        <w:rPr>
          <w:rFonts w:cs="Times New Roman"/>
          <w:lang w:val="lt-LT"/>
        </w:rPr>
        <w:t>–</w:t>
      </w:r>
      <w:r w:rsidRPr="009B790C">
        <w:rPr>
          <w:rFonts w:cs="Times New Roman"/>
          <w:lang w:val="lt-LT"/>
        </w:rPr>
        <w:t xml:space="preserve"> bendr</w:t>
      </w:r>
      <w:r w:rsidR="007E6823" w:rsidRPr="009B790C">
        <w:rPr>
          <w:rFonts w:cs="Times New Roman"/>
          <w:lang w:val="lt-LT"/>
        </w:rPr>
        <w:t xml:space="preserve">os </w:t>
      </w:r>
      <w:r w:rsidRPr="009B790C">
        <w:rPr>
          <w:rFonts w:cs="Times New Roman"/>
          <w:lang w:val="lt-LT"/>
        </w:rPr>
        <w:t>pardavimų apimt</w:t>
      </w:r>
      <w:r w:rsidR="007E6823" w:rsidRPr="009B790C">
        <w:rPr>
          <w:rFonts w:cs="Times New Roman"/>
          <w:lang w:val="lt-LT"/>
        </w:rPr>
        <w:t>y</w:t>
      </w:r>
      <w:r w:rsidRPr="009B790C">
        <w:rPr>
          <w:rFonts w:cs="Times New Roman"/>
          <w:lang w:val="lt-LT"/>
        </w:rPr>
        <w:t xml:space="preserve">s sumažėjo 21,2 </w:t>
      </w:r>
      <w:r w:rsidR="007E6823" w:rsidRPr="009B790C">
        <w:rPr>
          <w:rFonts w:cs="Times New Roman"/>
          <w:lang w:val="lt-LT"/>
        </w:rPr>
        <w:t>proc.</w:t>
      </w:r>
      <w:r w:rsidRPr="009B790C">
        <w:rPr>
          <w:rFonts w:cs="Times New Roman"/>
          <w:lang w:val="lt-LT"/>
        </w:rPr>
        <w:t xml:space="preserve"> ir sudarė 302 mln. </w:t>
      </w:r>
      <w:r w:rsidR="00B4790B" w:rsidRPr="009B790C">
        <w:rPr>
          <w:rFonts w:cs="Times New Roman"/>
          <w:lang w:val="lt-LT"/>
        </w:rPr>
        <w:t xml:space="preserve">JAV </w:t>
      </w:r>
      <w:r w:rsidRPr="009B790C">
        <w:rPr>
          <w:rFonts w:cs="Times New Roman"/>
          <w:lang w:val="lt-LT"/>
        </w:rPr>
        <w:t xml:space="preserve">dolerių. Šis </w:t>
      </w:r>
      <w:r w:rsidR="007E6823" w:rsidRPr="009B790C">
        <w:rPr>
          <w:rFonts w:cs="Times New Roman"/>
          <w:lang w:val="lt-LT"/>
        </w:rPr>
        <w:t>ilgalaikis</w:t>
      </w:r>
      <w:r w:rsidRPr="009B790C">
        <w:rPr>
          <w:rFonts w:cs="Times New Roman"/>
          <w:lang w:val="lt-LT"/>
        </w:rPr>
        <w:t xml:space="preserve"> nuosm</w:t>
      </w:r>
      <w:r w:rsidR="00B4790B" w:rsidRPr="009B790C">
        <w:rPr>
          <w:rFonts w:cs="Times New Roman"/>
          <w:lang w:val="lt-LT"/>
        </w:rPr>
        <w:t>u</w:t>
      </w:r>
      <w:r w:rsidRPr="009B790C">
        <w:rPr>
          <w:rFonts w:cs="Times New Roman"/>
          <w:lang w:val="lt-LT"/>
        </w:rPr>
        <w:t xml:space="preserve">kis </w:t>
      </w:r>
      <w:r w:rsidR="007E6823" w:rsidRPr="009B790C">
        <w:rPr>
          <w:rFonts w:cs="Times New Roman"/>
          <w:lang w:val="lt-LT"/>
        </w:rPr>
        <w:t>sukūrė sudėtingą situaciją</w:t>
      </w:r>
      <w:r w:rsidR="00B4790B" w:rsidRPr="009B790C">
        <w:rPr>
          <w:rFonts w:cs="Times New Roman"/>
          <w:lang w:val="lt-LT"/>
        </w:rPr>
        <w:t xml:space="preserve"> sektoriuje</w:t>
      </w:r>
      <w:r w:rsidRPr="009B790C">
        <w:rPr>
          <w:rFonts w:cs="Times New Roman"/>
          <w:lang w:val="lt-LT"/>
        </w:rPr>
        <w:t xml:space="preserve">, nes visų pagrindinių NFT kolekcijų prekybos apimtys labai sumažėjo. </w:t>
      </w:r>
    </w:p>
    <w:p w14:paraId="04C7B8D0" w14:textId="77777777" w:rsidR="007E6823" w:rsidRPr="009B790C" w:rsidRDefault="007E6823" w:rsidP="00882CBC">
      <w:pPr>
        <w:jc w:val="both"/>
        <w:rPr>
          <w:rFonts w:cs="Times New Roman"/>
          <w:lang w:val="lt-LT"/>
        </w:rPr>
      </w:pPr>
    </w:p>
    <w:p w14:paraId="3D9F9D8C" w14:textId="669EE7AE" w:rsidR="00DC1DF7" w:rsidRPr="009B790C" w:rsidRDefault="00DC1DF7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 xml:space="preserve">Pavyzdžiui, populiarių kolekcijų </w:t>
      </w:r>
      <w:r w:rsidR="00B4790B" w:rsidRPr="009B790C">
        <w:rPr>
          <w:rFonts w:cs="Times New Roman"/>
          <w:lang w:val="lt-LT"/>
        </w:rPr>
        <w:t>eterio</w:t>
      </w:r>
      <w:r w:rsidRPr="009B790C">
        <w:rPr>
          <w:rFonts w:cs="Times New Roman"/>
          <w:lang w:val="lt-LT"/>
        </w:rPr>
        <w:t xml:space="preserve"> tinkle, tokių kaip </w:t>
      </w:r>
      <w:r w:rsidR="00B4790B" w:rsidRPr="009B790C">
        <w:rPr>
          <w:rFonts w:cs="Times New Roman"/>
          <w:lang w:val="lt-LT"/>
        </w:rPr>
        <w:t>„</w:t>
      </w:r>
      <w:proofErr w:type="spellStart"/>
      <w:r w:rsidRPr="009B790C">
        <w:rPr>
          <w:rFonts w:cs="Times New Roman"/>
          <w:lang w:val="lt-LT"/>
        </w:rPr>
        <w:t>CryptoPunks</w:t>
      </w:r>
      <w:proofErr w:type="spellEnd"/>
      <w:r w:rsidR="00B4790B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 xml:space="preserve">, </w:t>
      </w:r>
      <w:r w:rsidR="00B4790B" w:rsidRPr="009B790C">
        <w:rPr>
          <w:rFonts w:cs="Times New Roman"/>
          <w:lang w:val="lt-LT"/>
        </w:rPr>
        <w:t>„</w:t>
      </w:r>
      <w:proofErr w:type="spellStart"/>
      <w:r w:rsidRPr="009B790C">
        <w:rPr>
          <w:rFonts w:cs="Times New Roman"/>
          <w:lang w:val="lt-LT"/>
        </w:rPr>
        <w:t>Bored</w:t>
      </w:r>
      <w:proofErr w:type="spellEnd"/>
      <w:r w:rsidRPr="009B790C">
        <w:rPr>
          <w:rFonts w:cs="Times New Roman"/>
          <w:lang w:val="lt-LT"/>
        </w:rPr>
        <w:t xml:space="preserve"> </w:t>
      </w:r>
      <w:proofErr w:type="spellStart"/>
      <w:r w:rsidRPr="009B790C">
        <w:rPr>
          <w:rFonts w:cs="Times New Roman"/>
          <w:lang w:val="lt-LT"/>
        </w:rPr>
        <w:t>Ape</w:t>
      </w:r>
      <w:proofErr w:type="spellEnd"/>
      <w:r w:rsidRPr="009B790C">
        <w:rPr>
          <w:rFonts w:cs="Times New Roman"/>
          <w:lang w:val="lt-LT"/>
        </w:rPr>
        <w:t xml:space="preserve"> </w:t>
      </w:r>
      <w:proofErr w:type="spellStart"/>
      <w:r w:rsidRPr="009B790C">
        <w:rPr>
          <w:rFonts w:cs="Times New Roman"/>
          <w:lang w:val="lt-LT"/>
        </w:rPr>
        <w:t>Yacht</w:t>
      </w:r>
      <w:proofErr w:type="spellEnd"/>
      <w:r w:rsidRPr="009B790C">
        <w:rPr>
          <w:rFonts w:cs="Times New Roman"/>
          <w:lang w:val="lt-LT"/>
        </w:rPr>
        <w:t xml:space="preserve"> Club</w:t>
      </w:r>
      <w:r w:rsidR="00B4790B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 xml:space="preserve"> ir </w:t>
      </w:r>
      <w:r w:rsidR="00B4790B" w:rsidRPr="009B790C">
        <w:rPr>
          <w:rFonts w:cs="Times New Roman"/>
          <w:lang w:val="lt-LT"/>
        </w:rPr>
        <w:t>„</w:t>
      </w:r>
      <w:proofErr w:type="spellStart"/>
      <w:r w:rsidRPr="009B790C">
        <w:rPr>
          <w:rFonts w:cs="Times New Roman"/>
          <w:lang w:val="lt-LT"/>
        </w:rPr>
        <w:t>Pudgy</w:t>
      </w:r>
      <w:proofErr w:type="spellEnd"/>
      <w:r w:rsidRPr="009B790C">
        <w:rPr>
          <w:rFonts w:cs="Times New Roman"/>
          <w:lang w:val="lt-LT"/>
        </w:rPr>
        <w:t xml:space="preserve"> </w:t>
      </w:r>
      <w:proofErr w:type="spellStart"/>
      <w:r w:rsidRPr="009B790C">
        <w:rPr>
          <w:rFonts w:cs="Times New Roman"/>
          <w:lang w:val="lt-LT"/>
        </w:rPr>
        <w:t>Penguins</w:t>
      </w:r>
      <w:proofErr w:type="spellEnd"/>
      <w:r w:rsidR="00B4790B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>, prekybos apimtys sumažėjo atitinkamai 13,9</w:t>
      </w:r>
      <w:r w:rsidR="00B76BDE" w:rsidRPr="009B790C">
        <w:rPr>
          <w:rFonts w:cs="Times New Roman"/>
          <w:lang w:val="lt-LT"/>
        </w:rPr>
        <w:t xml:space="preserve"> proc.</w:t>
      </w:r>
      <w:r w:rsidRPr="009B790C">
        <w:rPr>
          <w:rFonts w:cs="Times New Roman"/>
          <w:lang w:val="lt-LT"/>
        </w:rPr>
        <w:t xml:space="preserve">, 38,2 </w:t>
      </w:r>
      <w:r w:rsidR="00B76BDE" w:rsidRPr="009B790C">
        <w:rPr>
          <w:rFonts w:cs="Times New Roman"/>
          <w:lang w:val="lt-LT"/>
        </w:rPr>
        <w:t>proc.</w:t>
      </w:r>
      <w:r w:rsidRPr="009B790C">
        <w:rPr>
          <w:rFonts w:cs="Times New Roman"/>
          <w:lang w:val="lt-LT"/>
        </w:rPr>
        <w:t xml:space="preserve"> ir 55,3</w:t>
      </w:r>
      <w:r w:rsidR="00B76BDE" w:rsidRPr="009B790C">
        <w:rPr>
          <w:rFonts w:cs="Times New Roman"/>
          <w:lang w:val="lt-LT"/>
        </w:rPr>
        <w:t xml:space="preserve"> proc</w:t>
      </w:r>
      <w:r w:rsidRPr="009B790C">
        <w:rPr>
          <w:rFonts w:cs="Times New Roman"/>
          <w:lang w:val="lt-LT"/>
        </w:rPr>
        <w:t>.</w:t>
      </w:r>
    </w:p>
    <w:p w14:paraId="76C159B2" w14:textId="77777777" w:rsidR="00B76BDE" w:rsidRPr="009B790C" w:rsidRDefault="00B76BDE" w:rsidP="00882CBC">
      <w:pPr>
        <w:jc w:val="both"/>
        <w:rPr>
          <w:rFonts w:cs="Times New Roman"/>
          <w:lang w:val="lt-LT"/>
        </w:rPr>
      </w:pPr>
    </w:p>
    <w:p w14:paraId="2F6BD5AF" w14:textId="7DEE39BA" w:rsidR="00DC1DF7" w:rsidRPr="009B790C" w:rsidRDefault="00DC1DF7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>NFT pardavimai apskritai sumažėjo visuose pagrindiniuose tinkluose. Bit</w:t>
      </w:r>
      <w:r w:rsidR="00B4790B" w:rsidRPr="009B790C">
        <w:rPr>
          <w:rFonts w:cs="Times New Roman"/>
          <w:lang w:val="lt-LT"/>
        </w:rPr>
        <w:t>koino</w:t>
      </w:r>
      <w:r w:rsidRPr="009B790C">
        <w:rPr>
          <w:rFonts w:cs="Times New Roman"/>
          <w:lang w:val="lt-LT"/>
        </w:rPr>
        <w:t xml:space="preserve">, </w:t>
      </w:r>
      <w:r w:rsidR="00B4790B" w:rsidRPr="009B790C">
        <w:rPr>
          <w:rFonts w:cs="Times New Roman"/>
          <w:lang w:val="lt-LT"/>
        </w:rPr>
        <w:t>eterio</w:t>
      </w:r>
      <w:r w:rsidRPr="009B790C">
        <w:rPr>
          <w:rFonts w:cs="Times New Roman"/>
          <w:lang w:val="lt-LT"/>
        </w:rPr>
        <w:t xml:space="preserve"> ir </w:t>
      </w:r>
      <w:r w:rsidR="00B4790B" w:rsidRPr="009B790C">
        <w:rPr>
          <w:rFonts w:cs="Times New Roman"/>
          <w:lang w:val="lt-LT"/>
        </w:rPr>
        <w:t>„</w:t>
      </w:r>
      <w:r w:rsidRPr="009B790C">
        <w:rPr>
          <w:rFonts w:cs="Times New Roman"/>
          <w:lang w:val="lt-LT"/>
        </w:rPr>
        <w:t>Solana</w:t>
      </w:r>
      <w:r w:rsidR="00B4790B" w:rsidRPr="009B790C">
        <w:rPr>
          <w:rFonts w:cs="Times New Roman"/>
          <w:lang w:val="lt-LT"/>
        </w:rPr>
        <w:t>“</w:t>
      </w:r>
      <w:r w:rsidRPr="009B790C">
        <w:rPr>
          <w:rFonts w:cs="Times New Roman"/>
          <w:lang w:val="lt-LT"/>
        </w:rPr>
        <w:t xml:space="preserve"> tinkluose NFT prekybos apimtys sumažėjo atitinkamai 33,5 </w:t>
      </w:r>
      <w:r w:rsidR="00B76BDE" w:rsidRPr="009B790C">
        <w:rPr>
          <w:rFonts w:cs="Times New Roman"/>
          <w:lang w:val="lt-LT"/>
        </w:rPr>
        <w:t>proc.</w:t>
      </w:r>
      <w:r w:rsidRPr="009B790C">
        <w:rPr>
          <w:rFonts w:cs="Times New Roman"/>
          <w:lang w:val="lt-LT"/>
        </w:rPr>
        <w:t xml:space="preserve">, 47,7 </w:t>
      </w:r>
      <w:r w:rsidR="00B76BDE" w:rsidRPr="009B790C">
        <w:rPr>
          <w:rFonts w:cs="Times New Roman"/>
          <w:lang w:val="lt-LT"/>
        </w:rPr>
        <w:t>proc.</w:t>
      </w:r>
      <w:r w:rsidRPr="009B790C">
        <w:rPr>
          <w:rFonts w:cs="Times New Roman"/>
          <w:lang w:val="lt-LT"/>
        </w:rPr>
        <w:t xml:space="preserve"> ir 41,8 </w:t>
      </w:r>
      <w:r w:rsidR="00B76BDE" w:rsidRPr="009B790C">
        <w:rPr>
          <w:rFonts w:cs="Times New Roman"/>
          <w:lang w:val="lt-LT"/>
        </w:rPr>
        <w:t>proc</w:t>
      </w:r>
      <w:r w:rsidRPr="009B790C">
        <w:rPr>
          <w:rFonts w:cs="Times New Roman"/>
          <w:lang w:val="lt-LT"/>
        </w:rPr>
        <w:t>.</w:t>
      </w:r>
    </w:p>
    <w:p w14:paraId="116AC971" w14:textId="77777777" w:rsidR="00B76BDE" w:rsidRPr="009B790C" w:rsidRDefault="00B76BDE" w:rsidP="00882CBC">
      <w:pPr>
        <w:jc w:val="both"/>
        <w:rPr>
          <w:rFonts w:cs="Times New Roman"/>
          <w:lang w:val="lt-LT"/>
        </w:rPr>
      </w:pPr>
    </w:p>
    <w:p w14:paraId="0772A32C" w14:textId="0F2EBE82" w:rsidR="00B76BDE" w:rsidRPr="009B790C" w:rsidRDefault="00B76BDE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>Tiesa, yra ir keletas išimčių. Pavyzdžiui, „</w:t>
      </w:r>
      <w:proofErr w:type="spellStart"/>
      <w:r w:rsidRPr="009B790C">
        <w:rPr>
          <w:rFonts w:cs="Times New Roman"/>
          <w:lang w:val="lt-LT"/>
        </w:rPr>
        <w:t>Blast</w:t>
      </w:r>
      <w:proofErr w:type="spellEnd"/>
      <w:r w:rsidRPr="009B790C">
        <w:rPr>
          <w:rFonts w:cs="Times New Roman"/>
          <w:lang w:val="lt-LT"/>
        </w:rPr>
        <w:t>“ tinkle NFT prekybos apimtys padidėjo 30 proc. Tai lėmė didelis aktyvumas prekybos kortų žaidime „</w:t>
      </w:r>
      <w:proofErr w:type="spellStart"/>
      <w:r w:rsidRPr="009B790C">
        <w:rPr>
          <w:rFonts w:cs="Times New Roman"/>
          <w:lang w:val="lt-LT"/>
        </w:rPr>
        <w:t>Fantasy.top</w:t>
      </w:r>
      <w:proofErr w:type="spellEnd"/>
      <w:r w:rsidRPr="009B790C">
        <w:rPr>
          <w:rFonts w:cs="Times New Roman"/>
          <w:lang w:val="lt-LT"/>
        </w:rPr>
        <w:t>“. Populiariausių „</w:t>
      </w:r>
      <w:proofErr w:type="spellStart"/>
      <w:r w:rsidRPr="009B790C">
        <w:rPr>
          <w:rFonts w:cs="Times New Roman"/>
          <w:lang w:val="lt-LT"/>
        </w:rPr>
        <w:t>Ordinals</w:t>
      </w:r>
      <w:proofErr w:type="spellEnd"/>
      <w:r w:rsidRPr="009B790C">
        <w:rPr>
          <w:rFonts w:cs="Times New Roman"/>
          <w:lang w:val="lt-LT"/>
        </w:rPr>
        <w:t xml:space="preserve">“ kolekcijų prekybos apimtys taip pat padidėjo: „Bitcoin </w:t>
      </w:r>
      <w:proofErr w:type="spellStart"/>
      <w:r w:rsidRPr="009B790C">
        <w:rPr>
          <w:rFonts w:cs="Times New Roman"/>
          <w:lang w:val="lt-LT"/>
        </w:rPr>
        <w:t>Puppets</w:t>
      </w:r>
      <w:proofErr w:type="spellEnd"/>
      <w:r w:rsidRPr="009B790C">
        <w:rPr>
          <w:rFonts w:cs="Times New Roman"/>
          <w:lang w:val="lt-LT"/>
        </w:rPr>
        <w:t>“ ir „</w:t>
      </w:r>
      <w:proofErr w:type="spellStart"/>
      <w:r w:rsidRPr="009B790C">
        <w:rPr>
          <w:rFonts w:cs="Times New Roman"/>
          <w:lang w:val="lt-LT"/>
        </w:rPr>
        <w:t>NodeMonkeys</w:t>
      </w:r>
      <w:proofErr w:type="spellEnd"/>
      <w:r w:rsidRPr="009B790C">
        <w:rPr>
          <w:rFonts w:cs="Times New Roman"/>
          <w:lang w:val="lt-LT"/>
        </w:rPr>
        <w:t xml:space="preserve">“ </w:t>
      </w:r>
      <w:r w:rsidR="009B0116" w:rsidRPr="009B790C">
        <w:rPr>
          <w:rFonts w:cs="Times New Roman"/>
          <w:lang w:val="lt-LT"/>
        </w:rPr>
        <w:t xml:space="preserve">prekyba </w:t>
      </w:r>
      <w:r w:rsidRPr="009B790C">
        <w:rPr>
          <w:rFonts w:cs="Times New Roman"/>
          <w:lang w:val="lt-LT"/>
        </w:rPr>
        <w:t>atitinkamai</w:t>
      </w:r>
      <w:r w:rsidR="009B0116" w:rsidRPr="009B790C">
        <w:rPr>
          <w:rFonts w:cs="Times New Roman"/>
          <w:lang w:val="lt-LT"/>
        </w:rPr>
        <w:t xml:space="preserve"> augo</w:t>
      </w:r>
      <w:r w:rsidRPr="009B790C">
        <w:rPr>
          <w:rFonts w:cs="Times New Roman"/>
          <w:lang w:val="lt-LT"/>
        </w:rPr>
        <w:t xml:space="preserve"> 26,6 proc. ir 0,51 proc.</w:t>
      </w:r>
    </w:p>
    <w:p w14:paraId="48A992C5" w14:textId="77777777" w:rsidR="00882CBC" w:rsidRPr="009B790C" w:rsidRDefault="00882CBC" w:rsidP="00882CBC">
      <w:pPr>
        <w:jc w:val="both"/>
        <w:rPr>
          <w:rFonts w:cs="Times New Roman"/>
          <w:lang w:val="lt-LT"/>
        </w:rPr>
      </w:pPr>
    </w:p>
    <w:p w14:paraId="71825189" w14:textId="6CE3E349" w:rsidR="00DC1DF7" w:rsidRPr="009B790C" w:rsidRDefault="009B0116" w:rsidP="00882CBC">
      <w:pPr>
        <w:jc w:val="both"/>
        <w:rPr>
          <w:rFonts w:cs="Times New Roman"/>
          <w:lang w:val="lt-LT"/>
        </w:rPr>
      </w:pPr>
      <w:r w:rsidRPr="009B790C">
        <w:rPr>
          <w:rFonts w:cs="Times New Roman"/>
          <w:lang w:val="lt-LT"/>
        </w:rPr>
        <w:t>Visą apžvalgą galite skaityti</w:t>
      </w:r>
      <w:r w:rsidR="00DC1DF7" w:rsidRPr="009B790C">
        <w:rPr>
          <w:rFonts w:cs="Times New Roman"/>
          <w:lang w:val="lt-LT"/>
        </w:rPr>
        <w:t xml:space="preserve"> „Binance“ svetainėje:</w:t>
      </w:r>
      <w:r w:rsidR="008321A4" w:rsidRPr="009B790C">
        <w:rPr>
          <w:rFonts w:cs="Times New Roman"/>
          <w:lang w:val="lt-LT"/>
        </w:rPr>
        <w:t xml:space="preserve"> </w:t>
      </w:r>
      <w:hyperlink r:id="rId4" w:history="1">
        <w:r w:rsidR="001D3B9F" w:rsidRPr="009B790C">
          <w:rPr>
            <w:rStyle w:val="Hyperlink"/>
            <w:rFonts w:cs="Times New Roman"/>
            <w:lang w:val="lt-LT"/>
          </w:rPr>
          <w:t>https://public.bnbstatic.com/static/files/research/monthly-market-insi</w:t>
        </w:r>
        <w:r w:rsidR="001D3B9F" w:rsidRPr="009B790C">
          <w:rPr>
            <w:rStyle w:val="Hyperlink"/>
            <w:rFonts w:cs="Times New Roman"/>
            <w:lang w:val="lt-LT"/>
          </w:rPr>
          <w:t>g</w:t>
        </w:r>
        <w:r w:rsidR="001D3B9F" w:rsidRPr="009B790C">
          <w:rPr>
            <w:rStyle w:val="Hyperlink"/>
            <w:rFonts w:cs="Times New Roman"/>
            <w:lang w:val="lt-LT"/>
          </w:rPr>
          <w:t>hts-2024-10.pdf</w:t>
        </w:r>
      </w:hyperlink>
      <w:r w:rsidR="001D3B9F" w:rsidRPr="009B790C">
        <w:rPr>
          <w:rFonts w:cs="Times New Roman"/>
          <w:lang w:val="lt-LT"/>
        </w:rPr>
        <w:t xml:space="preserve"> </w:t>
      </w:r>
    </w:p>
    <w:p w14:paraId="14FED935" w14:textId="77777777" w:rsidR="001D3B9F" w:rsidRPr="009B790C" w:rsidRDefault="001D3B9F" w:rsidP="00882CBC">
      <w:pPr>
        <w:jc w:val="both"/>
        <w:rPr>
          <w:rFonts w:cs="Times New Roman"/>
          <w:lang w:val="lt-LT"/>
        </w:rPr>
      </w:pPr>
    </w:p>
    <w:sectPr w:rsidR="001D3B9F" w:rsidRPr="009B79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F7"/>
    <w:rsid w:val="00190D98"/>
    <w:rsid w:val="001D3B9F"/>
    <w:rsid w:val="0024457A"/>
    <w:rsid w:val="003F1215"/>
    <w:rsid w:val="004146BC"/>
    <w:rsid w:val="004514E2"/>
    <w:rsid w:val="00495C01"/>
    <w:rsid w:val="00505F2A"/>
    <w:rsid w:val="00533A90"/>
    <w:rsid w:val="00613329"/>
    <w:rsid w:val="006471D3"/>
    <w:rsid w:val="0070551B"/>
    <w:rsid w:val="00710206"/>
    <w:rsid w:val="00791F8E"/>
    <w:rsid w:val="007E6823"/>
    <w:rsid w:val="008321A4"/>
    <w:rsid w:val="00882CBC"/>
    <w:rsid w:val="00953FB5"/>
    <w:rsid w:val="00995AC9"/>
    <w:rsid w:val="009A4E72"/>
    <w:rsid w:val="009B0116"/>
    <w:rsid w:val="009B36AA"/>
    <w:rsid w:val="009B790C"/>
    <w:rsid w:val="00A56266"/>
    <w:rsid w:val="00B07A14"/>
    <w:rsid w:val="00B4790B"/>
    <w:rsid w:val="00B76BDE"/>
    <w:rsid w:val="00BC6E8D"/>
    <w:rsid w:val="00D874AC"/>
    <w:rsid w:val="00DC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BA55F8"/>
  <w15:chartTrackingRefBased/>
  <w15:docId w15:val="{47EAE8C8-F5C6-D543-9439-DD333B1D2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1D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D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D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1D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1D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1D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1D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1D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1D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1D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D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D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1D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1D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1D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1D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1D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1D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1D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1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DF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1D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1D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1D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1D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1D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1D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1D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1DF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D3B9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3B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B790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bnbstatic.com/static/files/research/monthly-market-insights-2024-1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Matas Miknevičius</dc:creator>
  <cp:keywords/>
  <dc:description/>
  <cp:lastModifiedBy>Microsoft Office User</cp:lastModifiedBy>
  <cp:revision>2</cp:revision>
  <dcterms:created xsi:type="dcterms:W3CDTF">2024-10-14T08:19:00Z</dcterms:created>
  <dcterms:modified xsi:type="dcterms:W3CDTF">2024-10-14T08:19:00Z</dcterms:modified>
</cp:coreProperties>
</file>