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D70FD" w14:textId="77777777" w:rsidR="006171B2" w:rsidRPr="000B19E2" w:rsidRDefault="006171B2" w:rsidP="006171B2">
      <w:pPr>
        <w:spacing w:after="240"/>
        <w:rPr>
          <w:rFonts w:ascii="Roboto" w:eastAsia="Arial" w:hAnsi="Roboto" w:cs="Arial"/>
          <w:b/>
          <w:bCs/>
          <w:color w:val="000000" w:themeColor="text1"/>
        </w:rPr>
      </w:pPr>
      <w:r w:rsidRPr="000B19E2">
        <w:rPr>
          <w:rFonts w:ascii="Roboto" w:eastAsia="Arial" w:hAnsi="Roboto" w:cs="Arial"/>
          <w:b/>
          <w:bCs/>
          <w:color w:val="000000" w:themeColor="text1"/>
        </w:rPr>
        <w:t>Pranešimas žiniasklaidai</w:t>
      </w:r>
    </w:p>
    <w:p w14:paraId="1940FE35" w14:textId="3883D623" w:rsidR="006171B2" w:rsidRPr="00D9438A" w:rsidRDefault="006171B2" w:rsidP="00D9438A">
      <w:pPr>
        <w:spacing w:after="240"/>
        <w:rPr>
          <w:rFonts w:ascii="Roboto" w:eastAsia="Arial" w:hAnsi="Roboto" w:cs="Arial"/>
          <w:color w:val="000000" w:themeColor="text1"/>
        </w:rPr>
      </w:pPr>
      <w:r w:rsidRPr="000B19E2">
        <w:rPr>
          <w:rFonts w:ascii="Roboto" w:hAnsi="Roboto" w:cs="Arial"/>
          <w:color w:val="000000" w:themeColor="text1"/>
        </w:rPr>
        <w:t xml:space="preserve">2024 m. spalio </w:t>
      </w:r>
      <w:r>
        <w:rPr>
          <w:rFonts w:ascii="Roboto" w:hAnsi="Roboto" w:cs="Arial"/>
          <w:color w:val="000000" w:themeColor="text1"/>
        </w:rPr>
        <w:t>1</w:t>
      </w:r>
      <w:r>
        <w:rPr>
          <w:rFonts w:ascii="Roboto" w:hAnsi="Roboto" w:cs="Arial"/>
          <w:color w:val="000000" w:themeColor="text1"/>
        </w:rPr>
        <w:t>6</w:t>
      </w:r>
      <w:r w:rsidRPr="000B19E2">
        <w:rPr>
          <w:rFonts w:ascii="Roboto" w:hAnsi="Roboto" w:cs="Arial"/>
          <w:color w:val="000000" w:themeColor="text1"/>
        </w:rPr>
        <w:t xml:space="preserve"> d.</w:t>
      </w:r>
    </w:p>
    <w:p w14:paraId="1071EE47" w14:textId="4FFC3318" w:rsidR="009744D0" w:rsidRDefault="00B45189" w:rsidP="00D9438A">
      <w:pPr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>Lietuvos vežėjų dar laukia iššūkiai, bet pavasaris atneš geresnių žinių</w:t>
      </w:r>
    </w:p>
    <w:p w14:paraId="0BA1E351" w14:textId="4EB12708" w:rsidR="009744D0" w:rsidRDefault="00A41F37" w:rsidP="00D9438A">
      <w:pPr>
        <w:jc w:val="both"/>
        <w:rPr>
          <w:rFonts w:ascii="Roboto" w:hAnsi="Roboto"/>
          <w:b/>
          <w:bCs/>
        </w:rPr>
      </w:pPr>
      <w:r w:rsidRPr="008E1D9A">
        <w:rPr>
          <w:rFonts w:ascii="Roboto" w:hAnsi="Roboto"/>
          <w:b/>
          <w:bCs/>
        </w:rPr>
        <w:t xml:space="preserve">„Iki pagerėjimo, kurio būtų galima tikėtis maždaug antrą 2025 m. ketvirtį, situacija Lietuvos transporto sektoriuje dar </w:t>
      </w:r>
      <w:r w:rsidR="00D34470">
        <w:rPr>
          <w:rFonts w:ascii="Roboto" w:hAnsi="Roboto"/>
          <w:b/>
          <w:bCs/>
        </w:rPr>
        <w:t>bus kurį laiką sunkiau nuspėjama</w:t>
      </w:r>
      <w:r w:rsidRPr="008E1D9A">
        <w:rPr>
          <w:rFonts w:ascii="Roboto" w:hAnsi="Roboto"/>
          <w:b/>
          <w:bCs/>
        </w:rPr>
        <w:t>“, – teigia „Citadele“ banko valdybos narys ir Verslo bankininkystės tarnybos vadovas Baltijos šalims Vaidas Žagūnis.</w:t>
      </w:r>
      <w:r w:rsidR="009744D0">
        <w:rPr>
          <w:rFonts w:ascii="Roboto" w:hAnsi="Roboto"/>
          <w:b/>
          <w:bCs/>
        </w:rPr>
        <w:t xml:space="preserve"> Vis dėlto, stiprų </w:t>
      </w:r>
      <w:r w:rsidR="00D34470">
        <w:rPr>
          <w:rFonts w:ascii="Roboto" w:hAnsi="Roboto"/>
          <w:b/>
          <w:bCs/>
        </w:rPr>
        <w:t xml:space="preserve">statistinių </w:t>
      </w:r>
      <w:r w:rsidR="009744D0">
        <w:rPr>
          <w:rFonts w:ascii="Roboto" w:hAnsi="Roboto"/>
          <w:b/>
          <w:bCs/>
        </w:rPr>
        <w:t>rodiklių nuosmukį iš dalies nulėmė ir rekordinės aukštumos pandemijos metu, o sulaukti atsigavimo Lietuvos vėžėjams galėtų padėti susitelkimas į Ispanijos, Austrijos ir Danijos rinkas, kur situacija yra kiek geresnė.</w:t>
      </w:r>
    </w:p>
    <w:p w14:paraId="65E9F2F9" w14:textId="0D7C38ED" w:rsidR="0065792D" w:rsidRPr="008E1D9A" w:rsidRDefault="009744D0" w:rsidP="00D9438A">
      <w:pPr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>Rodikliai indikuoja apie sugrįžimą į įprastas vėžes</w:t>
      </w:r>
    </w:p>
    <w:p w14:paraId="3A577CE0" w14:textId="7471140B" w:rsidR="008E1D9A" w:rsidRPr="008E1D9A" w:rsidRDefault="008E1D9A" w:rsidP="00D9438A">
      <w:pPr>
        <w:jc w:val="both"/>
        <w:rPr>
          <w:rFonts w:ascii="Roboto" w:hAnsi="Roboto"/>
        </w:rPr>
      </w:pPr>
      <w:r w:rsidRPr="008E1D9A">
        <w:rPr>
          <w:rFonts w:ascii="Roboto" w:hAnsi="Roboto"/>
        </w:rPr>
        <w:t xml:space="preserve">Naujausi Lietuvos banko šalies paslaugų eksporto rodikliai leidžia įvertinti Lietuvos transporto sektoriaus, stipriai priklausomo nuo eksporto rinkų, antro šių metų ketvirčio rezultatus ir geriau suprasti, ko tikėtis toliau. </w:t>
      </w:r>
    </w:p>
    <w:p w14:paraId="26FB48FA" w14:textId="77777777" w:rsidR="0065792D" w:rsidRDefault="0065792D" w:rsidP="00D9438A">
      <w:pPr>
        <w:jc w:val="both"/>
        <w:rPr>
          <w:rFonts w:ascii="Roboto" w:hAnsi="Roboto"/>
        </w:rPr>
      </w:pPr>
      <w:r w:rsidRPr="0065792D">
        <w:rPr>
          <w:rFonts w:ascii="Roboto" w:hAnsi="Roboto"/>
        </w:rPr>
        <w:t>Vis dėlto, rodikliai nedžiugina:</w:t>
      </w:r>
      <w:r w:rsidR="008E1D9A" w:rsidRPr="0065792D">
        <w:rPr>
          <w:rFonts w:ascii="Roboto" w:hAnsi="Roboto"/>
        </w:rPr>
        <w:t xml:space="preserve"> krovininio kelių transporto paslaugų eksporto apimtys</w:t>
      </w:r>
      <w:r w:rsidRPr="0065792D">
        <w:rPr>
          <w:rFonts w:ascii="Roboto" w:hAnsi="Roboto"/>
        </w:rPr>
        <w:t xml:space="preserve"> </w:t>
      </w:r>
      <w:r w:rsidR="008E1D9A" w:rsidRPr="0065792D">
        <w:rPr>
          <w:rFonts w:ascii="Roboto" w:hAnsi="Roboto"/>
        </w:rPr>
        <w:t>buvo žemiausi</w:t>
      </w:r>
      <w:r w:rsidRPr="0065792D">
        <w:rPr>
          <w:rFonts w:ascii="Roboto" w:hAnsi="Roboto"/>
        </w:rPr>
        <w:t>os</w:t>
      </w:r>
      <w:r w:rsidR="008E1D9A" w:rsidRPr="0065792D">
        <w:rPr>
          <w:rFonts w:ascii="Roboto" w:hAnsi="Roboto"/>
        </w:rPr>
        <w:t xml:space="preserve"> nuo 2022 m. pirmo ketvirčio</w:t>
      </w:r>
      <w:r w:rsidRPr="0065792D">
        <w:rPr>
          <w:rFonts w:ascii="Roboto" w:hAnsi="Roboto"/>
        </w:rPr>
        <w:t>, o</w:t>
      </w:r>
      <w:r w:rsidR="008E1D9A" w:rsidRPr="0065792D">
        <w:rPr>
          <w:rFonts w:ascii="Roboto" w:hAnsi="Roboto"/>
        </w:rPr>
        <w:t xml:space="preserve"> </w:t>
      </w:r>
      <w:r w:rsidRPr="0065792D">
        <w:rPr>
          <w:rFonts w:ascii="Roboto" w:hAnsi="Roboto"/>
        </w:rPr>
        <w:t>m</w:t>
      </w:r>
      <w:r w:rsidR="008E1D9A" w:rsidRPr="0065792D">
        <w:rPr>
          <w:rFonts w:ascii="Roboto" w:hAnsi="Roboto"/>
        </w:rPr>
        <w:t xml:space="preserve">etinis augimo tempas yra neigiamas du ketvirčius iš eilės ir antrą ketvirtį paspartėjo iki </w:t>
      </w:r>
      <w:r>
        <w:rPr>
          <w:rFonts w:ascii="Roboto" w:hAnsi="Roboto"/>
        </w:rPr>
        <w:t>–</w:t>
      </w:r>
      <w:r w:rsidR="008E1D9A" w:rsidRPr="0065792D">
        <w:rPr>
          <w:rFonts w:ascii="Roboto" w:hAnsi="Roboto"/>
        </w:rPr>
        <w:t xml:space="preserve">3,1 proc. Tai – didžiausias krovininio kelių transporto paslaugų eksporto nuosmukis nuo 2015 m. trečio ketvirčio. </w:t>
      </w:r>
    </w:p>
    <w:p w14:paraId="48E455FB" w14:textId="340208A0" w:rsidR="0065792D" w:rsidRDefault="0065792D" w:rsidP="00D9438A">
      <w:pPr>
        <w:jc w:val="both"/>
        <w:rPr>
          <w:rFonts w:ascii="Roboto" w:hAnsi="Roboto"/>
        </w:rPr>
      </w:pPr>
      <w:r w:rsidRPr="008E1D9A">
        <w:rPr>
          <w:rFonts w:ascii="Roboto" w:hAnsi="Roboto"/>
        </w:rPr>
        <w:t xml:space="preserve">„Lietuvos krovininio kelių transporto paslaugų rodikliai </w:t>
      </w:r>
      <w:r w:rsidR="00D34470">
        <w:rPr>
          <w:rFonts w:ascii="Roboto" w:hAnsi="Roboto"/>
        </w:rPr>
        <w:t xml:space="preserve">vis dar </w:t>
      </w:r>
      <w:r w:rsidRPr="008E1D9A">
        <w:rPr>
          <w:rFonts w:ascii="Roboto" w:hAnsi="Roboto"/>
        </w:rPr>
        <w:t xml:space="preserve">blogėja ir, tikėtina, prastesnę dinamiką matysime tiek trečią, tiek ir ketvirtą šių metų ketvirtį. ES ekonomika yra apsnūdusi, palūkanų našta lieka aukšta, ES pramonės ir statybų sektoriai, kurie </w:t>
      </w:r>
      <w:r>
        <w:rPr>
          <w:rFonts w:ascii="Roboto" w:hAnsi="Roboto"/>
        </w:rPr>
        <w:t>daro didelę įtaką</w:t>
      </w:r>
      <w:r w:rsidRPr="008E1D9A">
        <w:rPr>
          <w:rFonts w:ascii="Roboto" w:hAnsi="Roboto"/>
        </w:rPr>
        <w:t xml:space="preserve"> L</w:t>
      </w:r>
      <w:r>
        <w:rPr>
          <w:rFonts w:ascii="Roboto" w:hAnsi="Roboto"/>
        </w:rPr>
        <w:t>ietuvos</w:t>
      </w:r>
      <w:r w:rsidRPr="008E1D9A">
        <w:rPr>
          <w:rFonts w:ascii="Roboto" w:hAnsi="Roboto"/>
        </w:rPr>
        <w:t xml:space="preserve"> transporto eksporto rodikli</w:t>
      </w:r>
      <w:r>
        <w:rPr>
          <w:rFonts w:ascii="Roboto" w:hAnsi="Roboto"/>
        </w:rPr>
        <w:t>ams –</w:t>
      </w:r>
      <w:r w:rsidRPr="008E1D9A">
        <w:rPr>
          <w:rFonts w:ascii="Roboto" w:hAnsi="Roboto"/>
        </w:rPr>
        <w:t xml:space="preserve"> taip pa</w:t>
      </w:r>
      <w:r>
        <w:rPr>
          <w:rFonts w:ascii="Roboto" w:hAnsi="Roboto"/>
        </w:rPr>
        <w:t>t</w:t>
      </w:r>
      <w:r w:rsidRPr="008E1D9A">
        <w:rPr>
          <w:rFonts w:ascii="Roboto" w:hAnsi="Roboto"/>
        </w:rPr>
        <w:t xml:space="preserve"> apsnūdę. </w:t>
      </w:r>
      <w:r>
        <w:rPr>
          <w:rFonts w:ascii="Roboto" w:hAnsi="Roboto"/>
        </w:rPr>
        <w:t>Todėl</w:t>
      </w:r>
      <w:r w:rsidRPr="008E1D9A">
        <w:rPr>
          <w:rFonts w:ascii="Roboto" w:hAnsi="Roboto"/>
        </w:rPr>
        <w:t xml:space="preserve"> artimiausiu metu </w:t>
      </w:r>
      <w:r w:rsidR="00D34470">
        <w:rPr>
          <w:rFonts w:ascii="Roboto" w:hAnsi="Roboto"/>
        </w:rPr>
        <w:t>sunku būtų</w:t>
      </w:r>
      <w:r w:rsidR="00D34470" w:rsidRPr="008E1D9A">
        <w:rPr>
          <w:rFonts w:ascii="Roboto" w:hAnsi="Roboto"/>
        </w:rPr>
        <w:t xml:space="preserve"> </w:t>
      </w:r>
      <w:r w:rsidRPr="008E1D9A">
        <w:rPr>
          <w:rFonts w:ascii="Roboto" w:hAnsi="Roboto"/>
        </w:rPr>
        <w:t>tikėtis ženklesnio Lietuvos krovininio kelių transporto paslaugų eksporto rodiklių pagerėjimo</w:t>
      </w:r>
      <w:r>
        <w:rPr>
          <w:rFonts w:ascii="Roboto" w:hAnsi="Roboto"/>
        </w:rPr>
        <w:t xml:space="preserve">“, – įžvalgomis dalijasi „Citadele“ banko valdybos narys Vaidas Žagūnis. </w:t>
      </w:r>
    </w:p>
    <w:p w14:paraId="1B35F141" w14:textId="4D11AAE1" w:rsidR="0065792D" w:rsidRDefault="0065792D" w:rsidP="00D9438A">
      <w:pPr>
        <w:jc w:val="both"/>
        <w:rPr>
          <w:rFonts w:ascii="Roboto" w:hAnsi="Roboto"/>
        </w:rPr>
      </w:pPr>
      <w:r>
        <w:rPr>
          <w:rFonts w:ascii="Roboto" w:hAnsi="Roboto"/>
        </w:rPr>
        <w:t>Tačiau jis priduria, kad</w:t>
      </w:r>
      <w:r w:rsidRPr="0065792D">
        <w:rPr>
          <w:rFonts w:ascii="Roboto" w:hAnsi="Roboto"/>
        </w:rPr>
        <w:t xml:space="preserve"> </w:t>
      </w:r>
      <w:r w:rsidRPr="008E1D9A">
        <w:rPr>
          <w:rFonts w:ascii="Roboto" w:hAnsi="Roboto"/>
        </w:rPr>
        <w:t>iš dalies tai yra ir ES transporto rinkos normalizavimasis</w:t>
      </w:r>
      <w:r>
        <w:rPr>
          <w:rFonts w:ascii="Roboto" w:hAnsi="Roboto"/>
        </w:rPr>
        <w:t>: „</w:t>
      </w:r>
      <w:r w:rsidRPr="008E1D9A">
        <w:rPr>
          <w:rFonts w:ascii="Roboto" w:hAnsi="Roboto"/>
        </w:rPr>
        <w:t>Rinka buvo labai išpūsta C</w:t>
      </w:r>
      <w:r>
        <w:rPr>
          <w:rFonts w:ascii="Roboto" w:hAnsi="Roboto"/>
        </w:rPr>
        <w:t>OVID-19</w:t>
      </w:r>
      <w:r w:rsidRPr="008E1D9A">
        <w:rPr>
          <w:rFonts w:ascii="Roboto" w:hAnsi="Roboto"/>
        </w:rPr>
        <w:t xml:space="preserve"> pandemijos metu tiek krovinių apimčių prasme, tiek ir įkainių prasme</w:t>
      </w:r>
      <w:r>
        <w:rPr>
          <w:rFonts w:ascii="Roboto" w:hAnsi="Roboto"/>
        </w:rPr>
        <w:t xml:space="preserve">. Todėl </w:t>
      </w:r>
      <w:r w:rsidRPr="0065792D">
        <w:rPr>
          <w:rFonts w:ascii="Roboto" w:hAnsi="Roboto"/>
        </w:rPr>
        <w:t>iš dalies matome šio rodiklio recesiją,</w:t>
      </w:r>
      <w:r>
        <w:rPr>
          <w:rFonts w:ascii="Roboto" w:hAnsi="Roboto"/>
        </w:rPr>
        <w:t xml:space="preserve"> bet</w:t>
      </w:r>
      <w:r w:rsidRPr="0065792D">
        <w:rPr>
          <w:rFonts w:ascii="Roboto" w:hAnsi="Roboto"/>
        </w:rPr>
        <w:t xml:space="preserve"> iš kitos pusės </w:t>
      </w:r>
      <w:r>
        <w:rPr>
          <w:rFonts w:ascii="Roboto" w:hAnsi="Roboto"/>
        </w:rPr>
        <w:t>–</w:t>
      </w:r>
      <w:r w:rsidRPr="0065792D">
        <w:rPr>
          <w:rFonts w:ascii="Roboto" w:hAnsi="Roboto"/>
        </w:rPr>
        <w:t xml:space="preserve"> krovininio kelių transporto paslaugų eksporto normalizavimąsi nuo </w:t>
      </w:r>
      <w:r w:rsidR="00D34470">
        <w:rPr>
          <w:rFonts w:ascii="Roboto" w:hAnsi="Roboto"/>
        </w:rPr>
        <w:t>labai aukšto</w:t>
      </w:r>
      <w:r w:rsidR="00D34470" w:rsidRPr="0065792D">
        <w:rPr>
          <w:rFonts w:ascii="Roboto" w:hAnsi="Roboto"/>
        </w:rPr>
        <w:t xml:space="preserve"> </w:t>
      </w:r>
      <w:r w:rsidRPr="0065792D">
        <w:rPr>
          <w:rFonts w:ascii="Roboto" w:hAnsi="Roboto"/>
        </w:rPr>
        <w:t>lygio</w:t>
      </w:r>
      <w:r>
        <w:rPr>
          <w:rFonts w:ascii="Roboto" w:hAnsi="Roboto"/>
        </w:rPr>
        <w:t>.“</w:t>
      </w:r>
    </w:p>
    <w:p w14:paraId="1DB44FD3" w14:textId="56B2B58D" w:rsidR="0065792D" w:rsidRPr="0065792D" w:rsidRDefault="009744D0" w:rsidP="00D9438A">
      <w:pPr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>Prasta situacija – ne visose rinkose</w:t>
      </w:r>
    </w:p>
    <w:p w14:paraId="6E766AA7" w14:textId="6FB80177" w:rsidR="00056402" w:rsidRDefault="0065792D" w:rsidP="00D9438A">
      <w:pPr>
        <w:jc w:val="both"/>
        <w:rPr>
          <w:rFonts w:ascii="Roboto" w:hAnsi="Roboto"/>
        </w:rPr>
      </w:pPr>
      <w:r>
        <w:rPr>
          <w:rFonts w:ascii="Roboto" w:hAnsi="Roboto"/>
        </w:rPr>
        <w:t>Pasak V. Žagūnio, itin silpn</w:t>
      </w:r>
      <w:r w:rsidR="00056402">
        <w:rPr>
          <w:rFonts w:ascii="Roboto" w:hAnsi="Roboto"/>
        </w:rPr>
        <w:t xml:space="preserve">ai atrodo transporto paslaugų į Skandinavijos ir Centrinės Europos šalis – Vokietiją, Prancūziją, Nyderlandus, Belgiją, Suomiją, Norvegiją, Latviją, Italiją – kur dėl </w:t>
      </w:r>
      <w:r w:rsidR="00056402" w:rsidRPr="008E1D9A">
        <w:rPr>
          <w:rFonts w:ascii="Roboto" w:hAnsi="Roboto"/>
        </w:rPr>
        <w:t>pakilusių palūkanų nusilpo vartojimas ir pramonė.</w:t>
      </w:r>
      <w:r w:rsidR="00056402" w:rsidRPr="00056402">
        <w:rPr>
          <w:rFonts w:ascii="Roboto" w:hAnsi="Roboto"/>
        </w:rPr>
        <w:t xml:space="preserve"> </w:t>
      </w:r>
      <w:r w:rsidR="00056402">
        <w:rPr>
          <w:rFonts w:ascii="Roboto" w:hAnsi="Roboto"/>
        </w:rPr>
        <w:t xml:space="preserve">Šiek tiek geresnė situacija Švedijos, Estijos, Lenkijos rinkose – pastarojoje eksportas muša rekordus, bet augimo tempas akivaizdžiai lėtėja. </w:t>
      </w:r>
    </w:p>
    <w:p w14:paraId="7572D32C" w14:textId="260882E3" w:rsidR="008E1D9A" w:rsidRDefault="00056402" w:rsidP="00D9438A">
      <w:pPr>
        <w:jc w:val="both"/>
        <w:rPr>
          <w:rFonts w:ascii="Roboto" w:hAnsi="Roboto"/>
        </w:rPr>
      </w:pPr>
      <w:r>
        <w:rPr>
          <w:rFonts w:ascii="Roboto" w:hAnsi="Roboto"/>
        </w:rPr>
        <w:t>„</w:t>
      </w:r>
      <w:r w:rsidRPr="008E1D9A">
        <w:rPr>
          <w:rFonts w:ascii="Roboto" w:hAnsi="Roboto"/>
        </w:rPr>
        <w:t>Vokietija yra atskira istorija – čia reikia pridėti ir struktūrines vokiečių pramonės bėdas, uždaromas gamyklas</w:t>
      </w:r>
      <w:r>
        <w:rPr>
          <w:rFonts w:ascii="Roboto" w:hAnsi="Roboto"/>
        </w:rPr>
        <w:t xml:space="preserve">. Vis dėlto, </w:t>
      </w:r>
      <w:r w:rsidRPr="00056402">
        <w:rPr>
          <w:rFonts w:ascii="Roboto" w:hAnsi="Roboto"/>
        </w:rPr>
        <w:t>matome, kad kai kuriose palūkanoms jautriose rinkose jau fiksuojami pirmi stabilizacijos elementai, ir tai yra geras signalas</w:t>
      </w:r>
      <w:r>
        <w:rPr>
          <w:rFonts w:ascii="Roboto" w:hAnsi="Roboto"/>
        </w:rPr>
        <w:t>, ypač</w:t>
      </w:r>
      <w:r w:rsidRPr="00056402">
        <w:rPr>
          <w:rFonts w:ascii="Roboto" w:hAnsi="Roboto"/>
        </w:rPr>
        <w:t xml:space="preserve"> turint omenyje, kad palūkanos Europos kontinente toliau mažės</w:t>
      </w:r>
      <w:r>
        <w:rPr>
          <w:rFonts w:ascii="Roboto" w:hAnsi="Roboto"/>
        </w:rPr>
        <w:t>“, – pabrėžia V. Žagūnis.</w:t>
      </w:r>
    </w:p>
    <w:p w14:paraId="38060EFE" w14:textId="1017DF05" w:rsidR="00056402" w:rsidRDefault="00056402" w:rsidP="00D9438A">
      <w:pPr>
        <w:jc w:val="both"/>
        <w:rPr>
          <w:rFonts w:ascii="Roboto" w:hAnsi="Roboto"/>
        </w:rPr>
      </w:pPr>
      <w:r>
        <w:rPr>
          <w:rFonts w:ascii="Roboto" w:hAnsi="Roboto"/>
        </w:rPr>
        <w:t xml:space="preserve">Stipriausiai </w:t>
      </w:r>
      <w:r w:rsidR="006F0D51" w:rsidRPr="00056402">
        <w:rPr>
          <w:rFonts w:ascii="Roboto" w:hAnsi="Roboto"/>
        </w:rPr>
        <w:t xml:space="preserve">Lietuvos krovininio kelių transporto paslaugų rodikliai </w:t>
      </w:r>
      <w:r>
        <w:rPr>
          <w:rFonts w:ascii="Roboto" w:hAnsi="Roboto"/>
        </w:rPr>
        <w:t xml:space="preserve">atrodo į Austriją, Daniją bei Ispaniją. Pastarojoje </w:t>
      </w:r>
      <w:r w:rsidRPr="00056402">
        <w:rPr>
          <w:rFonts w:ascii="Roboto" w:hAnsi="Roboto"/>
        </w:rPr>
        <w:t>eksporto apimtys muša rekordus dėl stipraus Ispanijos ekonomikos ciklo</w:t>
      </w:r>
      <w:r>
        <w:rPr>
          <w:rFonts w:ascii="Roboto" w:hAnsi="Roboto"/>
        </w:rPr>
        <w:t xml:space="preserve"> –</w:t>
      </w:r>
      <w:r w:rsidRPr="00056402">
        <w:rPr>
          <w:rFonts w:ascii="Roboto" w:hAnsi="Roboto"/>
        </w:rPr>
        <w:t xml:space="preserve"> Ispanija </w:t>
      </w:r>
      <w:r>
        <w:rPr>
          <w:rFonts w:ascii="Roboto" w:hAnsi="Roboto"/>
        </w:rPr>
        <w:t xml:space="preserve">ir Lietuva </w:t>
      </w:r>
      <w:r w:rsidRPr="00056402">
        <w:rPr>
          <w:rFonts w:ascii="Roboto" w:hAnsi="Roboto"/>
        </w:rPr>
        <w:t xml:space="preserve">yra ES ekonomikos </w:t>
      </w:r>
      <w:r>
        <w:rPr>
          <w:rFonts w:ascii="Roboto" w:hAnsi="Roboto"/>
        </w:rPr>
        <w:t xml:space="preserve">šviesuliai. </w:t>
      </w:r>
      <w:r w:rsidR="009744D0">
        <w:rPr>
          <w:rFonts w:ascii="Roboto" w:hAnsi="Roboto"/>
        </w:rPr>
        <w:t>Anot V. Žagūnio, vežėjams vertėtų pasvarstyti apie tolimesnę plėtrą būtent į šias rinkas bei atkreipti dėmesį į Švediją ir Estiją.</w:t>
      </w:r>
    </w:p>
    <w:p w14:paraId="60164A39" w14:textId="1E7E3A35" w:rsidR="008047F0" w:rsidRPr="009744D0" w:rsidRDefault="00056402" w:rsidP="00D9438A">
      <w:pPr>
        <w:jc w:val="both"/>
        <w:rPr>
          <w:rFonts w:ascii="Roboto" w:hAnsi="Roboto"/>
        </w:rPr>
      </w:pPr>
      <w:r>
        <w:rPr>
          <w:rFonts w:ascii="Roboto" w:hAnsi="Roboto"/>
        </w:rPr>
        <w:t>„</w:t>
      </w:r>
      <w:r w:rsidR="00D34470">
        <w:rPr>
          <w:rFonts w:ascii="Roboto" w:hAnsi="Roboto"/>
        </w:rPr>
        <w:t xml:space="preserve">Pervežimų </w:t>
      </w:r>
      <w:r w:rsidR="009744D0" w:rsidRPr="00056402">
        <w:rPr>
          <w:rFonts w:ascii="Roboto" w:hAnsi="Roboto"/>
        </w:rPr>
        <w:t xml:space="preserve">pagyvėjimo </w:t>
      </w:r>
      <w:r w:rsidR="009744D0">
        <w:rPr>
          <w:rFonts w:ascii="Roboto" w:hAnsi="Roboto"/>
        </w:rPr>
        <w:t>r</w:t>
      </w:r>
      <w:r w:rsidR="007854AF" w:rsidRPr="00056402">
        <w:rPr>
          <w:rFonts w:ascii="Roboto" w:hAnsi="Roboto"/>
        </w:rPr>
        <w:t xml:space="preserve">ealu tikėtis antrą 2025 m. ketvirtį. </w:t>
      </w:r>
      <w:r w:rsidR="009744D0">
        <w:rPr>
          <w:rFonts w:ascii="Roboto" w:hAnsi="Roboto"/>
        </w:rPr>
        <w:t>Labai tikėtina, kad Europos Centrinis Bankas dėl infliacijos ir ekonomikos sulėtėjimo euro zonoje ir</w:t>
      </w:r>
      <w:r w:rsidR="007854AF" w:rsidRPr="00056402">
        <w:rPr>
          <w:rFonts w:ascii="Roboto" w:hAnsi="Roboto"/>
        </w:rPr>
        <w:t xml:space="preserve"> toliau mažins bazines palūkanas,</w:t>
      </w:r>
      <w:r w:rsidR="009744D0">
        <w:rPr>
          <w:rFonts w:ascii="Roboto" w:hAnsi="Roboto"/>
        </w:rPr>
        <w:t xml:space="preserve"> o </w:t>
      </w:r>
      <w:r w:rsidR="009744D0">
        <w:rPr>
          <w:rFonts w:ascii="Roboto" w:hAnsi="Roboto"/>
        </w:rPr>
        <w:lastRenderedPageBreak/>
        <w:t xml:space="preserve">rinkos prognozuoja, </w:t>
      </w:r>
      <w:r w:rsidR="00D07117" w:rsidRPr="00D07117">
        <w:rPr>
          <w:rFonts w:ascii="Roboto" w:hAnsi="Roboto"/>
        </w:rPr>
        <w:t>kad 2 procentų EURIBOR ribos galime tikėtis jau nuo kitų metų vidurio.</w:t>
      </w:r>
      <w:r w:rsidR="009744D0">
        <w:rPr>
          <w:rFonts w:ascii="Roboto" w:hAnsi="Roboto"/>
        </w:rPr>
        <w:t xml:space="preserve">Todėl </w:t>
      </w:r>
      <w:r w:rsidR="007854AF" w:rsidRPr="00056402">
        <w:rPr>
          <w:rFonts w:ascii="Roboto" w:hAnsi="Roboto"/>
        </w:rPr>
        <w:t>prasidedant pavasariui, turėtume matyti teigiamą sumažėjusių palūkanų poveikį ES statybų ir vartojimo sektori</w:t>
      </w:r>
      <w:r w:rsidR="009744D0">
        <w:rPr>
          <w:rFonts w:ascii="Roboto" w:hAnsi="Roboto"/>
        </w:rPr>
        <w:t>ams</w:t>
      </w:r>
      <w:r w:rsidR="007854AF" w:rsidRPr="00056402">
        <w:rPr>
          <w:rFonts w:ascii="Roboto" w:hAnsi="Roboto"/>
        </w:rPr>
        <w:t>,</w:t>
      </w:r>
      <w:r w:rsidR="009744D0">
        <w:rPr>
          <w:rFonts w:ascii="Roboto" w:hAnsi="Roboto"/>
        </w:rPr>
        <w:t xml:space="preserve"> o tuo pačiu ir </w:t>
      </w:r>
      <w:r w:rsidR="007854AF" w:rsidRPr="00056402">
        <w:rPr>
          <w:rFonts w:ascii="Roboto" w:hAnsi="Roboto"/>
        </w:rPr>
        <w:t>pirmus teigiamus požymius L</w:t>
      </w:r>
      <w:r w:rsidR="009744D0">
        <w:rPr>
          <w:rFonts w:ascii="Roboto" w:hAnsi="Roboto"/>
        </w:rPr>
        <w:t xml:space="preserve">ietovs </w:t>
      </w:r>
      <w:r w:rsidR="007854AF" w:rsidRPr="00056402">
        <w:rPr>
          <w:rFonts w:ascii="Roboto" w:hAnsi="Roboto"/>
        </w:rPr>
        <w:t>krovininio kelių transporto paslaugų rodikliuose</w:t>
      </w:r>
      <w:r w:rsidR="009744D0">
        <w:rPr>
          <w:rFonts w:ascii="Roboto" w:hAnsi="Roboto"/>
        </w:rPr>
        <w:t xml:space="preserve">“, – apibendrina Vaidas Žagūnis. </w:t>
      </w:r>
    </w:p>
    <w:p w14:paraId="2FFAB160" w14:textId="198AB984" w:rsidR="008E1D9A" w:rsidRPr="009744D0" w:rsidRDefault="008E1D9A" w:rsidP="00D9438A">
      <w:pPr>
        <w:jc w:val="both"/>
        <w:rPr>
          <w:rFonts w:ascii="Roboto" w:hAnsi="Roboto"/>
        </w:rPr>
      </w:pPr>
      <w:r w:rsidRPr="009744D0">
        <w:rPr>
          <w:rFonts w:ascii="Roboto" w:hAnsi="Roboto"/>
        </w:rPr>
        <w:t>* Skaičiuojamas keturių ketvirčių slankusis vidurkis</w:t>
      </w:r>
    </w:p>
    <w:sectPr w:rsidR="008E1D9A" w:rsidRPr="009744D0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7C574" w14:textId="77777777" w:rsidR="00D9438A" w:rsidRDefault="00D9438A" w:rsidP="00D9438A">
      <w:pPr>
        <w:spacing w:after="0" w:line="240" w:lineRule="auto"/>
      </w:pPr>
      <w:r>
        <w:separator/>
      </w:r>
    </w:p>
  </w:endnote>
  <w:endnote w:type="continuationSeparator" w:id="0">
    <w:p w14:paraId="1EAC0A54" w14:textId="77777777" w:rsidR="00D9438A" w:rsidRDefault="00D9438A" w:rsidP="00D94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BFDC0" w14:textId="77777777" w:rsidR="00D9438A" w:rsidRDefault="00D9438A" w:rsidP="00D9438A">
      <w:pPr>
        <w:spacing w:after="0" w:line="240" w:lineRule="auto"/>
      </w:pPr>
      <w:r>
        <w:separator/>
      </w:r>
    </w:p>
  </w:footnote>
  <w:footnote w:type="continuationSeparator" w:id="0">
    <w:p w14:paraId="5E9A7AE1" w14:textId="77777777" w:rsidR="00D9438A" w:rsidRDefault="00D9438A" w:rsidP="00D94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96596" w14:textId="4365CCFE" w:rsidR="00D9438A" w:rsidRDefault="00D9438A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3376170C" wp14:editId="515C1467">
          <wp:simplePos x="0" y="0"/>
          <wp:positionH relativeFrom="margin">
            <wp:posOffset>4798337</wp:posOffset>
          </wp:positionH>
          <wp:positionV relativeFrom="paragraph">
            <wp:posOffset>-72358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B1CB9"/>
    <w:multiLevelType w:val="hybridMultilevel"/>
    <w:tmpl w:val="1E8EA8DA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137A71"/>
    <w:multiLevelType w:val="hybridMultilevel"/>
    <w:tmpl w:val="1FCC4DF2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5392495">
    <w:abstractNumId w:val="1"/>
  </w:num>
  <w:num w:numId="2" w16cid:durableId="2076974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1A2"/>
    <w:rsid w:val="00056402"/>
    <w:rsid w:val="0006355D"/>
    <w:rsid w:val="001C1B5B"/>
    <w:rsid w:val="002951A2"/>
    <w:rsid w:val="00362864"/>
    <w:rsid w:val="00381AFC"/>
    <w:rsid w:val="003B209D"/>
    <w:rsid w:val="00451685"/>
    <w:rsid w:val="00470010"/>
    <w:rsid w:val="004C717D"/>
    <w:rsid w:val="006171B2"/>
    <w:rsid w:val="00654359"/>
    <w:rsid w:val="0065792D"/>
    <w:rsid w:val="006F0D51"/>
    <w:rsid w:val="00761431"/>
    <w:rsid w:val="007854AF"/>
    <w:rsid w:val="007B1BF1"/>
    <w:rsid w:val="008047F0"/>
    <w:rsid w:val="0080610C"/>
    <w:rsid w:val="008E1D9A"/>
    <w:rsid w:val="009744D0"/>
    <w:rsid w:val="00A0405B"/>
    <w:rsid w:val="00A27DD6"/>
    <w:rsid w:val="00A41F37"/>
    <w:rsid w:val="00AF3D1C"/>
    <w:rsid w:val="00B45189"/>
    <w:rsid w:val="00B72BCC"/>
    <w:rsid w:val="00C96B10"/>
    <w:rsid w:val="00CF717F"/>
    <w:rsid w:val="00D07117"/>
    <w:rsid w:val="00D34470"/>
    <w:rsid w:val="00D9438A"/>
    <w:rsid w:val="00E40970"/>
    <w:rsid w:val="00E76E77"/>
    <w:rsid w:val="00EB616D"/>
    <w:rsid w:val="00F6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F88AD"/>
  <w15:chartTrackingRefBased/>
  <w15:docId w15:val="{9F01FE5D-4F4B-44AE-A355-674C62377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51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51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51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51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51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51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51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51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51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51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51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51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51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51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51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51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51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51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51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51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51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51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51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51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51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51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1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51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51A2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D3447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711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711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94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38A"/>
  </w:style>
  <w:style w:type="paragraph" w:styleId="Footer">
    <w:name w:val="footer"/>
    <w:basedOn w:val="Normal"/>
    <w:link w:val="FooterChar"/>
    <w:uiPriority w:val="99"/>
    <w:unhideWhenUsed/>
    <w:rsid w:val="00D94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2A473-AFF7-4EED-B62C-362ED1C9C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3371</Characters>
  <Application>Microsoft Office Word</Application>
  <DocSecurity>0</DocSecurity>
  <Lines>47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Aleksandras Izgorodinas</dc:creator>
  <cp:keywords/>
  <dc:description/>
  <cp:lastModifiedBy>Mingailė Gulbinauskaitė</cp:lastModifiedBy>
  <cp:revision>2</cp:revision>
  <dcterms:created xsi:type="dcterms:W3CDTF">2024-10-16T06:25:00Z</dcterms:created>
  <dcterms:modified xsi:type="dcterms:W3CDTF">2024-10-16T06:25:00Z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2024-10-01T12:35:31Z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54a76b63-755d-4b4e-888d-5263a4096201</vt:lpwstr>
  </property>
  <property fmtid="{D5CDD505-2E9C-101B-9397-08002B2CF9AE}" pid="8" name="MSIP_Label_0ad73909-fe4c-4ea4-a237-8cae65968fdb_ContentBits">
    <vt:lpwstr>0</vt:lpwstr>
  </property>
</Properties>
</file>