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29A5C" w14:textId="77777777" w:rsidR="00C858F0" w:rsidRPr="00C00C20" w:rsidRDefault="00C858F0" w:rsidP="00C858F0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C00C20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0AD78D41" w14:textId="679E41E5" w:rsidR="00C858F0" w:rsidRPr="00C858F0" w:rsidRDefault="00C858F0" w:rsidP="00C858F0">
      <w:pPr>
        <w:spacing w:after="240"/>
        <w:rPr>
          <w:rFonts w:ascii="Roboto" w:eastAsia="Arial" w:hAnsi="Roboto" w:cs="Arial"/>
          <w:color w:val="000000" w:themeColor="text1"/>
          <w:lang w:val="lt-LT"/>
        </w:rPr>
      </w:pPr>
      <w:r w:rsidRPr="00C00C20">
        <w:rPr>
          <w:rFonts w:ascii="Roboto" w:hAnsi="Roboto" w:cs="Arial"/>
          <w:color w:val="000000" w:themeColor="text1"/>
          <w:lang w:val="lt-LT"/>
        </w:rPr>
        <w:t xml:space="preserve">2024 m. </w:t>
      </w:r>
      <w:r w:rsidRPr="00940461">
        <w:rPr>
          <w:rFonts w:ascii="Roboto" w:hAnsi="Roboto" w:cs="Arial"/>
          <w:color w:val="000000" w:themeColor="text1"/>
          <w:lang w:val="lt-LT"/>
        </w:rPr>
        <w:t xml:space="preserve">spalio </w:t>
      </w:r>
      <w:r>
        <w:rPr>
          <w:rFonts w:ascii="Roboto" w:hAnsi="Roboto" w:cs="Arial"/>
          <w:color w:val="000000" w:themeColor="text1"/>
          <w:lang w:val="lt-LT"/>
        </w:rPr>
        <w:t>22</w:t>
      </w:r>
      <w:r w:rsidRPr="00940461">
        <w:rPr>
          <w:rFonts w:ascii="Roboto" w:hAnsi="Roboto" w:cs="Arial"/>
          <w:color w:val="000000" w:themeColor="text1"/>
          <w:lang w:val="lt-LT"/>
        </w:rPr>
        <w:t xml:space="preserve"> d.</w:t>
      </w:r>
    </w:p>
    <w:p w14:paraId="7758F8C6" w14:textId="549C4A34" w:rsidR="008D32D0" w:rsidRDefault="008C2E7B" w:rsidP="00C858F0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„Citadele“ bankas: šiemet gyventojai būstui skolinasi maž</w:t>
      </w:r>
      <w:r w:rsidR="00332EDA">
        <w:rPr>
          <w:rFonts w:ascii="Roboto" w:hAnsi="Roboto"/>
          <w:b/>
          <w:bCs/>
          <w:lang w:val="lt-LT"/>
        </w:rPr>
        <w:t>esnes sumas</w:t>
      </w:r>
      <w:r>
        <w:rPr>
          <w:rFonts w:ascii="Roboto" w:hAnsi="Roboto"/>
          <w:b/>
          <w:bCs/>
          <w:lang w:val="lt-LT"/>
        </w:rPr>
        <w:t>, ilgesniam laikotarpiui</w:t>
      </w:r>
    </w:p>
    <w:p w14:paraId="0B42A33B" w14:textId="55E618F9" w:rsidR="00B835F7" w:rsidRPr="00F719DB" w:rsidRDefault="00B835F7" w:rsidP="00C858F0">
      <w:pPr>
        <w:jc w:val="both"/>
        <w:rPr>
          <w:rFonts w:ascii="Roboto" w:hAnsi="Roboto"/>
          <w:b/>
          <w:bCs/>
          <w:lang w:val="lt-LT"/>
        </w:rPr>
      </w:pPr>
      <w:r w:rsidRPr="00F719DB">
        <w:rPr>
          <w:rFonts w:ascii="Roboto" w:hAnsi="Roboto"/>
          <w:b/>
          <w:bCs/>
          <w:lang w:val="lt-LT"/>
        </w:rPr>
        <w:t xml:space="preserve">Šiemet būstui žymiai aktyviau skolinasi jaunesni nei 30 m. Baltijos šalių gyventojai, rodo „Citadele“ banko pirmų devynių 2024 m. mėnesių būsto paskolų duomenys. </w:t>
      </w:r>
      <w:r w:rsidR="00F719DB" w:rsidRPr="00F719DB">
        <w:rPr>
          <w:rFonts w:ascii="Roboto" w:hAnsi="Roboto"/>
          <w:b/>
          <w:bCs/>
          <w:lang w:val="lt-LT"/>
        </w:rPr>
        <w:t xml:space="preserve">Vis </w:t>
      </w:r>
      <w:r w:rsidR="00944C9D" w:rsidRPr="00F719DB">
        <w:rPr>
          <w:rFonts w:ascii="Roboto" w:hAnsi="Roboto"/>
          <w:b/>
          <w:bCs/>
          <w:lang w:val="lt-LT"/>
        </w:rPr>
        <w:t xml:space="preserve">dar aukštų bazinių palūkanų kontekste </w:t>
      </w:r>
      <w:r w:rsidR="00F719DB" w:rsidRPr="00F719DB">
        <w:rPr>
          <w:rFonts w:ascii="Roboto" w:hAnsi="Roboto"/>
          <w:b/>
          <w:bCs/>
          <w:lang w:val="lt-LT"/>
        </w:rPr>
        <w:t xml:space="preserve">Lietuvos </w:t>
      </w:r>
      <w:r w:rsidR="00944C9D" w:rsidRPr="00F719DB">
        <w:rPr>
          <w:rFonts w:ascii="Roboto" w:hAnsi="Roboto"/>
          <w:b/>
          <w:bCs/>
          <w:lang w:val="lt-LT"/>
        </w:rPr>
        <w:t xml:space="preserve">gyventojai </w:t>
      </w:r>
      <w:r w:rsidR="00F719DB" w:rsidRPr="00F719DB">
        <w:rPr>
          <w:rFonts w:ascii="Roboto" w:hAnsi="Roboto"/>
          <w:b/>
          <w:bCs/>
          <w:lang w:val="lt-LT"/>
        </w:rPr>
        <w:t xml:space="preserve">skolinasi mažesnes sumas, ilgina paskolos grąžinimo laikotarpį. </w:t>
      </w:r>
    </w:p>
    <w:p w14:paraId="0607391A" w14:textId="50851353" w:rsidR="00BE1E30" w:rsidRDefault="009F6942" w:rsidP="00C858F0">
      <w:pPr>
        <w:jc w:val="both"/>
        <w:rPr>
          <w:rFonts w:ascii="Roboto" w:hAnsi="Roboto"/>
          <w:lang w:val="lt-LT"/>
        </w:rPr>
      </w:pPr>
      <w:r w:rsidRPr="000F3AF7">
        <w:rPr>
          <w:rFonts w:ascii="Roboto" w:hAnsi="Roboto"/>
          <w:lang w:val="lt-LT"/>
        </w:rPr>
        <w:t xml:space="preserve">Vidutinė 9 mėnesių būsto paskolos suma 2024 m. Lietuvoje buvo </w:t>
      </w:r>
      <w:r w:rsidR="002A3073" w:rsidRPr="000F3AF7">
        <w:rPr>
          <w:rFonts w:ascii="Roboto" w:hAnsi="Roboto"/>
          <w:lang w:val="lt-LT"/>
        </w:rPr>
        <w:t>120 tūkst. eurų (2023 m. –139 tūkst.), Estijoje – 154 tūkst. (2023 m. – 148 tūkst.), Latvijoje – 84 tūkst. (2023 m. – 78 tūkst.)</w:t>
      </w:r>
      <w:r w:rsidR="0009495B">
        <w:rPr>
          <w:rFonts w:ascii="Roboto" w:hAnsi="Roboto"/>
          <w:lang w:val="lt-LT"/>
        </w:rPr>
        <w:t>, tačiau</w:t>
      </w:r>
      <w:r w:rsidR="002A3073" w:rsidRPr="000F3AF7">
        <w:rPr>
          <w:rFonts w:ascii="Roboto" w:hAnsi="Roboto"/>
          <w:lang w:val="lt-LT"/>
        </w:rPr>
        <w:t xml:space="preserve"> reikšmingai padidėjo vidutinis paskolos grąžinimo terminas</w:t>
      </w:r>
      <w:r w:rsidR="0009495B">
        <w:rPr>
          <w:rFonts w:ascii="Roboto" w:hAnsi="Roboto"/>
          <w:lang w:val="lt-LT"/>
        </w:rPr>
        <w:t>.</w:t>
      </w:r>
      <w:r w:rsidR="002A3073" w:rsidRPr="000F3AF7">
        <w:rPr>
          <w:rFonts w:ascii="Roboto" w:hAnsi="Roboto"/>
          <w:lang w:val="lt-LT"/>
        </w:rPr>
        <w:t xml:space="preserve"> </w:t>
      </w:r>
      <w:r w:rsidR="0009495B">
        <w:rPr>
          <w:rFonts w:ascii="Roboto" w:hAnsi="Roboto"/>
          <w:lang w:val="lt-LT"/>
        </w:rPr>
        <w:t>P</w:t>
      </w:r>
      <w:r w:rsidR="002A3073" w:rsidRPr="000F3AF7">
        <w:rPr>
          <w:rFonts w:ascii="Roboto" w:hAnsi="Roboto"/>
          <w:lang w:val="lt-LT"/>
        </w:rPr>
        <w:t>irmus</w:t>
      </w:r>
      <w:r w:rsidR="0009495B">
        <w:rPr>
          <w:rFonts w:ascii="Roboto" w:hAnsi="Roboto"/>
          <w:lang w:val="lt-LT"/>
        </w:rPr>
        <w:t xml:space="preserve"> devynis</w:t>
      </w:r>
      <w:r w:rsidR="002A3073" w:rsidRPr="000F3AF7">
        <w:rPr>
          <w:rFonts w:ascii="Roboto" w:hAnsi="Roboto"/>
          <w:lang w:val="lt-LT"/>
        </w:rPr>
        <w:t xml:space="preserve"> šių metų mėnesius Lietuvoje jis buvo 22 m. (2023 m. – 15 m.), Latvijoje – 20 m. (2023 m. – 17 m.), Estijoje – 26 m. (2023 m. – 22 m.)</w:t>
      </w:r>
    </w:p>
    <w:p w14:paraId="044DB657" w14:textId="77777777" w:rsidR="00D52037" w:rsidRDefault="00D52037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Tuo metu v</w:t>
      </w:r>
      <w:r w:rsidRPr="000F3AF7">
        <w:rPr>
          <w:rFonts w:ascii="Roboto" w:hAnsi="Roboto"/>
          <w:lang w:val="lt-LT"/>
        </w:rPr>
        <w:t xml:space="preserve">idutinė mėnesio įmoka Lietuvoje </w:t>
      </w:r>
      <w:r>
        <w:rPr>
          <w:rFonts w:ascii="Roboto" w:hAnsi="Roboto"/>
          <w:lang w:val="lt-LT"/>
        </w:rPr>
        <w:t xml:space="preserve">šiemet </w:t>
      </w:r>
      <w:r w:rsidRPr="000F3AF7">
        <w:rPr>
          <w:rFonts w:ascii="Roboto" w:hAnsi="Roboto"/>
          <w:lang w:val="lt-LT"/>
        </w:rPr>
        <w:t xml:space="preserve">siekė </w:t>
      </w:r>
      <w:r>
        <w:rPr>
          <w:rFonts w:ascii="Roboto" w:hAnsi="Roboto"/>
          <w:lang w:val="lt-LT"/>
        </w:rPr>
        <w:t>712 eurų (pernai – 827 eurus), Latvijoje – 511 eurų (pernai – 533 eurus), Estijoje – 863 eurus (pernai – 944 eurus).</w:t>
      </w:r>
    </w:p>
    <w:p w14:paraId="757A3CA0" w14:textId="77777777" w:rsidR="00D03536" w:rsidRDefault="00D52037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796C03">
        <w:rPr>
          <w:rFonts w:ascii="Roboto" w:hAnsi="Roboto"/>
          <w:lang w:val="lt-LT"/>
        </w:rPr>
        <w:t>Atsigavo L</w:t>
      </w:r>
      <w:r>
        <w:rPr>
          <w:rFonts w:ascii="Roboto" w:hAnsi="Roboto"/>
          <w:lang w:val="lt-LT"/>
        </w:rPr>
        <w:t>ietuvos</w:t>
      </w:r>
      <w:r w:rsidR="00796C03">
        <w:rPr>
          <w:rFonts w:ascii="Roboto" w:hAnsi="Roboto"/>
          <w:lang w:val="lt-LT"/>
        </w:rPr>
        <w:t xml:space="preserve"> gyventojų perkamoji galia, </w:t>
      </w:r>
      <w:r>
        <w:rPr>
          <w:rFonts w:ascii="Roboto" w:hAnsi="Roboto"/>
          <w:lang w:val="lt-LT"/>
        </w:rPr>
        <w:t>o jų</w:t>
      </w:r>
      <w:r w:rsidR="00796C03">
        <w:rPr>
          <w:rFonts w:ascii="Roboto" w:hAnsi="Roboto"/>
          <w:lang w:val="lt-LT"/>
        </w:rPr>
        <w:t xml:space="preserve"> nuomonė apie savo finans</w:t>
      </w:r>
      <w:r>
        <w:rPr>
          <w:rFonts w:ascii="Roboto" w:hAnsi="Roboto"/>
          <w:lang w:val="lt-LT"/>
        </w:rPr>
        <w:t>ų perspektyvas –</w:t>
      </w:r>
      <w:r w:rsidR="00796C03">
        <w:rPr>
          <w:rFonts w:ascii="Roboto" w:hAnsi="Roboto"/>
          <w:lang w:val="lt-LT"/>
        </w:rPr>
        <w:t xml:space="preserve"> geresnė nei prieš</w:t>
      </w:r>
      <w:r>
        <w:rPr>
          <w:rFonts w:ascii="Roboto" w:hAnsi="Roboto"/>
          <w:lang w:val="lt-LT"/>
        </w:rPr>
        <w:t xml:space="preserve"> COVID-19 pandemiją</w:t>
      </w:r>
      <w:r w:rsidR="00796C03">
        <w:rPr>
          <w:rFonts w:ascii="Roboto" w:hAnsi="Roboto"/>
          <w:lang w:val="lt-LT"/>
        </w:rPr>
        <w:t xml:space="preserve">. </w:t>
      </w:r>
      <w:r w:rsidR="00443089">
        <w:rPr>
          <w:rFonts w:ascii="Roboto" w:hAnsi="Roboto"/>
          <w:lang w:val="lt-LT"/>
        </w:rPr>
        <w:t>Atstatę savo finansinius rezervus</w:t>
      </w:r>
      <w:r w:rsidR="003F59BD">
        <w:rPr>
          <w:rFonts w:ascii="Roboto" w:hAnsi="Roboto"/>
          <w:lang w:val="lt-LT"/>
        </w:rPr>
        <w:t xml:space="preserve"> ir įvertindami vis dar aukštų palūkanų kontekstą</w:t>
      </w:r>
      <w:r w:rsidR="00443089">
        <w:rPr>
          <w:rFonts w:ascii="Roboto" w:hAnsi="Roboto"/>
          <w:lang w:val="lt-LT"/>
        </w:rPr>
        <w:t>, gyvent</w:t>
      </w:r>
      <w:r w:rsidR="009E0456">
        <w:rPr>
          <w:rFonts w:ascii="Roboto" w:hAnsi="Roboto"/>
          <w:lang w:val="lt-LT"/>
        </w:rPr>
        <w:t>ojai didesnę santaupų dalį skiria pradiniam įnašui</w:t>
      </w:r>
      <w:r w:rsidR="002224F1">
        <w:rPr>
          <w:rFonts w:ascii="Roboto" w:hAnsi="Roboto"/>
          <w:lang w:val="lt-LT"/>
        </w:rPr>
        <w:t xml:space="preserve">. Be to, Baltijos šalių gyventojus jau realiai paveikė ir euro zonoje prasidėjęs bazinių palūkanų ciklas. Dėl šių priežasčių </w:t>
      </w:r>
      <w:r w:rsidR="003F59BD">
        <w:rPr>
          <w:rFonts w:ascii="Roboto" w:hAnsi="Roboto"/>
          <w:lang w:val="lt-LT"/>
        </w:rPr>
        <w:t xml:space="preserve">šiemet ir matome reikšmingai mažesnę vidutinę paskolos sumą“, – teigia „Citadele“ banko </w:t>
      </w:r>
      <w:r w:rsidR="00B428B1">
        <w:rPr>
          <w:rFonts w:ascii="Roboto" w:hAnsi="Roboto"/>
          <w:lang w:val="lt-LT"/>
        </w:rPr>
        <w:t>Lietuvos filialo vadovas Darius Burdaitis.</w:t>
      </w:r>
    </w:p>
    <w:p w14:paraId="518845DD" w14:textId="5AFCE690" w:rsidR="004F2213" w:rsidRDefault="004F2213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Dariaus Burdaičio, skolindamiesi ilgesniam laikotarpiui, gyventojai sumokės daugiau palūkanų, tačiau sumažins mėnesio įmoką, o tuo pačiu – ir spaudimą mėnesio biudžetui. </w:t>
      </w:r>
    </w:p>
    <w:p w14:paraId="017F5963" w14:textId="33A7AD0F" w:rsidR="00C3683B" w:rsidRPr="00BC2FE0" w:rsidRDefault="004F2213" w:rsidP="00C858F0">
      <w:pPr>
        <w:jc w:val="both"/>
        <w:rPr>
          <w:rFonts w:ascii="Roboto" w:hAnsi="Roboto"/>
          <w:lang w:val="lt-LT"/>
        </w:rPr>
      </w:pPr>
      <w:r w:rsidRPr="00BC2FE0">
        <w:rPr>
          <w:rFonts w:ascii="Roboto" w:hAnsi="Roboto"/>
          <w:lang w:val="lt-LT"/>
        </w:rPr>
        <w:t>Jis priduria</w:t>
      </w:r>
      <w:r w:rsidR="00D03536" w:rsidRPr="00BC2FE0">
        <w:rPr>
          <w:rFonts w:ascii="Roboto" w:hAnsi="Roboto"/>
          <w:lang w:val="lt-LT"/>
        </w:rPr>
        <w:t>,</w:t>
      </w:r>
      <w:r w:rsidRPr="00BC2FE0">
        <w:rPr>
          <w:rFonts w:ascii="Roboto" w:hAnsi="Roboto"/>
          <w:lang w:val="lt-LT"/>
        </w:rPr>
        <w:t xml:space="preserve"> kad</w:t>
      </w:r>
      <w:r w:rsidR="00D03536" w:rsidRPr="00BC2FE0">
        <w:rPr>
          <w:rFonts w:ascii="Roboto" w:hAnsi="Roboto"/>
          <w:lang w:val="lt-LT"/>
        </w:rPr>
        <w:t xml:space="preserve"> Europos Centriniam Bankui tęsiant bazinių palūkanų mažinimo ciklą, </w:t>
      </w:r>
      <w:r w:rsidR="00495D01" w:rsidRPr="00BC2FE0">
        <w:rPr>
          <w:rFonts w:ascii="Roboto" w:hAnsi="Roboto"/>
          <w:lang w:val="lt-LT"/>
        </w:rPr>
        <w:t xml:space="preserve">gyventojai gali tikėtis dar labiau sumažėsiančių </w:t>
      </w:r>
      <w:r w:rsidR="00284DEE" w:rsidRPr="00BC2FE0">
        <w:rPr>
          <w:rFonts w:ascii="Roboto" w:hAnsi="Roboto"/>
          <w:lang w:val="lt-LT"/>
        </w:rPr>
        <w:t>palūkanų.</w:t>
      </w:r>
      <w:r w:rsidR="00C3683B" w:rsidRPr="00BC2FE0">
        <w:rPr>
          <w:rFonts w:ascii="Roboto" w:hAnsi="Roboto"/>
          <w:lang w:val="lt-LT"/>
        </w:rPr>
        <w:t xml:space="preserve"> </w:t>
      </w:r>
      <w:r w:rsidR="00D86763" w:rsidRPr="00D86763">
        <w:rPr>
          <w:rFonts w:ascii="Roboto" w:hAnsi="Roboto"/>
          <w:lang w:val="lt-LT"/>
        </w:rPr>
        <w:t xml:space="preserve">2023 m. pabaigoje fiksavus piką, EURIBOR šiuo metu yra reikšmingai sumažėjęs, o naujausios rinkos prognozės rodo, kad 3 mėn. EURIBOR nuo dabartinių 3,2 proc. sumažės iki 2,8 proc. gruodį, iki 2 proc. 2025 m. birželį, o 2025 m. gruodį sieks 1,9 proc. </w:t>
      </w:r>
    </w:p>
    <w:p w14:paraId="39230C4A" w14:textId="25DBBAA6" w:rsidR="00B55885" w:rsidRPr="007435A1" w:rsidRDefault="004327BD" w:rsidP="00C858F0">
      <w:pPr>
        <w:jc w:val="both"/>
        <w:rPr>
          <w:rFonts w:ascii="Roboto" w:hAnsi="Roboto"/>
          <w:lang w:val="en-US"/>
        </w:rPr>
      </w:pPr>
      <w:r w:rsidRPr="00BC2FE0">
        <w:rPr>
          <w:rFonts w:ascii="Roboto" w:hAnsi="Roboto"/>
          <w:lang w:val="lt-LT"/>
        </w:rPr>
        <w:t>„Prasidėjęs EURIBOR mažėjimas atitinkamai atsispindi ir Lietuvos būsto palūkanų statistikoj</w:t>
      </w:r>
      <w:r w:rsidR="00591559" w:rsidRPr="00BC2FE0">
        <w:rPr>
          <w:rFonts w:ascii="Roboto" w:hAnsi="Roboto"/>
          <w:lang w:val="lt-LT"/>
        </w:rPr>
        <w:t xml:space="preserve">e </w:t>
      </w:r>
      <w:r w:rsidR="0061501C" w:rsidRPr="00BC2FE0">
        <w:rPr>
          <w:rFonts w:ascii="Roboto" w:hAnsi="Roboto"/>
          <w:lang w:val="lt-LT"/>
        </w:rPr>
        <w:t xml:space="preserve">– </w:t>
      </w:r>
      <w:r w:rsidRPr="00BC2FE0">
        <w:rPr>
          <w:rFonts w:ascii="Roboto" w:hAnsi="Roboto"/>
          <w:lang w:val="lt-LT"/>
        </w:rPr>
        <w:t>Lietuvos banko duomenys rodo, kad rugpjūtį naujų būsto paskolų palūkanos Lietuvoje siekė 5 proc. ir buvo mažiausios per 1,5 m</w:t>
      </w:r>
      <w:r w:rsidR="0080141C" w:rsidRPr="00BC2FE0">
        <w:rPr>
          <w:rFonts w:ascii="Roboto" w:hAnsi="Roboto"/>
          <w:lang w:val="lt-LT"/>
        </w:rPr>
        <w:t>.</w:t>
      </w:r>
      <w:r w:rsidR="00B205C2" w:rsidRPr="00BC2FE0">
        <w:rPr>
          <w:rFonts w:ascii="Roboto" w:hAnsi="Roboto"/>
          <w:lang w:val="lt-LT"/>
        </w:rPr>
        <w:t xml:space="preserve">, o </w:t>
      </w:r>
      <w:r w:rsidRPr="00BC2FE0">
        <w:rPr>
          <w:rFonts w:ascii="Roboto" w:hAnsi="Roboto"/>
          <w:lang w:val="lt-LT"/>
        </w:rPr>
        <w:t>pikas Lietuvoje buvo pasiektas 2023 m. spalį, kai jos siekė 5,9 proc.</w:t>
      </w:r>
      <w:r w:rsidRPr="00BC2FE0">
        <w:rPr>
          <w:rFonts w:ascii="Roboto" w:hAnsi="Roboto"/>
          <w:lang w:val="en-US"/>
        </w:rPr>
        <w:t> </w:t>
      </w:r>
      <w:r w:rsidR="006503F0" w:rsidRPr="00BC2FE0">
        <w:rPr>
          <w:rFonts w:ascii="Roboto" w:hAnsi="Roboto"/>
          <w:lang w:val="lt-LT"/>
        </w:rPr>
        <w:t>Europos Komisijos apklausos taip pat rodo, kad lietuviai geriausiai Baltijos šalyse vertina savo finansų perspektyvas</w:t>
      </w:r>
      <w:r w:rsidR="007435A1" w:rsidRPr="00BC2FE0">
        <w:rPr>
          <w:rFonts w:ascii="Roboto" w:hAnsi="Roboto"/>
          <w:lang w:val="lt-LT"/>
        </w:rPr>
        <w:t>, todėl artimiausiu metu galime tikėtis didesnio aktyvumo būsto paskolų rinkoje“, – sako D. Burdaitis.</w:t>
      </w:r>
      <w:r w:rsidR="007435A1">
        <w:rPr>
          <w:rFonts w:ascii="Roboto" w:hAnsi="Roboto"/>
          <w:lang w:val="lt-LT"/>
        </w:rPr>
        <w:t xml:space="preserve"> </w:t>
      </w:r>
    </w:p>
    <w:p w14:paraId="268AF5C6" w14:textId="2CF6E573" w:rsidR="004C2057" w:rsidRDefault="004C2057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Nors</w:t>
      </w:r>
      <w:r w:rsidRPr="004C2057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 xml:space="preserve">aktyviausiai būstui Baltijos šalyse ir toliau skolinasi 30–49 m. amžiaus grupės gyventojai, per metus stipriai išaugo </w:t>
      </w:r>
      <w:r w:rsidR="00475568">
        <w:rPr>
          <w:rFonts w:ascii="Roboto" w:hAnsi="Roboto"/>
          <w:lang w:val="lt-LT"/>
        </w:rPr>
        <w:t xml:space="preserve">būstui besiskolinančių </w:t>
      </w:r>
      <w:r w:rsidR="000F3AF7">
        <w:rPr>
          <w:rFonts w:ascii="Roboto" w:hAnsi="Roboto"/>
          <w:lang w:val="lt-LT"/>
        </w:rPr>
        <w:t>20–29 m. amžiaus gyventoj</w:t>
      </w:r>
      <w:r w:rsidR="00475568">
        <w:rPr>
          <w:rFonts w:ascii="Roboto" w:hAnsi="Roboto"/>
          <w:lang w:val="lt-LT"/>
        </w:rPr>
        <w:t xml:space="preserve">ų dalis. </w:t>
      </w:r>
      <w:r w:rsidR="000F3AF7">
        <w:rPr>
          <w:rFonts w:ascii="Roboto" w:hAnsi="Roboto"/>
          <w:lang w:val="lt-LT"/>
        </w:rPr>
        <w:t>Pernai tokių klientų paskolų dalis Lietuvoje sudarė 11,7 proc., kai šiemet – 23,7 proc., Latvijoje – 9,8 proc., o šiemet – 18,6 proc., Estijoje – 17,2 proc. o šiemet – 27,4 proc.</w:t>
      </w:r>
    </w:p>
    <w:p w14:paraId="764A23DD" w14:textId="631F9060" w:rsidR="00767641" w:rsidRDefault="00B37C2C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Pasak „Citadele“ banko Lietuvos filialo vadovo, j</w:t>
      </w:r>
      <w:r w:rsidR="00F457BC">
        <w:rPr>
          <w:rFonts w:ascii="Roboto" w:hAnsi="Roboto"/>
          <w:lang w:val="lt-LT"/>
        </w:rPr>
        <w:t xml:space="preserve">aunesni pirkėjai dar neturi sukaupę didelio kapitalo, </w:t>
      </w:r>
      <w:r w:rsidR="003C0EFD">
        <w:rPr>
          <w:rFonts w:ascii="Roboto" w:hAnsi="Roboto"/>
          <w:lang w:val="lt-LT"/>
        </w:rPr>
        <w:t xml:space="preserve">todėl būstui skolinasi, nes negali jo nusipirkti už </w:t>
      </w:r>
      <w:r w:rsidR="00425DF9">
        <w:rPr>
          <w:rFonts w:ascii="Roboto" w:hAnsi="Roboto"/>
          <w:lang w:val="lt-LT"/>
        </w:rPr>
        <w:t xml:space="preserve">parduotą kitą nekilnojamąjį turtą, kas dažniau pasitaiko vyresnių amžiaus grupių atveju. </w:t>
      </w:r>
    </w:p>
    <w:p w14:paraId="476050F2" w14:textId="311061D0" w:rsidR="006B74B6" w:rsidRPr="009E57D3" w:rsidRDefault="0004743E" w:rsidP="00C858F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lastRenderedPageBreak/>
        <w:t>„</w:t>
      </w:r>
      <w:r w:rsidR="009063B0">
        <w:rPr>
          <w:rFonts w:ascii="Roboto" w:hAnsi="Roboto"/>
          <w:lang w:val="lt-LT"/>
        </w:rPr>
        <w:t>Kita vertus, j</w:t>
      </w:r>
      <w:r w:rsidR="00AC5E4C">
        <w:rPr>
          <w:rFonts w:ascii="Roboto" w:hAnsi="Roboto"/>
          <w:lang w:val="lt-LT"/>
        </w:rPr>
        <w:t>eigu tėvai kaupė ir investavo lėšas</w:t>
      </w:r>
      <w:r w:rsidR="008D32D0">
        <w:rPr>
          <w:rFonts w:ascii="Roboto" w:hAnsi="Roboto"/>
          <w:lang w:val="lt-LT"/>
        </w:rPr>
        <w:t xml:space="preserve"> savo vaikų ateičiai</w:t>
      </w:r>
      <w:r w:rsidR="008338BD">
        <w:rPr>
          <w:rFonts w:ascii="Roboto" w:hAnsi="Roboto"/>
          <w:lang w:val="lt-LT"/>
        </w:rPr>
        <w:t>, jau sulaukę pilnamestystės, vaikai gali panaudoti šią sumą</w:t>
      </w:r>
      <w:r w:rsidR="008C0BBD">
        <w:rPr>
          <w:rFonts w:ascii="Roboto" w:hAnsi="Roboto"/>
          <w:lang w:val="lt-LT"/>
        </w:rPr>
        <w:t xml:space="preserve"> </w:t>
      </w:r>
      <w:r w:rsidR="00B37C2C">
        <w:rPr>
          <w:rFonts w:ascii="Roboto" w:hAnsi="Roboto"/>
          <w:lang w:val="lt-LT"/>
        </w:rPr>
        <w:t>įvairiausiems poreikiams, įskaitant ir pradinį įnašą būsto paskolai“, – galimas priežastis vardija Darius Burdaitis.</w:t>
      </w:r>
    </w:p>
    <w:sectPr w:rsidR="006B74B6" w:rsidRPr="009E57D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DA64C" w14:textId="77777777" w:rsidR="00E60F80" w:rsidRDefault="00E60F80" w:rsidP="00BE1E30">
      <w:pPr>
        <w:spacing w:after="0" w:line="240" w:lineRule="auto"/>
      </w:pPr>
      <w:r>
        <w:separator/>
      </w:r>
    </w:p>
  </w:endnote>
  <w:endnote w:type="continuationSeparator" w:id="0">
    <w:p w14:paraId="2BDF03D8" w14:textId="77777777" w:rsidR="00E60F80" w:rsidRDefault="00E60F8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6843E" w14:textId="77777777" w:rsidR="00E60F80" w:rsidRDefault="00E60F80" w:rsidP="00BE1E30">
      <w:pPr>
        <w:spacing w:after="0" w:line="240" w:lineRule="auto"/>
      </w:pPr>
      <w:r>
        <w:separator/>
      </w:r>
    </w:p>
  </w:footnote>
  <w:footnote w:type="continuationSeparator" w:id="0">
    <w:p w14:paraId="2087C834" w14:textId="77777777" w:rsidR="00E60F80" w:rsidRDefault="00E60F8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E4058" w14:textId="1F20AD23" w:rsidR="001C6B5C" w:rsidRDefault="001C6B5C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439EE125" wp14:editId="5A3404A1">
          <wp:simplePos x="0" y="0"/>
          <wp:positionH relativeFrom="margin">
            <wp:posOffset>4851400</wp:posOffset>
          </wp:positionH>
          <wp:positionV relativeFrom="paragraph">
            <wp:posOffset>-241935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42"/>
    <w:rsid w:val="0004743E"/>
    <w:rsid w:val="00054D10"/>
    <w:rsid w:val="0009495B"/>
    <w:rsid w:val="000D6505"/>
    <w:rsid w:val="000F3AF7"/>
    <w:rsid w:val="001161A0"/>
    <w:rsid w:val="00186B42"/>
    <w:rsid w:val="001C6B5C"/>
    <w:rsid w:val="002224F1"/>
    <w:rsid w:val="00240DE0"/>
    <w:rsid w:val="002610C8"/>
    <w:rsid w:val="00284DEE"/>
    <w:rsid w:val="002A3073"/>
    <w:rsid w:val="002D0CE6"/>
    <w:rsid w:val="002D49E7"/>
    <w:rsid w:val="002E49C3"/>
    <w:rsid w:val="00332EDA"/>
    <w:rsid w:val="003741EC"/>
    <w:rsid w:val="003C0EFD"/>
    <w:rsid w:val="003D0A23"/>
    <w:rsid w:val="003E117D"/>
    <w:rsid w:val="003F4164"/>
    <w:rsid w:val="003F59BD"/>
    <w:rsid w:val="00425DF9"/>
    <w:rsid w:val="004327BD"/>
    <w:rsid w:val="00443089"/>
    <w:rsid w:val="00475568"/>
    <w:rsid w:val="00487512"/>
    <w:rsid w:val="00495D01"/>
    <w:rsid w:val="004B007D"/>
    <w:rsid w:val="004B5441"/>
    <w:rsid w:val="004C2057"/>
    <w:rsid w:val="004E4B67"/>
    <w:rsid w:val="004F2213"/>
    <w:rsid w:val="00535D87"/>
    <w:rsid w:val="00591559"/>
    <w:rsid w:val="00592DA7"/>
    <w:rsid w:val="005F6950"/>
    <w:rsid w:val="005F757C"/>
    <w:rsid w:val="0060007E"/>
    <w:rsid w:val="00600ADF"/>
    <w:rsid w:val="0061501C"/>
    <w:rsid w:val="006503F0"/>
    <w:rsid w:val="00660AE5"/>
    <w:rsid w:val="006A6FA2"/>
    <w:rsid w:val="006B74B6"/>
    <w:rsid w:val="007435A1"/>
    <w:rsid w:val="00767641"/>
    <w:rsid w:val="00796C03"/>
    <w:rsid w:val="007A224E"/>
    <w:rsid w:val="007C43F2"/>
    <w:rsid w:val="0080141C"/>
    <w:rsid w:val="00807694"/>
    <w:rsid w:val="00827441"/>
    <w:rsid w:val="008338BD"/>
    <w:rsid w:val="0085711F"/>
    <w:rsid w:val="008A57FF"/>
    <w:rsid w:val="008B29CB"/>
    <w:rsid w:val="008C0BBD"/>
    <w:rsid w:val="008C2E7B"/>
    <w:rsid w:val="008D32D0"/>
    <w:rsid w:val="008E5EA0"/>
    <w:rsid w:val="009063B0"/>
    <w:rsid w:val="00924624"/>
    <w:rsid w:val="00944C9D"/>
    <w:rsid w:val="00945554"/>
    <w:rsid w:val="009C1187"/>
    <w:rsid w:val="009E0456"/>
    <w:rsid w:val="009E57D3"/>
    <w:rsid w:val="009F6942"/>
    <w:rsid w:val="00A217EE"/>
    <w:rsid w:val="00A43DF2"/>
    <w:rsid w:val="00A75A0C"/>
    <w:rsid w:val="00A875AB"/>
    <w:rsid w:val="00A95799"/>
    <w:rsid w:val="00AB4DCE"/>
    <w:rsid w:val="00AC5E4C"/>
    <w:rsid w:val="00B205C2"/>
    <w:rsid w:val="00B22600"/>
    <w:rsid w:val="00B35FD9"/>
    <w:rsid w:val="00B37C2C"/>
    <w:rsid w:val="00B428B1"/>
    <w:rsid w:val="00B55885"/>
    <w:rsid w:val="00B835F7"/>
    <w:rsid w:val="00B94A6F"/>
    <w:rsid w:val="00BC2FE0"/>
    <w:rsid w:val="00BE1E30"/>
    <w:rsid w:val="00C2430B"/>
    <w:rsid w:val="00C3683B"/>
    <w:rsid w:val="00C8016B"/>
    <w:rsid w:val="00C858F0"/>
    <w:rsid w:val="00C945A9"/>
    <w:rsid w:val="00D03536"/>
    <w:rsid w:val="00D52037"/>
    <w:rsid w:val="00D86763"/>
    <w:rsid w:val="00DC25F4"/>
    <w:rsid w:val="00DD4359"/>
    <w:rsid w:val="00E01A0A"/>
    <w:rsid w:val="00E60F80"/>
    <w:rsid w:val="00E96AD6"/>
    <w:rsid w:val="00E97834"/>
    <w:rsid w:val="00EA101C"/>
    <w:rsid w:val="00F16EB0"/>
    <w:rsid w:val="00F457BC"/>
    <w:rsid w:val="00F45DBF"/>
    <w:rsid w:val="00F719DB"/>
    <w:rsid w:val="00FE050A"/>
    <w:rsid w:val="00FE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75ED95"/>
  <w15:chartTrackingRefBased/>
  <w15:docId w15:val="{F4B2393D-D0A7-4D32-933D-52672942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9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9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9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9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9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9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9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9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9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9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9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9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9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9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9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9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9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9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69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9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9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69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69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9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69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69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9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9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694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C6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B5C"/>
  </w:style>
  <w:style w:type="paragraph" w:styleId="Footer">
    <w:name w:val="footer"/>
    <w:basedOn w:val="Normal"/>
    <w:link w:val="FooterChar"/>
    <w:uiPriority w:val="99"/>
    <w:unhideWhenUsed/>
    <w:rsid w:val="001C6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Mingailė Gulbinauskaitė</cp:lastModifiedBy>
  <cp:revision>81</cp:revision>
  <dcterms:created xsi:type="dcterms:W3CDTF">2024-10-04T07:30:00Z</dcterms:created>
  <dcterms:modified xsi:type="dcterms:W3CDTF">2024-10-21T07:47:00Z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2024-10-04T08:06:37Z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4109018b-592d-47d1-937f-2c2a98d438a2</vt:lpwstr>
  </property>
  <property fmtid="{D5CDD505-2E9C-101B-9397-08002B2CF9AE}" pid="8" name="MSIP_Label_0ad73909-fe4c-4ea4-a237-8cae65968fdb_ContentBits">
    <vt:lpwstr>0</vt:lpwstr>
  </property>
</Properties>
</file>