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A0E91" w14:textId="463A7D72" w:rsidR="001D1F76" w:rsidRPr="00C00C20" w:rsidRDefault="001D1F76" w:rsidP="001D1F76">
      <w:pPr>
        <w:spacing w:after="240"/>
        <w:rPr>
          <w:rFonts w:ascii="Roboto" w:eastAsia="Arial" w:hAnsi="Roboto" w:cs="Arial"/>
          <w:b/>
          <w:bCs/>
          <w:color w:val="000000" w:themeColor="text1"/>
        </w:rPr>
      </w:pPr>
      <w:r>
        <w:rPr>
          <w:rFonts w:ascii="Roboto" w:eastAsia="Arial" w:hAnsi="Roboto" w:cs="Arial"/>
          <w:b/>
          <w:bCs/>
          <w:color w:val="000000" w:themeColor="text1"/>
        </w:rPr>
        <w:t>Komentaras</w:t>
      </w:r>
      <w:r w:rsidRPr="00C00C20">
        <w:rPr>
          <w:rFonts w:ascii="Roboto" w:eastAsia="Arial" w:hAnsi="Roboto" w:cs="Arial"/>
          <w:b/>
          <w:bCs/>
          <w:color w:val="000000" w:themeColor="text1"/>
        </w:rPr>
        <w:t xml:space="preserve"> žiniasklaidai</w:t>
      </w:r>
    </w:p>
    <w:p w14:paraId="0AA6702C" w14:textId="71299CE2" w:rsidR="001D1F76" w:rsidRPr="001D1F76" w:rsidRDefault="001D1F76" w:rsidP="001D1F76">
      <w:pPr>
        <w:spacing w:after="240"/>
        <w:rPr>
          <w:rFonts w:ascii="Roboto" w:eastAsia="Arial" w:hAnsi="Roboto" w:cs="Arial"/>
          <w:color w:val="000000" w:themeColor="text1"/>
        </w:rPr>
      </w:pPr>
      <w:r w:rsidRPr="00C00C20">
        <w:rPr>
          <w:rFonts w:ascii="Roboto" w:hAnsi="Roboto" w:cs="Arial"/>
          <w:color w:val="000000" w:themeColor="text1"/>
        </w:rPr>
        <w:t xml:space="preserve">2024 m. </w:t>
      </w:r>
      <w:r>
        <w:rPr>
          <w:rFonts w:ascii="Roboto" w:hAnsi="Roboto" w:cs="Arial"/>
          <w:color w:val="000000" w:themeColor="text1"/>
        </w:rPr>
        <w:t xml:space="preserve">lapkričio </w:t>
      </w:r>
      <w:r>
        <w:rPr>
          <w:rFonts w:ascii="Roboto" w:hAnsi="Roboto" w:cs="Arial"/>
          <w:color w:val="000000" w:themeColor="text1"/>
          <w:lang w:val="en-US"/>
        </w:rPr>
        <w:t>4</w:t>
      </w:r>
      <w:r w:rsidRPr="00940461">
        <w:rPr>
          <w:rFonts w:ascii="Roboto" w:hAnsi="Roboto" w:cs="Arial"/>
          <w:color w:val="000000" w:themeColor="text1"/>
        </w:rPr>
        <w:t xml:space="preserve"> d.</w:t>
      </w:r>
    </w:p>
    <w:p w14:paraId="7A7D9A7C" w14:textId="4039F630" w:rsidR="00DE084A" w:rsidRDefault="00DE084A" w:rsidP="00AE594E">
      <w:pPr>
        <w:jc w:val="both"/>
        <w:rPr>
          <w:b/>
          <w:bCs/>
        </w:rPr>
      </w:pPr>
      <w:r>
        <w:rPr>
          <w:b/>
          <w:bCs/>
        </w:rPr>
        <w:t xml:space="preserve">Aleksandras </w:t>
      </w:r>
      <w:proofErr w:type="spellStart"/>
      <w:r>
        <w:rPr>
          <w:b/>
          <w:bCs/>
        </w:rPr>
        <w:t>Izgorodinas</w:t>
      </w:r>
      <w:proofErr w:type="spellEnd"/>
      <w:r>
        <w:rPr>
          <w:b/>
          <w:bCs/>
        </w:rPr>
        <w:t>. Infliacijos ir palūkanų šokas labiausiai paveikė mažas pajamas gaunančius gyventojus</w:t>
      </w:r>
    </w:p>
    <w:p w14:paraId="14AE3ADF" w14:textId="654E542B" w:rsidR="00DE084A" w:rsidRPr="00DE084A" w:rsidRDefault="00DE084A" w:rsidP="00AE594E">
      <w:pPr>
        <w:jc w:val="both"/>
      </w:pPr>
      <w:r>
        <w:t xml:space="preserve">Aleksandras </w:t>
      </w:r>
      <w:proofErr w:type="spellStart"/>
      <w:r>
        <w:t>Izgorodinas</w:t>
      </w:r>
      <w:proofErr w:type="spellEnd"/>
      <w:r>
        <w:t>, „Citadele“ banko ekonomistas</w:t>
      </w:r>
    </w:p>
    <w:p w14:paraId="25954959" w14:textId="4B6FF4A8" w:rsidR="00AE594E" w:rsidRPr="00726F9C" w:rsidRDefault="00AE594E" w:rsidP="00AE594E">
      <w:pPr>
        <w:jc w:val="both"/>
        <w:rPr>
          <w:b/>
          <w:bCs/>
        </w:rPr>
      </w:pPr>
      <w:r w:rsidRPr="00AE594E">
        <w:rPr>
          <w:b/>
          <w:bCs/>
        </w:rPr>
        <w:t>Rekordinės infliacijos ir palūkanų šoko pasekmes Baltijos šalių gyventojai jaučia iki šiol. Tiesa, situacija kiekvienoje šalyje gerokai skiriasi.</w:t>
      </w:r>
      <w:r w:rsidR="00DE084A">
        <w:rPr>
          <w:b/>
          <w:bCs/>
        </w:rPr>
        <w:t xml:space="preserve"> K</w:t>
      </w:r>
      <w:r w:rsidRPr="00AE594E">
        <w:rPr>
          <w:b/>
          <w:bCs/>
        </w:rPr>
        <w:t>aip ekonominiai iššūkiai praktiškai paveikė gyventojų kasdienybę ir kodėl geriausiai juos atlaikė Lietuvos vartotojai?</w:t>
      </w:r>
    </w:p>
    <w:p w14:paraId="2214A4DC" w14:textId="1EDDD3AD" w:rsidR="00726F9C" w:rsidRDefault="00726F9C" w:rsidP="00726F9C">
      <w:pPr>
        <w:jc w:val="both"/>
      </w:pPr>
      <w:r>
        <w:t>V</w:t>
      </w:r>
      <w:r w:rsidR="00926AF6" w:rsidRPr="00926AF6">
        <w:t xml:space="preserve">artojimo dinamika Baltijos regione </w:t>
      </w:r>
      <w:r>
        <w:t>– s</w:t>
      </w:r>
      <w:r w:rsidR="00926AF6" w:rsidRPr="00926AF6">
        <w:t xml:space="preserve">kirtinga. </w:t>
      </w:r>
      <w:r w:rsidR="003747CD">
        <w:t>Stipriausią tarp visų Baltijos valstybių šiuo metu demonstruoja Lietuva.</w:t>
      </w:r>
      <w:r>
        <w:t xml:space="preserve"> </w:t>
      </w:r>
      <w:r w:rsidR="003747CD">
        <w:t>B</w:t>
      </w:r>
      <w:r>
        <w:t>endros mažmeninės prekybos apimtys yra arti rekordinių ir stabiliai auga. Eurostato duomenys rodo, kad nuo žemiausios 2023 m. kovo mėnesį pasiektos ribos mažmeninės prekybos apimtys</w:t>
      </w:r>
      <w:r>
        <w:rPr>
          <w:lang w:val="en-US"/>
        </w:rPr>
        <w:t xml:space="preserve">* </w:t>
      </w:r>
      <w:r>
        <w:t xml:space="preserve">Lietuvoje išaugo 5,7 proc. </w:t>
      </w:r>
    </w:p>
    <w:p w14:paraId="3C2BCB04" w14:textId="33349718" w:rsidR="00726F9C" w:rsidRDefault="000C63E6" w:rsidP="00726F9C">
      <w:pPr>
        <w:jc w:val="both"/>
      </w:pPr>
      <w:r>
        <w:t>Prasidėjus vartotojų perkamosios galios ir lūkesčių atsigavimui, galima pastebėti pirmus vartojimo atsigavimo požymius: ž</w:t>
      </w:r>
      <w:r w:rsidR="003747CD">
        <w:t xml:space="preserve">emiausią ribą 2023 m. gruodį pasiekęs maisto vartojimas </w:t>
      </w:r>
      <w:r>
        <w:t>nuo to laiko</w:t>
      </w:r>
      <w:r w:rsidR="003747CD">
        <w:t xml:space="preserve"> išaugo 4 proc., o ne maisto prekių perdavimai, žemiausią apyvartą fiksavę 2023 m. sausį, išaugo 6 proc. </w:t>
      </w:r>
      <w:r>
        <w:t>Š</w:t>
      </w:r>
      <w:r w:rsidR="00726F9C">
        <w:t>iuo metu fiksuojamas tolesnis gyventojų finansų būklės gerėjimas ir prasidėjęs bazinių palūkanų karpymas euro zonoje dar labiau palaiko Lietuvos vartojimo lygį.</w:t>
      </w:r>
    </w:p>
    <w:p w14:paraId="73B4FF9C" w14:textId="310779F3" w:rsidR="000C63E6" w:rsidRDefault="000C63E6" w:rsidP="000C63E6">
      <w:pPr>
        <w:jc w:val="both"/>
      </w:pPr>
      <w:r>
        <w:t>Įdomu tai, kad vartojimo apimčių nuosmukis buvo didžiausias maisto prekių srityje, o ne maisto prekių – liko itin aukštame lygyje. Nuo piko 2021 m. rugpjūtį maisto vartojimas Lietuvoje nukrito 10 proc. ir yra toks kaip 2019 m. rugsėjį. Tai galėjo lemti panaikinti COVID-19 apribojimai ir jų sąlygotas maisto vartojimo nuosmukis. Vertinant maisto ir ne maisto prekių vartojimo dinamiką, galima spėti, kad infliacijos ir palūkanų šokas Lietuvoje labiausiai smogė mažas pajamas gaunantiems gyventojams, k</w:t>
      </w:r>
      <w:r w:rsidRPr="00187F62">
        <w:t>as</w:t>
      </w:r>
      <w:r>
        <w:t xml:space="preserve"> </w:t>
      </w:r>
      <w:r w:rsidRPr="00187F62">
        <w:t>reiškia netolygų gyventojų perkamosios galios pasiskirstymą</w:t>
      </w:r>
      <w:r>
        <w:t>. D</w:t>
      </w:r>
      <w:r w:rsidRPr="00187F62">
        <w:t>alis gyventojų</w:t>
      </w:r>
      <w:r>
        <w:t>,</w:t>
      </w:r>
      <w:r w:rsidRPr="00187F62">
        <w:t xml:space="preserve"> nepaisant aukštų palūkanų ir infliacijos</w:t>
      </w:r>
      <w:r>
        <w:t>,</w:t>
      </w:r>
      <w:r w:rsidRPr="00187F62">
        <w:t xml:space="preserve"> nemažino netgi ne maisto prekių vartojimo, tačiau kita</w:t>
      </w:r>
      <w:r>
        <w:t xml:space="preserve">i daliai teko sumažinti savo išlaidas net </w:t>
      </w:r>
      <w:r w:rsidRPr="00187F62">
        <w:t xml:space="preserve">maistui. </w:t>
      </w:r>
    </w:p>
    <w:p w14:paraId="0B62CFFF" w14:textId="3B107C71" w:rsidR="00726F9C" w:rsidRDefault="00DE084A" w:rsidP="00AE594E">
      <w:pPr>
        <w:jc w:val="both"/>
        <w:rPr>
          <w:b/>
          <w:bCs/>
        </w:rPr>
      </w:pPr>
      <w:r>
        <w:rPr>
          <w:b/>
          <w:bCs/>
        </w:rPr>
        <w:t>Latvijoje vartojimas – tarp stagnacijos ir atsigavimo</w:t>
      </w:r>
    </w:p>
    <w:p w14:paraId="4493F419" w14:textId="77777777" w:rsidR="000C63E6" w:rsidRDefault="000C63E6" w:rsidP="000C63E6">
      <w:pPr>
        <w:jc w:val="both"/>
      </w:pPr>
      <w:r>
        <w:t>Latvijoje taip pat matome visai kitokią situaciją, nei būtų galima numatyti, prasidėjus infliacijos ir palūkanų šuoliui – čia bendrą vartojimo apimčių nuosmukį labiausiai lėmė maisto segmentas. Dažniausiai staigus kainų ir palūkanų šuolis labiausiai paveikia ne pirmo būtinumo vartojimą, tačiau šiuo atveju situacija kitokia: ne maisto prekių segmentas Lietuvoje ir Latvijoje gerai atlaikė palūkanų ir infliacijos spaudimą, tačiau stipriai susitraukė maisto prekių segmentas, tad galima daryti išvadą, kad infliacijos šuolis taip pat labiausiai paveikė žemas pajamas gaunančius vartotojus.</w:t>
      </w:r>
    </w:p>
    <w:p w14:paraId="2A54E49A" w14:textId="03FFF646" w:rsidR="000C63E6" w:rsidRDefault="000C63E6" w:rsidP="000C63E6">
      <w:pPr>
        <w:jc w:val="both"/>
      </w:pPr>
      <w:r>
        <w:t xml:space="preserve">Latvijoje nuo piko 2021 m. lapkritį maisto vartojimas nukrito 12 proc. ir dabar yra mažiausias per 7 metus. Panašu, kad čia maisto vartojimo rodiklius nusmukdė ne tik pasibaigusi pandemija ir maisto vartojimo grįžimas į </w:t>
      </w:r>
      <w:proofErr w:type="spellStart"/>
      <w:r>
        <w:t>prieškovidinį</w:t>
      </w:r>
      <w:proofErr w:type="spellEnd"/>
      <w:r>
        <w:t xml:space="preserve"> lygį, bet ir infliacijos spaudimas mažiausias pajamas gaunantiems žmonėms. Tuo pačiu Latvijoje ne maisto vartojimo apimtys vos 2 proc. atsilieka nuo 2023 m. vasarį pasiekto piko. Bet skaičiuojant bendrą mažmeninės prekybos apyvartą, jos apimtys Latvijoje rugpjūtį buvo mažiausios nuo 2023 m. rugsėjo</w:t>
      </w:r>
      <w:r w:rsidR="00232F28">
        <w:t xml:space="preserve"> – </w:t>
      </w:r>
      <w:r>
        <w:t>bendrą mažmeninę prekybą</w:t>
      </w:r>
      <w:r w:rsidR="00232F28">
        <w:t xml:space="preserve"> ir toliau</w:t>
      </w:r>
      <w:r>
        <w:t xml:space="preserve"> </w:t>
      </w:r>
      <w:r w:rsidR="00232F28">
        <w:t>smukdo</w:t>
      </w:r>
      <w:r>
        <w:t xml:space="preserve"> maisto segmentas. </w:t>
      </w:r>
    </w:p>
    <w:p w14:paraId="5661F625" w14:textId="32862B2A" w:rsidR="00232F28" w:rsidRDefault="00DE084A" w:rsidP="00232F28">
      <w:pPr>
        <w:jc w:val="both"/>
        <w:rPr>
          <w:b/>
          <w:bCs/>
        </w:rPr>
      </w:pPr>
      <w:r>
        <w:rPr>
          <w:b/>
          <w:bCs/>
        </w:rPr>
        <w:t>Trapios pozityvios žinios Estijai</w:t>
      </w:r>
    </w:p>
    <w:p w14:paraId="7C712A8F" w14:textId="77777777" w:rsidR="00232F28" w:rsidRDefault="001242D7" w:rsidP="00232F28">
      <w:pPr>
        <w:jc w:val="both"/>
      </w:pPr>
      <w:r>
        <w:t xml:space="preserve">Estijoje mažmeninės prekybos dinamika yra silpniausia Baltijos regione, </w:t>
      </w:r>
      <w:r w:rsidR="009945A2">
        <w:t>skiriasi ir pati vartojimo nuosmukio struktūra</w:t>
      </w:r>
      <w:r w:rsidR="00232F28">
        <w:t>:</w:t>
      </w:r>
      <w:r w:rsidR="009945A2">
        <w:t xml:space="preserve"> Estijoje mažėjo tiek maisto, tiek ir ne maisto</w:t>
      </w:r>
      <w:r w:rsidR="00232F28">
        <w:t xml:space="preserve"> prekių</w:t>
      </w:r>
      <w:r w:rsidR="009945A2">
        <w:t xml:space="preserve"> pardavimai</w:t>
      </w:r>
      <w:r w:rsidR="00232F28">
        <w:t>.</w:t>
      </w:r>
      <w:r w:rsidR="00215194">
        <w:t xml:space="preserve"> </w:t>
      </w:r>
      <w:r w:rsidR="00693C4D">
        <w:t xml:space="preserve">Maisto </w:t>
      </w:r>
      <w:r w:rsidR="00693C4D">
        <w:lastRenderedPageBreak/>
        <w:t xml:space="preserve">mažmeninė prekyba Estijoje yra dešimtadaliu mažesnė nei piko metu </w:t>
      </w:r>
      <w:r w:rsidR="00232F28">
        <w:t xml:space="preserve"> 2</w:t>
      </w:r>
      <w:r w:rsidR="00A74B8C">
        <w:t>022 m. vasar</w:t>
      </w:r>
      <w:r w:rsidR="00232F28">
        <w:t>į, o n</w:t>
      </w:r>
      <w:r w:rsidR="006828A7">
        <w:t xml:space="preserve">e maisto </w:t>
      </w:r>
      <w:r w:rsidR="00232F28">
        <w:t>–</w:t>
      </w:r>
      <w:r w:rsidR="006828A7">
        <w:t xml:space="preserve"> </w:t>
      </w:r>
      <w:r w:rsidR="00764CD3">
        <w:t xml:space="preserve">19 proc. mažesnė nei piko metu </w:t>
      </w:r>
      <w:r w:rsidR="003B2B29">
        <w:t>2022 m. balandį</w:t>
      </w:r>
      <w:r w:rsidR="006F1A05">
        <w:t xml:space="preserve">. </w:t>
      </w:r>
    </w:p>
    <w:p w14:paraId="1092A921" w14:textId="0ADA9689" w:rsidR="001242D7" w:rsidRDefault="006F1A05" w:rsidP="00232F28">
      <w:pPr>
        <w:jc w:val="both"/>
      </w:pPr>
      <w:r>
        <w:t xml:space="preserve">Taigi, skirtingai nuo Lietuvos ir Latvijos, kur ne maisto segmentas puikiai atlaikė </w:t>
      </w:r>
      <w:r w:rsidR="003375AB">
        <w:t xml:space="preserve">infliacijos ir palūkanų spaudimą, Estijoje nukentėjo </w:t>
      </w:r>
      <w:r w:rsidR="00232F28">
        <w:t>abu</w:t>
      </w:r>
      <w:r w:rsidR="003375AB">
        <w:t xml:space="preserve"> segmenta</w:t>
      </w:r>
      <w:r w:rsidR="00232F28">
        <w:t>i</w:t>
      </w:r>
      <w:r w:rsidR="003375AB">
        <w:t>. Tam įtakos turėjo santykinai didesnis Estijos privataus sektoriaus įsiskolinimo lygis</w:t>
      </w:r>
      <w:r w:rsidR="00476FA6">
        <w:t xml:space="preserve"> nei kitose Baltijos valstybėse. </w:t>
      </w:r>
      <w:r w:rsidR="00673433">
        <w:t xml:space="preserve">Estijoje gyventojų paskolų įsipareigojimai </w:t>
      </w:r>
      <w:r w:rsidR="00580CFD">
        <w:t xml:space="preserve">siekia 35 proc. BVP, kai Lietuvoje ir </w:t>
      </w:r>
      <w:r w:rsidR="00CE76F3">
        <w:t>Latvijoje</w:t>
      </w:r>
      <w:r w:rsidR="00580CFD">
        <w:t xml:space="preserve"> – atitinkamai </w:t>
      </w:r>
      <w:r w:rsidR="00CE76F3">
        <w:t xml:space="preserve">22 ir 18 proc. Santykinai didesnė Estijos vartotojų skola lėmė, kad pakilusios palūkanos santykinai labiau </w:t>
      </w:r>
      <w:r w:rsidR="0045691D">
        <w:t>paveikė Estijos ne maisto vartojimo segmentą</w:t>
      </w:r>
      <w:r w:rsidR="00232F28">
        <w:t>.</w:t>
      </w:r>
    </w:p>
    <w:p w14:paraId="697FA6AE" w14:textId="5CFFB283" w:rsidR="00F313BE" w:rsidRDefault="002C374C" w:rsidP="00232F28">
      <w:pPr>
        <w:jc w:val="both"/>
      </w:pPr>
      <w:r>
        <w:t xml:space="preserve">Tačiau pagaliau matome pozityvių naujienų – </w:t>
      </w:r>
      <w:r w:rsidR="000C7783">
        <w:t xml:space="preserve">nors maisto pardavimai Estijoje toliau traukiasi, pradėjo stabilizuotis ne maisto mažmeninės prekybos apimtys, kam įtakos, tikėtina, turėjo </w:t>
      </w:r>
      <w:r w:rsidR="00DF29A4">
        <w:t>prasidėjęs palūkanų karpymas euro zonoje</w:t>
      </w:r>
      <w:r w:rsidR="00A31497">
        <w:t>. Visgi, Europos Komisijos duomenys rodo, kad Estijos vartotojų nuomonė apie jų finansų perspektyvas lieka labai žem</w:t>
      </w:r>
      <w:r w:rsidR="00232F28">
        <w:t>o</w:t>
      </w:r>
      <w:r w:rsidR="00A31497">
        <w:t xml:space="preserve"> lyg</w:t>
      </w:r>
      <w:r w:rsidR="00232F28">
        <w:t>io</w:t>
      </w:r>
      <w:r w:rsidR="00A31497">
        <w:t xml:space="preserve">, tad ne maisto vartojimo atsigavimas Estijoje artimiausiu metu </w:t>
      </w:r>
      <w:r w:rsidR="00232F28">
        <w:t>tikriausiai bus</w:t>
      </w:r>
      <w:r w:rsidR="00A31497">
        <w:t xml:space="preserve"> labai lėtas</w:t>
      </w:r>
      <w:r w:rsidR="002D1F5C">
        <w:t xml:space="preserve">. Be to, kol kas </w:t>
      </w:r>
      <w:r w:rsidR="00232F28">
        <w:t>nėra</w:t>
      </w:r>
      <w:r w:rsidR="002D1F5C">
        <w:t xml:space="preserve"> maisto pardavimų stabilizavimosi, o tai rodo, kad gyventojų finansai lieka pažeidžiami.</w:t>
      </w:r>
    </w:p>
    <w:p w14:paraId="1BFD251F" w14:textId="71CAD5C1" w:rsidR="002C374C" w:rsidRDefault="00232F28" w:rsidP="00232F28">
      <w:pPr>
        <w:jc w:val="both"/>
      </w:pPr>
      <w:r>
        <w:t xml:space="preserve">Panašu, kad </w:t>
      </w:r>
      <w:r w:rsidR="000D2550">
        <w:t xml:space="preserve">dėl aukštų Lietuvos vartotojų lūkesčių </w:t>
      </w:r>
      <w:r>
        <w:t xml:space="preserve">– </w:t>
      </w:r>
      <w:r w:rsidR="000D2550">
        <w:t>Lietuvos vartotojų optimizmo lygis, įskaitant ir nuomonę apie finansų perspektyvas, yra vieni aukščiausių visoje ES</w:t>
      </w:r>
      <w:r>
        <w:t xml:space="preserve"> –</w:t>
      </w:r>
      <w:r w:rsidR="000D2550">
        <w:t xml:space="preserve"> Lietuvoje </w:t>
      </w:r>
      <w:r>
        <w:t xml:space="preserve">ir toliau </w:t>
      </w:r>
      <w:r w:rsidR="000D2550">
        <w:t xml:space="preserve">matysime mažmeninės prekybos sektoriaus atsigavimą. Latvijoje mažmeninės prekybos rinka artimiausiu metu </w:t>
      </w:r>
      <w:r>
        <w:t xml:space="preserve">greičiausiai </w:t>
      </w:r>
      <w:r w:rsidR="000D2550">
        <w:t>toliau balansuos tarp stagnacijos ir nedidelio atsigavimo</w:t>
      </w:r>
      <w:r>
        <w:t xml:space="preserve">, o </w:t>
      </w:r>
      <w:r w:rsidR="000D2550">
        <w:t xml:space="preserve">Estijoje </w:t>
      </w:r>
      <w:r>
        <w:t xml:space="preserve">galime tikėtis </w:t>
      </w:r>
      <w:r w:rsidR="000D2550">
        <w:t>tolesn</w:t>
      </w:r>
      <w:r>
        <w:t>io</w:t>
      </w:r>
      <w:r w:rsidR="000D2550">
        <w:t xml:space="preserve"> laipsnišk</w:t>
      </w:r>
      <w:r>
        <w:t>o</w:t>
      </w:r>
      <w:r w:rsidR="000D2550">
        <w:t xml:space="preserve"> mažmeninės prekybos apimčių stabilizavim</w:t>
      </w:r>
      <w:r>
        <w:t>osi</w:t>
      </w:r>
      <w:r w:rsidR="000D2550">
        <w:t>, tačiau yra rizik</w:t>
      </w:r>
      <w:r>
        <w:t xml:space="preserve">a, kad jis pasibaigs, nes </w:t>
      </w:r>
      <w:r w:rsidR="000D2550">
        <w:t xml:space="preserve">tiek Estijos mažmenininkų, tiek ir Estijos vartotojų lūkesčiai lieka itin trapūs. </w:t>
      </w:r>
    </w:p>
    <w:p w14:paraId="4E1FDF62" w14:textId="77777777" w:rsidR="00232F28" w:rsidRDefault="00232F28" w:rsidP="00232F28">
      <w:pPr>
        <w:jc w:val="both"/>
      </w:pPr>
    </w:p>
    <w:p w14:paraId="347DC2D7" w14:textId="4817A4F3" w:rsidR="00232F28" w:rsidRDefault="00232F28" w:rsidP="00232F28">
      <w:pPr>
        <w:jc w:val="both"/>
      </w:pPr>
      <w:r>
        <w:t>*6 mėn. slankusis vidurkis.</w:t>
      </w:r>
    </w:p>
    <w:p w14:paraId="3EF56003" w14:textId="77777777" w:rsidR="00232F28" w:rsidRDefault="00232F28" w:rsidP="00232F28">
      <w:pPr>
        <w:jc w:val="both"/>
      </w:pPr>
    </w:p>
    <w:sectPr w:rsidR="00232F28">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04C092" w14:textId="77777777" w:rsidR="00A70229" w:rsidRDefault="00A70229" w:rsidP="00971F12">
      <w:pPr>
        <w:spacing w:after="0" w:line="240" w:lineRule="auto"/>
      </w:pPr>
      <w:r>
        <w:separator/>
      </w:r>
    </w:p>
  </w:endnote>
  <w:endnote w:type="continuationSeparator" w:id="0">
    <w:p w14:paraId="6B7E146D" w14:textId="77777777" w:rsidR="00A70229" w:rsidRDefault="00A70229" w:rsidP="00971F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17787F" w14:textId="77777777" w:rsidR="00A70229" w:rsidRDefault="00A70229" w:rsidP="00971F12">
      <w:pPr>
        <w:spacing w:after="0" w:line="240" w:lineRule="auto"/>
      </w:pPr>
      <w:r>
        <w:separator/>
      </w:r>
    </w:p>
  </w:footnote>
  <w:footnote w:type="continuationSeparator" w:id="0">
    <w:p w14:paraId="3ECB04A9" w14:textId="77777777" w:rsidR="00A70229" w:rsidRDefault="00A70229" w:rsidP="00971F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C7FD9" w14:textId="5A591E2C" w:rsidR="00971F12" w:rsidRDefault="00971F12">
    <w:pPr>
      <w:pStyle w:val="Header"/>
    </w:pPr>
    <w:r>
      <w:rPr>
        <w:noProof/>
        <w:color w:val="2B579A"/>
        <w:shd w:val="clear" w:color="auto" w:fill="E6E6E6"/>
      </w:rPr>
      <w:drawing>
        <wp:anchor distT="0" distB="0" distL="114300" distR="114300" simplePos="0" relativeHeight="251659264" behindDoc="0" locked="0" layoutInCell="1" hidden="0" allowOverlap="1" wp14:anchorId="27E75EA5" wp14:editId="356F8BC5">
          <wp:simplePos x="0" y="0"/>
          <wp:positionH relativeFrom="margin">
            <wp:posOffset>4988459</wp:posOffset>
          </wp:positionH>
          <wp:positionV relativeFrom="paragraph">
            <wp:posOffset>-90465</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3539FA"/>
    <w:multiLevelType w:val="hybridMultilevel"/>
    <w:tmpl w:val="B1F45A5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16cid:durableId="1784616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3CD"/>
    <w:rsid w:val="00017A05"/>
    <w:rsid w:val="000A648D"/>
    <w:rsid w:val="000C3E18"/>
    <w:rsid w:val="000C63E6"/>
    <w:rsid w:val="000C7783"/>
    <w:rsid w:val="000D2550"/>
    <w:rsid w:val="001242D7"/>
    <w:rsid w:val="001669F5"/>
    <w:rsid w:val="00187F62"/>
    <w:rsid w:val="001D1F76"/>
    <w:rsid w:val="00204399"/>
    <w:rsid w:val="00215194"/>
    <w:rsid w:val="00232F28"/>
    <w:rsid w:val="002C374C"/>
    <w:rsid w:val="002D1F5C"/>
    <w:rsid w:val="0031028D"/>
    <w:rsid w:val="003375AB"/>
    <w:rsid w:val="003513CD"/>
    <w:rsid w:val="003737C5"/>
    <w:rsid w:val="003747CD"/>
    <w:rsid w:val="0039744B"/>
    <w:rsid w:val="003B209D"/>
    <w:rsid w:val="003B2B29"/>
    <w:rsid w:val="0042457B"/>
    <w:rsid w:val="004551C7"/>
    <w:rsid w:val="0045691D"/>
    <w:rsid w:val="00476FA6"/>
    <w:rsid w:val="004B2401"/>
    <w:rsid w:val="005017A1"/>
    <w:rsid w:val="00580CFD"/>
    <w:rsid w:val="00581E85"/>
    <w:rsid w:val="005F7CA2"/>
    <w:rsid w:val="00625BB0"/>
    <w:rsid w:val="00634A8A"/>
    <w:rsid w:val="006401EA"/>
    <w:rsid w:val="00673433"/>
    <w:rsid w:val="006828A7"/>
    <w:rsid w:val="00693C4D"/>
    <w:rsid w:val="006F1A05"/>
    <w:rsid w:val="00726F9C"/>
    <w:rsid w:val="00747D43"/>
    <w:rsid w:val="00761622"/>
    <w:rsid w:val="00764CD3"/>
    <w:rsid w:val="007659FF"/>
    <w:rsid w:val="007F27DA"/>
    <w:rsid w:val="00814221"/>
    <w:rsid w:val="00833437"/>
    <w:rsid w:val="00922B15"/>
    <w:rsid w:val="00926AF6"/>
    <w:rsid w:val="009706ED"/>
    <w:rsid w:val="00971F12"/>
    <w:rsid w:val="00976505"/>
    <w:rsid w:val="009945A2"/>
    <w:rsid w:val="009B0F11"/>
    <w:rsid w:val="00A07C4F"/>
    <w:rsid w:val="00A31497"/>
    <w:rsid w:val="00A42F83"/>
    <w:rsid w:val="00A4370D"/>
    <w:rsid w:val="00A70229"/>
    <w:rsid w:val="00A74B8C"/>
    <w:rsid w:val="00A775FB"/>
    <w:rsid w:val="00A80F02"/>
    <w:rsid w:val="00A91FE7"/>
    <w:rsid w:val="00AE594E"/>
    <w:rsid w:val="00B215EF"/>
    <w:rsid w:val="00B452C0"/>
    <w:rsid w:val="00C105AB"/>
    <w:rsid w:val="00C8001E"/>
    <w:rsid w:val="00C9609C"/>
    <w:rsid w:val="00CA4C16"/>
    <w:rsid w:val="00CE76F3"/>
    <w:rsid w:val="00D03898"/>
    <w:rsid w:val="00D0414A"/>
    <w:rsid w:val="00D04F48"/>
    <w:rsid w:val="00D61D84"/>
    <w:rsid w:val="00D76715"/>
    <w:rsid w:val="00D90BEE"/>
    <w:rsid w:val="00DE084A"/>
    <w:rsid w:val="00DF29A4"/>
    <w:rsid w:val="00E161F4"/>
    <w:rsid w:val="00E40871"/>
    <w:rsid w:val="00E40970"/>
    <w:rsid w:val="00E76AD3"/>
    <w:rsid w:val="00EF41F8"/>
    <w:rsid w:val="00F313BE"/>
    <w:rsid w:val="00FA7576"/>
    <w:rsid w:val="00FC697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58E2"/>
  <w15:chartTrackingRefBased/>
  <w15:docId w15:val="{16A086EC-0B6A-4674-8692-C736FA943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13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513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513C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513C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513C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513C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513C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513C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513C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13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513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513C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513C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513C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513C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513C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513C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513CD"/>
    <w:rPr>
      <w:rFonts w:eastAsiaTheme="majorEastAsia" w:cstheme="majorBidi"/>
      <w:color w:val="272727" w:themeColor="text1" w:themeTint="D8"/>
    </w:rPr>
  </w:style>
  <w:style w:type="paragraph" w:styleId="Title">
    <w:name w:val="Title"/>
    <w:basedOn w:val="Normal"/>
    <w:next w:val="Normal"/>
    <w:link w:val="TitleChar"/>
    <w:uiPriority w:val="10"/>
    <w:qFormat/>
    <w:rsid w:val="003513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13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13C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13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13CD"/>
    <w:pPr>
      <w:spacing w:before="160"/>
      <w:jc w:val="center"/>
    </w:pPr>
    <w:rPr>
      <w:i/>
      <w:iCs/>
      <w:color w:val="404040" w:themeColor="text1" w:themeTint="BF"/>
    </w:rPr>
  </w:style>
  <w:style w:type="character" w:customStyle="1" w:styleId="QuoteChar">
    <w:name w:val="Quote Char"/>
    <w:basedOn w:val="DefaultParagraphFont"/>
    <w:link w:val="Quote"/>
    <w:uiPriority w:val="29"/>
    <w:rsid w:val="003513CD"/>
    <w:rPr>
      <w:i/>
      <w:iCs/>
      <w:color w:val="404040" w:themeColor="text1" w:themeTint="BF"/>
    </w:rPr>
  </w:style>
  <w:style w:type="paragraph" w:styleId="ListParagraph">
    <w:name w:val="List Paragraph"/>
    <w:basedOn w:val="Normal"/>
    <w:uiPriority w:val="34"/>
    <w:qFormat/>
    <w:rsid w:val="003513CD"/>
    <w:pPr>
      <w:ind w:left="720"/>
      <w:contextualSpacing/>
    </w:pPr>
  </w:style>
  <w:style w:type="character" w:styleId="IntenseEmphasis">
    <w:name w:val="Intense Emphasis"/>
    <w:basedOn w:val="DefaultParagraphFont"/>
    <w:uiPriority w:val="21"/>
    <w:qFormat/>
    <w:rsid w:val="003513CD"/>
    <w:rPr>
      <w:i/>
      <w:iCs/>
      <w:color w:val="0F4761" w:themeColor="accent1" w:themeShade="BF"/>
    </w:rPr>
  </w:style>
  <w:style w:type="paragraph" w:styleId="IntenseQuote">
    <w:name w:val="Intense Quote"/>
    <w:basedOn w:val="Normal"/>
    <w:next w:val="Normal"/>
    <w:link w:val="IntenseQuoteChar"/>
    <w:uiPriority w:val="30"/>
    <w:qFormat/>
    <w:rsid w:val="003513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513CD"/>
    <w:rPr>
      <w:i/>
      <w:iCs/>
      <w:color w:val="0F4761" w:themeColor="accent1" w:themeShade="BF"/>
    </w:rPr>
  </w:style>
  <w:style w:type="character" w:styleId="IntenseReference">
    <w:name w:val="Intense Reference"/>
    <w:basedOn w:val="DefaultParagraphFont"/>
    <w:uiPriority w:val="32"/>
    <w:qFormat/>
    <w:rsid w:val="003513CD"/>
    <w:rPr>
      <w:b/>
      <w:bCs/>
      <w:smallCaps/>
      <w:color w:val="0F4761" w:themeColor="accent1" w:themeShade="BF"/>
      <w:spacing w:val="5"/>
    </w:rPr>
  </w:style>
  <w:style w:type="paragraph" w:styleId="Header">
    <w:name w:val="header"/>
    <w:basedOn w:val="Normal"/>
    <w:link w:val="HeaderChar"/>
    <w:uiPriority w:val="99"/>
    <w:unhideWhenUsed/>
    <w:rsid w:val="00971F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F12"/>
  </w:style>
  <w:style w:type="paragraph" w:styleId="Footer">
    <w:name w:val="footer"/>
    <w:basedOn w:val="Normal"/>
    <w:link w:val="FooterChar"/>
    <w:uiPriority w:val="99"/>
    <w:unhideWhenUsed/>
    <w:rsid w:val="00971F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F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383</TotalTime>
  <Pages>2</Pages>
  <Words>791</Words>
  <Characters>4511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Aleksandras Izgorodinas</dc:creator>
  <cp:keywords/>
  <dc:description/>
  <cp:lastModifiedBy>Mingailė Gulbinauskaitė</cp:lastModifiedBy>
  <cp:revision>80</cp:revision>
  <dcterms:created xsi:type="dcterms:W3CDTF">2024-10-16T09:06:00Z</dcterms:created>
  <dcterms:modified xsi:type="dcterms:W3CDTF">2024-11-04T07:07:00Z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2024-10-16T15:04:49Z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2c0ff16e-530d-4da9-ad63-bfcbaeacbaaa</vt:lpwstr>
  </property>
  <property fmtid="{D5CDD505-2E9C-101B-9397-08002B2CF9AE}" pid="8" name="MSIP_Label_0ad73909-fe4c-4ea4-a237-8cae65968fdb_ContentBits">
    <vt:lpwstr>0</vt:lpwstr>
  </property>
</Properties>
</file>