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B06BF" w14:textId="70386484" w:rsidR="00DC6EE0" w:rsidRPr="00E351D9" w:rsidRDefault="00DC6EE0" w:rsidP="00604452">
      <w:pPr>
        <w:jc w:val="both"/>
        <w:rPr>
          <w:b/>
          <w:bCs/>
          <w:lang w:val="lt-LT"/>
        </w:rPr>
      </w:pPr>
      <w:r w:rsidRPr="00E351D9">
        <w:rPr>
          <w:b/>
          <w:bCs/>
        </w:rPr>
        <w:t xml:space="preserve">Tyrimas atskleidė – investuoja tik </w:t>
      </w:r>
      <w:r w:rsidRPr="00E351D9">
        <w:rPr>
          <w:b/>
          <w:bCs/>
          <w:lang w:val="en-US"/>
        </w:rPr>
        <w:t xml:space="preserve">4 </w:t>
      </w:r>
      <w:proofErr w:type="spellStart"/>
      <w:r w:rsidRPr="00E351D9">
        <w:rPr>
          <w:b/>
          <w:bCs/>
          <w:lang w:val="en-US"/>
        </w:rPr>
        <w:t>i</w:t>
      </w:r>
      <w:proofErr w:type="spellEnd"/>
      <w:r w:rsidRPr="00E351D9">
        <w:rPr>
          <w:b/>
          <w:bCs/>
          <w:lang w:val="lt-LT"/>
        </w:rPr>
        <w:t>š 10 lietuvių: priežastis – žinių stoka</w:t>
      </w:r>
    </w:p>
    <w:p w14:paraId="2CE8A62A" w14:textId="47C4F41D" w:rsidR="00DC6EE0" w:rsidRPr="00E351D9" w:rsidRDefault="00DC6EE0" w:rsidP="00604452">
      <w:pPr>
        <w:jc w:val="both"/>
        <w:rPr>
          <w:lang w:val="lt-LT"/>
        </w:rPr>
      </w:pPr>
      <w:r w:rsidRPr="00E351D9">
        <w:rPr>
          <w:i/>
          <w:iCs/>
          <w:lang w:val="lt-LT"/>
        </w:rPr>
        <w:t xml:space="preserve">Informacija žiniasklaidai, </w:t>
      </w:r>
      <w:r w:rsidRPr="00E351D9">
        <w:rPr>
          <w:i/>
          <w:iCs/>
          <w:lang w:val="en-US"/>
        </w:rPr>
        <w:t xml:space="preserve">2024 m. </w:t>
      </w:r>
      <w:proofErr w:type="spellStart"/>
      <w:r w:rsidRPr="00E351D9">
        <w:rPr>
          <w:i/>
          <w:iCs/>
          <w:lang w:val="en-US"/>
        </w:rPr>
        <w:t>gruod</w:t>
      </w:r>
      <w:r w:rsidRPr="00E351D9">
        <w:rPr>
          <w:i/>
          <w:iCs/>
          <w:lang w:val="lt-LT"/>
        </w:rPr>
        <w:t>žio</w:t>
      </w:r>
      <w:proofErr w:type="spellEnd"/>
      <w:r w:rsidRPr="00E351D9">
        <w:rPr>
          <w:i/>
          <w:iCs/>
          <w:lang w:val="lt-LT"/>
        </w:rPr>
        <w:t xml:space="preserve"> </w:t>
      </w:r>
      <w:r w:rsidR="006212D2">
        <w:rPr>
          <w:i/>
          <w:iCs/>
          <w:lang w:val="en-US"/>
        </w:rPr>
        <w:t xml:space="preserve">6 </w:t>
      </w:r>
      <w:r w:rsidRPr="00E351D9">
        <w:rPr>
          <w:i/>
          <w:iCs/>
          <w:lang w:val="lt-LT"/>
        </w:rPr>
        <w:t>d.</w:t>
      </w:r>
    </w:p>
    <w:p w14:paraId="4FE67907" w14:textId="5F8EA6FE" w:rsidR="00FE1ACB" w:rsidRPr="00E351D9" w:rsidRDefault="00DC6EE0" w:rsidP="00604452">
      <w:pPr>
        <w:jc w:val="both"/>
        <w:rPr>
          <w:b/>
          <w:bCs/>
          <w:lang w:val="lt-LT"/>
        </w:rPr>
      </w:pPr>
      <w:r w:rsidRPr="00E351D9">
        <w:rPr>
          <w:b/>
          <w:bCs/>
        </w:rPr>
        <w:t xml:space="preserve">2024 m. į akcijas, obligacijas, indėlius, nekilnojamąjį turtą (NT), pensijų 2 pakopos ar kitus pensijų fondus investavo tik 36 proc. Lietuvos gyventojų, rodo </w:t>
      </w:r>
      <w:r w:rsidR="005F04F7">
        <w:rPr>
          <w:b/>
          <w:bCs/>
          <w:lang w:val="lt-LT"/>
        </w:rPr>
        <w:t>investicijų valdymo bendrovės „</w:t>
      </w:r>
      <w:proofErr w:type="spellStart"/>
      <w:r w:rsidR="005F04F7">
        <w:rPr>
          <w:b/>
          <w:bCs/>
          <w:lang w:val="lt-LT"/>
        </w:rPr>
        <w:t>Capitalica</w:t>
      </w:r>
      <w:proofErr w:type="spellEnd"/>
      <w:r w:rsidR="005F04F7">
        <w:rPr>
          <w:b/>
          <w:bCs/>
          <w:lang w:val="lt-LT"/>
        </w:rPr>
        <w:t xml:space="preserve"> </w:t>
      </w:r>
      <w:proofErr w:type="spellStart"/>
      <w:r w:rsidR="005F04F7">
        <w:rPr>
          <w:b/>
          <w:bCs/>
          <w:lang w:val="lt-LT"/>
        </w:rPr>
        <w:t>Asset</w:t>
      </w:r>
      <w:proofErr w:type="spellEnd"/>
      <w:r w:rsidR="005F04F7">
        <w:rPr>
          <w:b/>
          <w:bCs/>
          <w:lang w:val="lt-LT"/>
        </w:rPr>
        <w:t xml:space="preserve"> </w:t>
      </w:r>
      <w:proofErr w:type="spellStart"/>
      <w:r w:rsidR="005F04F7">
        <w:rPr>
          <w:b/>
          <w:bCs/>
          <w:lang w:val="lt-LT"/>
        </w:rPr>
        <w:t>Management</w:t>
      </w:r>
      <w:proofErr w:type="spellEnd"/>
      <w:r w:rsidR="005F04F7">
        <w:rPr>
          <w:b/>
          <w:bCs/>
          <w:lang w:val="lt-LT"/>
        </w:rPr>
        <w:t xml:space="preserve">“ užsakymu atliktos </w:t>
      </w:r>
      <w:r w:rsidRPr="00E351D9">
        <w:rPr>
          <w:b/>
          <w:bCs/>
        </w:rPr>
        <w:t>reprezentatyvios „Spinter</w:t>
      </w:r>
      <w:r w:rsidR="005F04F7">
        <w:rPr>
          <w:b/>
          <w:bCs/>
        </w:rPr>
        <w:t xml:space="preserve"> tyrimai</w:t>
      </w:r>
      <w:r w:rsidRPr="00E351D9">
        <w:rPr>
          <w:b/>
          <w:bCs/>
        </w:rPr>
        <w:t xml:space="preserve">“ gyventojų apklausos duomenys. </w:t>
      </w:r>
      <w:r w:rsidR="0092638C" w:rsidRPr="00E351D9">
        <w:rPr>
          <w:b/>
          <w:bCs/>
          <w:lang w:val="lt-LT"/>
        </w:rPr>
        <w:t>„</w:t>
      </w:r>
      <w:r w:rsidR="004342C4" w:rsidRPr="00E351D9">
        <w:rPr>
          <w:b/>
          <w:bCs/>
          <w:lang w:val="lt-LT"/>
        </w:rPr>
        <w:t>Populiariausiais</w:t>
      </w:r>
      <w:r w:rsidR="0092638C" w:rsidRPr="00E351D9">
        <w:rPr>
          <w:b/>
          <w:bCs/>
          <w:lang w:val="lt-LT"/>
        </w:rPr>
        <w:t xml:space="preserve"> įrankiais </w:t>
      </w:r>
      <w:r w:rsidR="004342C4" w:rsidRPr="00E351D9">
        <w:rPr>
          <w:b/>
          <w:bCs/>
          <w:lang w:val="lt-LT"/>
        </w:rPr>
        <w:t>vis dar išlieka indėliai, kuriuos galima laikyti paprasčiausia investavimo higiena.</w:t>
      </w:r>
      <w:r w:rsidR="00923204" w:rsidRPr="00E351D9">
        <w:rPr>
          <w:b/>
          <w:bCs/>
          <w:lang w:val="lt-LT"/>
        </w:rPr>
        <w:t xml:space="preserve"> Tai tik darsyk įrodo, kad lietuviams finansinio raštingumo srityje dar tikrai yra kur pasistiebti“, – teigia </w:t>
      </w:r>
      <w:r w:rsidR="00923204" w:rsidRPr="00E351D9">
        <w:rPr>
          <w:b/>
          <w:bCs/>
        </w:rPr>
        <w:t>Mindaugas Liaudanskas, „Capitalica Asset Management“ vadovas ir p</w:t>
      </w:r>
      <w:r w:rsidR="001B1D48" w:rsidRPr="00E351D9">
        <w:rPr>
          <w:b/>
          <w:bCs/>
        </w:rPr>
        <w:t>ristato galimus alternatyvius investavimo būdus, kurie ne tik apsaugotų santaupas nuo infliacijos, bet ir užtikrintų didesnę grąžą ateityje.</w:t>
      </w:r>
    </w:p>
    <w:p w14:paraId="50B4328D" w14:textId="307C60A0" w:rsidR="002C4540" w:rsidRPr="00E351D9" w:rsidRDefault="00023774" w:rsidP="00604452">
      <w:pPr>
        <w:jc w:val="both"/>
      </w:pPr>
      <w:proofErr w:type="spellStart"/>
      <w:r w:rsidRPr="00E351D9">
        <w:rPr>
          <w:lang w:val="en-US"/>
        </w:rPr>
        <w:t>Tyrimas</w:t>
      </w:r>
      <w:proofErr w:type="spellEnd"/>
      <w:r w:rsidRPr="00E351D9">
        <w:rPr>
          <w:lang w:val="en-US"/>
        </w:rPr>
        <w:t xml:space="preserve"> </w:t>
      </w:r>
      <w:proofErr w:type="spellStart"/>
      <w:r w:rsidRPr="00E351D9">
        <w:rPr>
          <w:lang w:val="en-US"/>
        </w:rPr>
        <w:t>atskleidė</w:t>
      </w:r>
      <w:proofErr w:type="spellEnd"/>
      <w:r w:rsidRPr="00E351D9">
        <w:rPr>
          <w:lang w:val="en-US"/>
        </w:rPr>
        <w:t xml:space="preserve">, </w:t>
      </w:r>
      <w:proofErr w:type="spellStart"/>
      <w:r w:rsidRPr="00E351D9">
        <w:rPr>
          <w:lang w:val="en-US"/>
        </w:rPr>
        <w:t>k</w:t>
      </w:r>
      <w:r w:rsidR="003F14BC" w:rsidRPr="00E351D9">
        <w:rPr>
          <w:lang w:val="en-US"/>
        </w:rPr>
        <w:t>a</w:t>
      </w:r>
      <w:r w:rsidRPr="00E351D9">
        <w:rPr>
          <w:lang w:val="en-US"/>
        </w:rPr>
        <w:t>d</w:t>
      </w:r>
      <w:proofErr w:type="spellEnd"/>
      <w:r w:rsidRPr="00E351D9">
        <w:rPr>
          <w:lang w:val="en-US"/>
        </w:rPr>
        <w:t xml:space="preserve"> kas</w:t>
      </w:r>
      <w:r w:rsidR="003F14BC" w:rsidRPr="00E351D9">
        <w:rPr>
          <w:lang w:val="en-US"/>
        </w:rPr>
        <w:t xml:space="preserve"> </w:t>
      </w:r>
      <w:proofErr w:type="spellStart"/>
      <w:r w:rsidR="003F14BC" w:rsidRPr="00E351D9">
        <w:rPr>
          <w:lang w:val="en-US"/>
        </w:rPr>
        <w:t>ketvirtas</w:t>
      </w:r>
      <w:proofErr w:type="spellEnd"/>
      <w:r w:rsidR="003F14BC" w:rsidRPr="00E351D9">
        <w:rPr>
          <w:lang w:val="en-US"/>
        </w:rPr>
        <w:t xml:space="preserve"> </w:t>
      </w:r>
      <w:r w:rsidRPr="00E351D9">
        <w:rPr>
          <w:lang w:val="en-US"/>
        </w:rPr>
        <w:t xml:space="preserve">Lietuvos </w:t>
      </w:r>
      <w:proofErr w:type="spellStart"/>
      <w:r w:rsidR="003F14BC" w:rsidRPr="00E351D9">
        <w:rPr>
          <w:lang w:val="en-US"/>
        </w:rPr>
        <w:t>gyventojas</w:t>
      </w:r>
      <w:proofErr w:type="spellEnd"/>
      <w:r w:rsidR="003F14BC" w:rsidRPr="00E351D9">
        <w:rPr>
          <w:lang w:val="en-US"/>
        </w:rPr>
        <w:t xml:space="preserve"> </w:t>
      </w:r>
      <w:r w:rsidR="003F14BC" w:rsidRPr="00E351D9">
        <w:rPr>
          <w:lang w:val="lt-LT"/>
        </w:rPr>
        <w:t>mano, jog šiuo metu yra tinkamas laikas investuoti.</w:t>
      </w:r>
      <w:r w:rsidR="003F14BC" w:rsidRPr="00E351D9">
        <w:rPr>
          <w:b/>
          <w:bCs/>
          <w:lang w:val="en-US"/>
        </w:rPr>
        <w:t xml:space="preserve"> </w:t>
      </w:r>
      <w:r w:rsidRPr="00E351D9">
        <w:t>N</w:t>
      </w:r>
      <w:r w:rsidR="00DC6EE0" w:rsidRPr="00E351D9">
        <w:t xml:space="preserve">et 4 iš 10 </w:t>
      </w:r>
      <w:r w:rsidR="001B1D48" w:rsidRPr="00E351D9">
        <w:t xml:space="preserve">šiais metais </w:t>
      </w:r>
      <w:r w:rsidR="00DC6EE0" w:rsidRPr="00E351D9">
        <w:t>investavusių</w:t>
      </w:r>
      <w:r w:rsidR="001B1D48" w:rsidRPr="00E351D9">
        <w:t xml:space="preserve"> </w:t>
      </w:r>
      <w:r w:rsidRPr="00E351D9">
        <w:t>žmonių</w:t>
      </w:r>
      <w:r w:rsidR="00DC6EE0" w:rsidRPr="00E351D9">
        <w:t xml:space="preserve"> rinkosi banko indėlius</w:t>
      </w:r>
      <w:r w:rsidR="001B1D48" w:rsidRPr="00E351D9">
        <w:t xml:space="preserve">. </w:t>
      </w:r>
      <w:r w:rsidR="00DC6EE0" w:rsidRPr="00E351D9">
        <w:t xml:space="preserve">Akcijas, NT ir atvirus investicijų fondus </w:t>
      </w:r>
      <w:r w:rsidR="00E85682" w:rsidRPr="00E351D9">
        <w:t>pasirinko</w:t>
      </w:r>
      <w:r w:rsidR="00DC6EE0" w:rsidRPr="00E351D9">
        <w:t xml:space="preserve"> 15 proc. gyventojų, uždarą investicijų fondą – 11 proc., obligacijas – 7 proc.</w:t>
      </w:r>
      <w:r w:rsidR="002C4540" w:rsidRPr="00E351D9">
        <w:t xml:space="preserve"> </w:t>
      </w:r>
    </w:p>
    <w:p w14:paraId="0FF2206F" w14:textId="58EF0F0B" w:rsidR="00023774" w:rsidRPr="00E351D9" w:rsidRDefault="009B4611" w:rsidP="00604452">
      <w:pPr>
        <w:jc w:val="both"/>
      </w:pPr>
      <w:r w:rsidRPr="00E351D9">
        <w:t>Kuriems investavimo įrankį pavyko pasirinkti tinkamiausiai? Anot</w:t>
      </w:r>
      <w:r w:rsidR="003808BA">
        <w:t xml:space="preserve"> </w:t>
      </w:r>
      <w:r w:rsidRPr="00E351D9">
        <w:t xml:space="preserve">M. Liaudansko, vieną grupę išskirti būtų – neteisinga. </w:t>
      </w:r>
      <w:r w:rsidR="005F04F7">
        <w:t>Jo teigimu,</w:t>
      </w:r>
      <w:r w:rsidR="00B27E7C" w:rsidRPr="00E351D9">
        <w:t xml:space="preserve"> investavimo sėkmės paslaptis – ne tik gebėjimas pasirinkti tinkamus investavimo būdus, bet ir, svarbiausia, investicinio portfelio diversifikacija.</w:t>
      </w:r>
    </w:p>
    <w:p w14:paraId="159544B7" w14:textId="4D763339" w:rsidR="00DB0F67" w:rsidRPr="00E351D9" w:rsidRDefault="00B27E7C" w:rsidP="00604452">
      <w:pPr>
        <w:jc w:val="both"/>
        <w:rPr>
          <w:lang w:val="lt-LT"/>
        </w:rPr>
      </w:pPr>
      <w:r w:rsidRPr="00E351D9">
        <w:rPr>
          <w:lang w:val="lt-LT"/>
        </w:rPr>
        <w:t xml:space="preserve">„Maždaug pusė šiais metais investavusių žmonių </w:t>
      </w:r>
      <w:r w:rsidRPr="00E351D9">
        <w:rPr>
          <w:lang w:val="en-US"/>
        </w:rPr>
        <w:t>t</w:t>
      </w:r>
      <w:proofErr w:type="spellStart"/>
      <w:r w:rsidRPr="00E351D9">
        <w:rPr>
          <w:lang w:val="lt-LT"/>
        </w:rPr>
        <w:t>ikisi</w:t>
      </w:r>
      <w:proofErr w:type="spellEnd"/>
      <w:r w:rsidRPr="00E351D9">
        <w:rPr>
          <w:lang w:val="lt-LT"/>
        </w:rPr>
        <w:t xml:space="preserve"> iki </w:t>
      </w:r>
      <w:r w:rsidRPr="00E351D9">
        <w:rPr>
          <w:lang w:val="en-US"/>
        </w:rPr>
        <w:t xml:space="preserve">5 proc. </w:t>
      </w:r>
      <w:r w:rsidRPr="00E351D9">
        <w:rPr>
          <w:lang w:val="lt-LT"/>
        </w:rPr>
        <w:t xml:space="preserve">metinės grąžos, trečdalis laikosi pozityvesnės </w:t>
      </w:r>
      <w:proofErr w:type="spellStart"/>
      <w:r w:rsidRPr="00E351D9">
        <w:rPr>
          <w:lang w:val="en-US"/>
        </w:rPr>
        <w:t>pozicijos</w:t>
      </w:r>
      <w:proofErr w:type="spellEnd"/>
      <w:r w:rsidRPr="00E351D9">
        <w:rPr>
          <w:lang w:val="en-US"/>
        </w:rPr>
        <w:t xml:space="preserve"> </w:t>
      </w:r>
      <w:proofErr w:type="spellStart"/>
      <w:r w:rsidRPr="00E351D9">
        <w:rPr>
          <w:lang w:val="en-US"/>
        </w:rPr>
        <w:t>ir</w:t>
      </w:r>
      <w:proofErr w:type="spellEnd"/>
      <w:r w:rsidRPr="00E351D9">
        <w:rPr>
          <w:lang w:val="en-US"/>
        </w:rPr>
        <w:t xml:space="preserve"> </w:t>
      </w:r>
      <w:proofErr w:type="spellStart"/>
      <w:r w:rsidRPr="00E351D9">
        <w:rPr>
          <w:lang w:val="en-US"/>
        </w:rPr>
        <w:t>laukia</w:t>
      </w:r>
      <w:proofErr w:type="spellEnd"/>
      <w:r w:rsidRPr="00E351D9">
        <w:rPr>
          <w:lang w:val="lt-LT"/>
        </w:rPr>
        <w:t> </w:t>
      </w:r>
      <w:r w:rsidRPr="00E351D9">
        <w:rPr>
          <w:lang w:val="en-US"/>
        </w:rPr>
        <w:t>6–10 p</w:t>
      </w:r>
      <w:proofErr w:type="spellStart"/>
      <w:r w:rsidRPr="00E351D9">
        <w:rPr>
          <w:lang w:val="lt-LT"/>
        </w:rPr>
        <w:t>roc</w:t>
      </w:r>
      <w:proofErr w:type="spellEnd"/>
      <w:r w:rsidRPr="00E351D9">
        <w:rPr>
          <w:lang w:val="lt-LT"/>
        </w:rPr>
        <w:t xml:space="preserve">. </w:t>
      </w:r>
      <w:proofErr w:type="spellStart"/>
      <w:r w:rsidRPr="00E351D9">
        <w:rPr>
          <w:lang w:val="en-US"/>
        </w:rPr>
        <w:t>grąžos</w:t>
      </w:r>
      <w:proofErr w:type="spellEnd"/>
      <w:r w:rsidRPr="00E351D9">
        <w:rPr>
          <w:lang w:val="en-US"/>
        </w:rPr>
        <w:t xml:space="preserve">. </w:t>
      </w:r>
      <w:proofErr w:type="spellStart"/>
      <w:r w:rsidRPr="00E351D9">
        <w:rPr>
          <w:lang w:val="en-US"/>
        </w:rPr>
        <w:t>Lūkesčiai</w:t>
      </w:r>
      <w:proofErr w:type="spellEnd"/>
      <w:r w:rsidRPr="00E351D9">
        <w:rPr>
          <w:lang w:val="en-US"/>
        </w:rPr>
        <w:t xml:space="preserve"> </w:t>
      </w:r>
      <w:proofErr w:type="spellStart"/>
      <w:r w:rsidRPr="00E351D9">
        <w:rPr>
          <w:lang w:val="en-US"/>
        </w:rPr>
        <w:t>pasiteisins</w:t>
      </w:r>
      <w:proofErr w:type="spellEnd"/>
      <w:r w:rsidRPr="00E351D9">
        <w:rPr>
          <w:lang w:val="en-US"/>
        </w:rPr>
        <w:t xml:space="preserve"> </w:t>
      </w:r>
      <w:proofErr w:type="spellStart"/>
      <w:r w:rsidRPr="00E351D9">
        <w:rPr>
          <w:lang w:val="en-US"/>
        </w:rPr>
        <w:t>ar</w:t>
      </w:r>
      <w:proofErr w:type="spellEnd"/>
      <w:r w:rsidRPr="00E351D9">
        <w:rPr>
          <w:lang w:val="en-US"/>
        </w:rPr>
        <w:t xml:space="preserve"> net bus </w:t>
      </w:r>
      <w:r w:rsidRPr="00E351D9">
        <w:rPr>
          <w:lang w:val="lt-LT"/>
        </w:rPr>
        <w:t>viršyti tiems, kurie pasirinko ne vieną, o kelias investavimo formas. Pavyzdžiui,</w:t>
      </w:r>
      <w:r w:rsidR="00427692" w:rsidRPr="00E351D9">
        <w:rPr>
          <w:lang w:val="lt-LT"/>
        </w:rPr>
        <w:t xml:space="preserve"> investavo ne tik į NT, bet ir įsigijo akcijų ar obligacijų arba prisijungė prie </w:t>
      </w:r>
      <w:r w:rsidR="008A0827" w:rsidRPr="00E351D9">
        <w:rPr>
          <w:lang w:val="lt-LT"/>
        </w:rPr>
        <w:t xml:space="preserve">investicinio fondo, kuris portfelio </w:t>
      </w:r>
      <w:r w:rsidR="00822B33" w:rsidRPr="00E351D9">
        <w:rPr>
          <w:lang w:val="lt-LT"/>
        </w:rPr>
        <w:t>diversifikavimu</w:t>
      </w:r>
      <w:r w:rsidR="008A0827" w:rsidRPr="00E351D9">
        <w:rPr>
          <w:lang w:val="lt-LT"/>
        </w:rPr>
        <w:t xml:space="preserve"> </w:t>
      </w:r>
      <w:r w:rsidR="00822B33" w:rsidRPr="00E351D9">
        <w:rPr>
          <w:lang w:val="lt-LT"/>
        </w:rPr>
        <w:t>pasirūpina už investuotojus</w:t>
      </w:r>
      <w:r w:rsidR="00DB0F67" w:rsidRPr="00E351D9">
        <w:rPr>
          <w:lang w:val="lt-LT"/>
        </w:rPr>
        <w:t xml:space="preserve">“, – sako </w:t>
      </w:r>
      <w:r w:rsidR="00013E89">
        <w:rPr>
          <w:lang w:val="lt-LT"/>
        </w:rPr>
        <w:t>SBA grupės investicijų valdymo bendrovės „</w:t>
      </w:r>
      <w:proofErr w:type="spellStart"/>
      <w:r w:rsidR="00013E89">
        <w:rPr>
          <w:lang w:val="lt-LT"/>
        </w:rPr>
        <w:t>Capitalica</w:t>
      </w:r>
      <w:proofErr w:type="spellEnd"/>
      <w:r w:rsidR="00013E89">
        <w:rPr>
          <w:lang w:val="lt-LT"/>
        </w:rPr>
        <w:t xml:space="preserve"> </w:t>
      </w:r>
      <w:proofErr w:type="spellStart"/>
      <w:r w:rsidR="00013E89">
        <w:rPr>
          <w:lang w:val="lt-LT"/>
        </w:rPr>
        <w:t>Asset</w:t>
      </w:r>
      <w:proofErr w:type="spellEnd"/>
      <w:r w:rsidR="00013E89">
        <w:rPr>
          <w:lang w:val="lt-LT"/>
        </w:rPr>
        <w:t xml:space="preserve"> </w:t>
      </w:r>
      <w:proofErr w:type="spellStart"/>
      <w:r w:rsidR="00013E89">
        <w:rPr>
          <w:lang w:val="lt-LT"/>
        </w:rPr>
        <w:t>Management</w:t>
      </w:r>
      <w:proofErr w:type="spellEnd"/>
      <w:r w:rsidR="00013E89">
        <w:rPr>
          <w:lang w:val="lt-LT"/>
        </w:rPr>
        <w:t xml:space="preserve">“ vadovas </w:t>
      </w:r>
      <w:r w:rsidR="00DB0F67" w:rsidRPr="00E351D9">
        <w:rPr>
          <w:lang w:val="lt-LT"/>
        </w:rPr>
        <w:t>M. Liaudanskas.</w:t>
      </w:r>
    </w:p>
    <w:p w14:paraId="71EBCB6D" w14:textId="0A8BEE15" w:rsidR="005446D9" w:rsidRPr="00E351D9" w:rsidRDefault="00DB0F67" w:rsidP="00604452">
      <w:pPr>
        <w:jc w:val="both"/>
        <w:rPr>
          <w:lang w:val="lt-LT"/>
        </w:rPr>
      </w:pPr>
      <w:r w:rsidRPr="00E351D9">
        <w:rPr>
          <w:lang w:val="lt-LT"/>
        </w:rPr>
        <w:t xml:space="preserve">Ateinančiais metais, anot eksperto, </w:t>
      </w:r>
      <w:r w:rsidR="00FA23E1" w:rsidRPr="00E351D9">
        <w:rPr>
          <w:lang w:val="lt-LT"/>
        </w:rPr>
        <w:t xml:space="preserve">žaidimo taisyklės išliks tos pačios – laimės tie, kurie gebės pasirinkti jiems tinkamiausius investavimo instrumentus iš ganėtinai plataus meniu, kurį šiuo metu siūlo rinka. </w:t>
      </w:r>
    </w:p>
    <w:p w14:paraId="7EABAE41" w14:textId="6620F77B" w:rsidR="002C45BD" w:rsidRPr="00E351D9" w:rsidRDefault="00855A71" w:rsidP="00604452">
      <w:pPr>
        <w:pStyle w:val="ListParagraph"/>
        <w:numPr>
          <w:ilvl w:val="0"/>
          <w:numId w:val="3"/>
        </w:numPr>
        <w:jc w:val="both"/>
        <w:rPr>
          <w:b/>
          <w:bCs/>
          <w:lang w:val="en-US"/>
        </w:rPr>
      </w:pPr>
      <w:proofErr w:type="spellStart"/>
      <w:r w:rsidRPr="00E351D9">
        <w:rPr>
          <w:b/>
          <w:bCs/>
          <w:lang w:val="en-US"/>
        </w:rPr>
        <w:t>Stipriam</w:t>
      </w:r>
      <w:proofErr w:type="spellEnd"/>
      <w:r w:rsidRPr="00E351D9">
        <w:rPr>
          <w:b/>
          <w:bCs/>
          <w:lang w:val="en-US"/>
        </w:rPr>
        <w:t xml:space="preserve"> </w:t>
      </w:r>
      <w:proofErr w:type="spellStart"/>
      <w:r w:rsidRPr="00E351D9">
        <w:rPr>
          <w:b/>
          <w:bCs/>
          <w:lang w:val="en-US"/>
        </w:rPr>
        <w:t>pamatui</w:t>
      </w:r>
      <w:proofErr w:type="spellEnd"/>
      <w:r w:rsidRPr="00E351D9">
        <w:rPr>
          <w:b/>
          <w:bCs/>
          <w:lang w:val="en-US"/>
        </w:rPr>
        <w:t xml:space="preserve"> </w:t>
      </w:r>
      <w:r w:rsidR="002C45BD" w:rsidRPr="00E351D9">
        <w:rPr>
          <w:b/>
          <w:bCs/>
          <w:lang w:val="lt-LT"/>
        </w:rPr>
        <w:t xml:space="preserve">– investicijos į komercinį NT </w:t>
      </w:r>
    </w:p>
    <w:p w14:paraId="67FC9C6A" w14:textId="7CC9A510" w:rsidR="00E351D9" w:rsidRDefault="00E351D9" w:rsidP="00604452">
      <w:pPr>
        <w:pStyle w:val="NormalWeb"/>
        <w:jc w:val="both"/>
        <w:rPr>
          <w:rFonts w:asciiTheme="minorHAnsi" w:hAnsiTheme="minorHAnsi"/>
          <w:color w:val="000000"/>
        </w:rPr>
      </w:pPr>
      <w:r w:rsidRPr="00E351D9">
        <w:rPr>
          <w:rFonts w:asciiTheme="minorHAnsi" w:hAnsiTheme="minorHAnsi"/>
          <w:color w:val="000000"/>
        </w:rPr>
        <w:t xml:space="preserve">Investicijos </w:t>
      </w:r>
      <w:r>
        <w:rPr>
          <w:rFonts w:asciiTheme="minorHAnsi" w:hAnsiTheme="minorHAnsi"/>
          <w:color w:val="000000"/>
        </w:rPr>
        <w:t xml:space="preserve">į NT mūsų krašte – itin popularios. Vis dėlto, visuomenėje </w:t>
      </w:r>
      <w:r w:rsidR="00604452">
        <w:rPr>
          <w:rFonts w:asciiTheme="minorHAnsi" w:hAnsiTheme="minorHAnsi"/>
          <w:color w:val="000000"/>
        </w:rPr>
        <w:t xml:space="preserve">vis dar </w:t>
      </w:r>
      <w:r>
        <w:rPr>
          <w:rFonts w:asciiTheme="minorHAnsi" w:hAnsiTheme="minorHAnsi"/>
          <w:color w:val="000000"/>
        </w:rPr>
        <w:t>gajus įsitikinimas, jog antro būsto, pavyzdžiui</w:t>
      </w:r>
      <w:r w:rsidR="004917AE">
        <w:rPr>
          <w:rFonts w:asciiTheme="minorHAnsi" w:hAnsiTheme="minorHAnsi"/>
          <w:color w:val="000000"/>
          <w:lang w:val="lt-LT"/>
        </w:rPr>
        <w:t>,</w:t>
      </w:r>
      <w:r>
        <w:rPr>
          <w:rFonts w:asciiTheme="minorHAnsi" w:hAnsiTheme="minorHAnsi"/>
          <w:color w:val="000000"/>
        </w:rPr>
        <w:t xml:space="preserve"> buto nuomai, įsigijimas yra gera investicija – ne</w:t>
      </w:r>
      <w:r w:rsidR="004917AE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 xml:space="preserve">visada teisingas. Pasak M. Liaudansko, </w:t>
      </w:r>
      <w:r w:rsidR="006F63DE">
        <w:rPr>
          <w:rFonts w:asciiTheme="minorHAnsi" w:hAnsiTheme="minorHAnsi"/>
          <w:color w:val="000000"/>
        </w:rPr>
        <w:t xml:space="preserve">investuotojai dažnai pamiršta, kad būsto </w:t>
      </w:r>
      <w:r w:rsidR="00673323">
        <w:rPr>
          <w:rFonts w:asciiTheme="minorHAnsi" w:hAnsiTheme="minorHAnsi"/>
          <w:color w:val="000000"/>
        </w:rPr>
        <w:t>pirkimas</w:t>
      </w:r>
      <w:r w:rsidR="006F63DE">
        <w:rPr>
          <w:rFonts w:asciiTheme="minorHAnsi" w:hAnsiTheme="minorHAnsi"/>
          <w:color w:val="000000"/>
        </w:rPr>
        <w:t>, vėliau – nuoma, priežiūra ir atnaujinimas, reikalauja daug ne tik finansinių, bet ir laiko išteklių.</w:t>
      </w:r>
    </w:p>
    <w:p w14:paraId="5CD551AB" w14:textId="26949CCB" w:rsidR="006F63DE" w:rsidRDefault="006F63DE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lastRenderedPageBreak/>
        <w:t xml:space="preserve">„Paskolos sąlygų derinimasis su banku, būsto įrengimas, nuomininkų paieška, namų priežiūra, remontas – tik keletas iš atsakomybių, kurios užgula į antrą </w:t>
      </w:r>
      <w:r w:rsidR="00C35074">
        <w:rPr>
          <w:rFonts w:asciiTheme="minorHAnsi" w:hAnsiTheme="minorHAnsi"/>
          <w:color w:val="000000"/>
          <w:lang w:val="lt-LT"/>
        </w:rPr>
        <w:t xml:space="preserve">ar trečią </w:t>
      </w:r>
      <w:r>
        <w:rPr>
          <w:rFonts w:asciiTheme="minorHAnsi" w:hAnsiTheme="minorHAnsi"/>
          <w:color w:val="000000"/>
          <w:lang w:val="lt-LT"/>
        </w:rPr>
        <w:t>būstą nusprendusių investuoti žmonių pečius</w:t>
      </w:r>
      <w:r w:rsidR="00873AB1">
        <w:rPr>
          <w:rFonts w:asciiTheme="minorHAnsi" w:hAnsiTheme="minorHAnsi"/>
          <w:color w:val="000000"/>
          <w:lang w:val="lt-LT"/>
        </w:rPr>
        <w:t xml:space="preserve">“, – teigia ekspertas. </w:t>
      </w:r>
    </w:p>
    <w:p w14:paraId="4CDAE478" w14:textId="19C30566" w:rsidR="00873AB1" w:rsidRDefault="00873AB1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>Anot „</w:t>
      </w:r>
      <w:proofErr w:type="spellStart"/>
      <w:r>
        <w:rPr>
          <w:rFonts w:asciiTheme="minorHAnsi" w:hAnsiTheme="minorHAnsi"/>
          <w:color w:val="000000"/>
          <w:lang w:val="lt-LT"/>
        </w:rPr>
        <w:t>Capitalica</w:t>
      </w:r>
      <w:proofErr w:type="spellEnd"/>
      <w:r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>
        <w:rPr>
          <w:rFonts w:asciiTheme="minorHAnsi" w:hAnsiTheme="minorHAnsi"/>
          <w:color w:val="000000"/>
          <w:lang w:val="lt-LT"/>
        </w:rPr>
        <w:t>Asset</w:t>
      </w:r>
      <w:proofErr w:type="spellEnd"/>
      <w:r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>
        <w:rPr>
          <w:rFonts w:asciiTheme="minorHAnsi" w:hAnsiTheme="minorHAnsi"/>
          <w:color w:val="000000"/>
          <w:lang w:val="lt-LT"/>
        </w:rPr>
        <w:t>Management</w:t>
      </w:r>
      <w:proofErr w:type="spellEnd"/>
      <w:r>
        <w:rPr>
          <w:rFonts w:asciiTheme="minorHAnsi" w:hAnsiTheme="minorHAnsi"/>
          <w:color w:val="000000"/>
          <w:lang w:val="lt-LT"/>
        </w:rPr>
        <w:t xml:space="preserve">“ vadovo, lietuviai dažnai pamiršta arba paprasčiausiai nėra girdėję apie </w:t>
      </w:r>
      <w:r w:rsidR="005F04F7">
        <w:rPr>
          <w:rFonts w:asciiTheme="minorHAnsi" w:hAnsiTheme="minorHAnsi"/>
          <w:color w:val="000000"/>
          <w:lang w:val="lt-LT"/>
        </w:rPr>
        <w:t xml:space="preserve">galimybes investuoti </w:t>
      </w:r>
      <w:r>
        <w:rPr>
          <w:rFonts w:asciiTheme="minorHAnsi" w:hAnsiTheme="minorHAnsi"/>
          <w:color w:val="000000"/>
          <w:lang w:val="lt-LT"/>
        </w:rPr>
        <w:t>į komercinį NT</w:t>
      </w:r>
      <w:r w:rsidR="006473F7">
        <w:rPr>
          <w:rFonts w:asciiTheme="minorHAnsi" w:hAnsiTheme="minorHAnsi"/>
          <w:color w:val="000000"/>
          <w:lang w:val="lt-LT"/>
        </w:rPr>
        <w:t xml:space="preserve">, kurios yra neatsiejama kiekvieno profesionalaus investuotojo portfelio dalis. </w:t>
      </w:r>
    </w:p>
    <w:p w14:paraId="1B3C8266" w14:textId="7B15BE1C" w:rsidR="00B23408" w:rsidRDefault="006473F7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 xml:space="preserve">„Investicijos į komercinį </w:t>
      </w:r>
      <w:r w:rsidR="00B23408">
        <w:rPr>
          <w:rFonts w:asciiTheme="minorHAnsi" w:hAnsiTheme="minorHAnsi"/>
          <w:color w:val="000000"/>
          <w:lang w:val="lt-LT"/>
        </w:rPr>
        <w:t>NT tarp profesionalių investuotojų populiarios ne šiaip sau. Pastarosios – puikus pasirinkimas tiems, kurie ieško patikimos, ilgalaikės grąžos, kuri išliks stabili net ir rinkai susidūrus su minimaliais ekonominiais svyravimais“, – teigia ekspertas.</w:t>
      </w:r>
    </w:p>
    <w:p w14:paraId="6FDC9B1B" w14:textId="26697C1B" w:rsidR="00B23408" w:rsidRDefault="00B23408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 xml:space="preserve">M. Liaudanskas įsitikinęs, </w:t>
      </w:r>
      <w:r w:rsidR="00604452">
        <w:rPr>
          <w:rFonts w:asciiTheme="minorHAnsi" w:hAnsiTheme="minorHAnsi"/>
          <w:color w:val="000000"/>
          <w:lang w:val="lt-LT"/>
        </w:rPr>
        <w:t xml:space="preserve">kad </w:t>
      </w:r>
      <w:r w:rsidR="00C35074">
        <w:rPr>
          <w:rFonts w:asciiTheme="minorHAnsi" w:hAnsiTheme="minorHAnsi"/>
          <w:color w:val="000000"/>
          <w:lang w:val="lt-LT"/>
        </w:rPr>
        <w:t>situacija komercinio NT rinkoje – gerėja</w:t>
      </w:r>
      <w:r w:rsidR="00AD3E6E">
        <w:rPr>
          <w:rFonts w:asciiTheme="minorHAnsi" w:hAnsiTheme="minorHAnsi"/>
          <w:color w:val="000000"/>
          <w:lang w:val="lt-LT"/>
        </w:rPr>
        <w:t xml:space="preserve">: „Mažėjantis EURIBOR žada dar daugiau galimybių. Komercinio NT vertės stabilizuojasi, bankai didina skolinimo apimtis, todėl investuotojams atsiranda palanki niša. </w:t>
      </w:r>
      <w:r w:rsidR="00E674E4">
        <w:rPr>
          <w:rFonts w:asciiTheme="minorHAnsi" w:hAnsiTheme="minorHAnsi"/>
          <w:color w:val="000000"/>
          <w:lang w:val="lt-LT"/>
        </w:rPr>
        <w:t>Skolintų p</w:t>
      </w:r>
      <w:r w:rsidR="00AD3E6E">
        <w:rPr>
          <w:rFonts w:asciiTheme="minorHAnsi" w:hAnsiTheme="minorHAnsi"/>
          <w:color w:val="000000"/>
          <w:lang w:val="lt-LT"/>
        </w:rPr>
        <w:t>inigų kaina taip pat mažėja. Vadinasi, galima tikėtis didesnės grąžos.“</w:t>
      </w:r>
    </w:p>
    <w:p w14:paraId="023A807F" w14:textId="793D1CCD" w:rsidR="00855A71" w:rsidRPr="00E351D9" w:rsidRDefault="00D03EEC" w:rsidP="00604452">
      <w:pPr>
        <w:pStyle w:val="NormalWeb"/>
        <w:numPr>
          <w:ilvl w:val="0"/>
          <w:numId w:val="3"/>
        </w:numPr>
        <w:jc w:val="both"/>
        <w:rPr>
          <w:rFonts w:asciiTheme="minorHAnsi" w:hAnsiTheme="minorHAnsi"/>
          <w:b/>
          <w:bCs/>
          <w:color w:val="000000"/>
        </w:rPr>
      </w:pPr>
      <w:r w:rsidRPr="00E351D9">
        <w:rPr>
          <w:rFonts w:asciiTheme="minorHAnsi" w:hAnsiTheme="minorHAnsi"/>
          <w:b/>
          <w:bCs/>
          <w:color w:val="000000"/>
        </w:rPr>
        <w:t>Užtikrintam s</w:t>
      </w:r>
      <w:r w:rsidR="00855A71" w:rsidRPr="00E351D9">
        <w:rPr>
          <w:rFonts w:asciiTheme="minorHAnsi" w:hAnsiTheme="minorHAnsi"/>
          <w:b/>
          <w:bCs/>
          <w:color w:val="000000"/>
        </w:rPr>
        <w:t xml:space="preserve">tabilumui </w:t>
      </w:r>
      <w:r w:rsidR="00596F9F" w:rsidRPr="00E351D9">
        <w:rPr>
          <w:rFonts w:asciiTheme="minorHAnsi" w:hAnsiTheme="minorHAnsi"/>
          <w:b/>
          <w:bCs/>
          <w:color w:val="000000"/>
        </w:rPr>
        <w:t xml:space="preserve">– obligacijos </w:t>
      </w:r>
    </w:p>
    <w:p w14:paraId="469A5DDF" w14:textId="389147B7" w:rsidR="00E33981" w:rsidRDefault="001E378F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</w:rPr>
        <w:t xml:space="preserve">Dar vienas investavimo instrumentas, kurį, kaip rodo </w:t>
      </w:r>
      <w:r>
        <w:rPr>
          <w:rFonts w:asciiTheme="minorHAnsi" w:hAnsiTheme="minorHAnsi"/>
          <w:color w:val="000000"/>
          <w:lang w:val="lt-LT"/>
        </w:rPr>
        <w:t>„</w:t>
      </w:r>
      <w:proofErr w:type="spellStart"/>
      <w:r>
        <w:rPr>
          <w:rFonts w:asciiTheme="minorHAnsi" w:hAnsiTheme="minorHAnsi"/>
          <w:color w:val="000000"/>
          <w:lang w:val="lt-LT"/>
        </w:rPr>
        <w:t>Spinter</w:t>
      </w:r>
      <w:proofErr w:type="spellEnd"/>
      <w:r w:rsidR="00104927">
        <w:rPr>
          <w:rFonts w:asciiTheme="minorHAnsi" w:hAnsiTheme="minorHAnsi"/>
          <w:color w:val="000000"/>
          <w:lang w:val="lt-LT"/>
        </w:rPr>
        <w:t xml:space="preserve"> tyrimai</w:t>
      </w:r>
      <w:r>
        <w:rPr>
          <w:rFonts w:asciiTheme="minorHAnsi" w:hAnsiTheme="minorHAnsi"/>
          <w:color w:val="000000"/>
          <w:lang w:val="lt-LT"/>
        </w:rPr>
        <w:t xml:space="preserve">“ </w:t>
      </w:r>
      <w:r w:rsidR="00C472B3">
        <w:rPr>
          <w:rFonts w:asciiTheme="minorHAnsi" w:hAnsiTheme="minorHAnsi"/>
          <w:color w:val="000000"/>
          <w:lang w:val="lt-LT"/>
        </w:rPr>
        <w:t>apklausa</w:t>
      </w:r>
      <w:r>
        <w:rPr>
          <w:rFonts w:asciiTheme="minorHAnsi" w:hAnsiTheme="minorHAnsi"/>
          <w:color w:val="000000"/>
          <w:lang w:val="lt-LT"/>
        </w:rPr>
        <w:t>,</w:t>
      </w:r>
      <w:r>
        <w:rPr>
          <w:rFonts w:asciiTheme="minorHAnsi" w:hAnsiTheme="minorHAnsi"/>
          <w:color w:val="000000"/>
        </w:rPr>
        <w:t xml:space="preserve"> šiais metais Lietuvoje pasirinko tik </w:t>
      </w:r>
      <w:r>
        <w:rPr>
          <w:rFonts w:asciiTheme="minorHAnsi" w:hAnsiTheme="minorHAnsi"/>
          <w:color w:val="000000"/>
          <w:lang w:val="en-US"/>
        </w:rPr>
        <w:t xml:space="preserve">7 proc. </w:t>
      </w:r>
      <w:r>
        <w:rPr>
          <w:rFonts w:asciiTheme="minorHAnsi" w:hAnsiTheme="minorHAnsi"/>
          <w:color w:val="000000"/>
          <w:lang w:val="lt-LT"/>
        </w:rPr>
        <w:t>gyventojų – obligacijos</w:t>
      </w:r>
      <w:r w:rsidR="00BC3740">
        <w:rPr>
          <w:rFonts w:asciiTheme="minorHAnsi" w:hAnsiTheme="minorHAnsi"/>
          <w:color w:val="000000"/>
          <w:lang w:val="lt-LT"/>
        </w:rPr>
        <w:t xml:space="preserve">, dar kitaip žinomos kaip skolos investicijos. </w:t>
      </w:r>
      <w:r w:rsidR="00E33981">
        <w:rPr>
          <w:rFonts w:asciiTheme="minorHAnsi" w:hAnsiTheme="minorHAnsi"/>
          <w:color w:val="000000"/>
          <w:lang w:val="lt-LT"/>
        </w:rPr>
        <w:t>Tai – finansinis instrumentas, leidžiantis investuotojams paskolinti savo lėšas valstybei ar įmonei už nustatytą palūkanų normą.</w:t>
      </w:r>
    </w:p>
    <w:p w14:paraId="2239FC9E" w14:textId="7D101CB8" w:rsidR="006A52E6" w:rsidRPr="001E378F" w:rsidRDefault="00FB3A35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 xml:space="preserve">Pastarosios, pasak M. Liaudansko, </w:t>
      </w:r>
      <w:r w:rsidR="00E33981">
        <w:rPr>
          <w:rFonts w:asciiTheme="minorHAnsi" w:hAnsiTheme="minorHAnsi"/>
          <w:color w:val="000000"/>
          <w:lang w:val="lt-LT"/>
        </w:rPr>
        <w:t xml:space="preserve">turėtų būti </w:t>
      </w:r>
      <w:r>
        <w:rPr>
          <w:rFonts w:asciiTheme="minorHAnsi" w:hAnsiTheme="minorHAnsi"/>
          <w:color w:val="000000"/>
          <w:lang w:val="lt-LT"/>
        </w:rPr>
        <w:t xml:space="preserve">itin patrauklios tiems, kurie siekia </w:t>
      </w:r>
      <w:r w:rsidR="00E674E4">
        <w:rPr>
          <w:rFonts w:asciiTheme="minorHAnsi" w:hAnsiTheme="minorHAnsi"/>
          <w:color w:val="000000"/>
          <w:lang w:val="lt-LT"/>
        </w:rPr>
        <w:t xml:space="preserve">didesnio likvidumo </w:t>
      </w:r>
      <w:r>
        <w:rPr>
          <w:rFonts w:asciiTheme="minorHAnsi" w:hAnsiTheme="minorHAnsi"/>
          <w:color w:val="000000"/>
          <w:lang w:val="lt-LT"/>
        </w:rPr>
        <w:t>ir stabilios grąžos.</w:t>
      </w:r>
    </w:p>
    <w:p w14:paraId="78879F53" w14:textId="77777777" w:rsidR="00A1398A" w:rsidRDefault="004A4BE2" w:rsidP="007D301B">
      <w:pPr>
        <w:pStyle w:val="NormalWeb"/>
        <w:jc w:val="both"/>
        <w:rPr>
          <w:rFonts w:asciiTheme="minorHAnsi" w:hAnsiTheme="minorHAnsi"/>
          <w:color w:val="000000"/>
        </w:rPr>
      </w:pPr>
      <w:r w:rsidRPr="00E351D9">
        <w:rPr>
          <w:rFonts w:asciiTheme="minorHAnsi" w:hAnsiTheme="minorHAnsi"/>
          <w:color w:val="000000"/>
        </w:rPr>
        <w:t xml:space="preserve">„Obligacijų rinka yra labai įvairi. Galite rinktis valstybines obligacijas, kurios užtikrina maksimalų saugumą, arba įmonių obligacijas, kurios siūlo didesnę grąžą, tačiau reikalauja daugiau analizės“, – teigia </w:t>
      </w:r>
      <w:r w:rsidR="006A52E6">
        <w:rPr>
          <w:rFonts w:asciiTheme="minorHAnsi" w:hAnsiTheme="minorHAnsi"/>
          <w:color w:val="000000"/>
        </w:rPr>
        <w:t xml:space="preserve">M. </w:t>
      </w:r>
      <w:r w:rsidRPr="00E351D9">
        <w:rPr>
          <w:rFonts w:asciiTheme="minorHAnsi" w:hAnsiTheme="minorHAnsi"/>
          <w:color w:val="000000"/>
        </w:rPr>
        <w:t>Liaudanskas. Jis taip pat pastebi, kad šiuo metu, kai palūkanų normos keičiasi, obligacijos tampa vis patrauklesnės kaip alternatyva banko indėliams.</w:t>
      </w:r>
    </w:p>
    <w:p w14:paraId="2364A2EA" w14:textId="332A77F9" w:rsidR="006A52E6" w:rsidRPr="000D5A77" w:rsidRDefault="00A1398A" w:rsidP="007D301B">
      <w:pPr>
        <w:pStyle w:val="NormalWeb"/>
        <w:jc w:val="both"/>
        <w:rPr>
          <w:rFonts w:asciiTheme="minorHAnsi" w:hAnsiTheme="minorHAnsi"/>
          <w:color w:val="000000"/>
          <w:lang w:val="en-US"/>
        </w:rPr>
      </w:pPr>
      <w:r>
        <w:rPr>
          <w:rFonts w:asciiTheme="minorHAnsi" w:hAnsiTheme="minorHAnsi"/>
          <w:color w:val="000000"/>
          <w:lang w:val="lt-LT"/>
        </w:rPr>
        <w:t>Anot eksperto, i</w:t>
      </w:r>
      <w:r w:rsidR="003D14B8">
        <w:rPr>
          <w:rFonts w:asciiTheme="minorHAnsi" w:hAnsiTheme="minorHAnsi"/>
          <w:color w:val="000000"/>
          <w:lang w:val="lt-LT"/>
        </w:rPr>
        <w:t>nvestuotojų domėjimąsi atliepia itin padidėjusi įmonių obligacijų pasiūla</w:t>
      </w:r>
      <w:r>
        <w:rPr>
          <w:rFonts w:asciiTheme="minorHAnsi" w:hAnsiTheme="minorHAnsi"/>
          <w:color w:val="000000"/>
          <w:lang w:val="lt-LT"/>
        </w:rPr>
        <w:t xml:space="preserve">: „Vis dėlto, </w:t>
      </w:r>
      <w:r w:rsidR="003D14B8">
        <w:rPr>
          <w:rFonts w:asciiTheme="minorHAnsi" w:hAnsiTheme="minorHAnsi"/>
          <w:color w:val="000000"/>
          <w:lang w:val="lt-LT"/>
        </w:rPr>
        <w:t xml:space="preserve">reikėtų nepamiršti, jog šis instrumentas yra </w:t>
      </w:r>
      <w:r w:rsidR="00FD3C0C">
        <w:rPr>
          <w:rFonts w:asciiTheme="minorHAnsi" w:hAnsiTheme="minorHAnsi"/>
          <w:color w:val="000000"/>
          <w:lang w:val="lt-LT"/>
        </w:rPr>
        <w:t>susijęs ir su rizika. Kruopšti obligacijų emitento finansinė analizė yra būtina norint tinkamai</w:t>
      </w:r>
      <w:r>
        <w:rPr>
          <w:rFonts w:asciiTheme="minorHAnsi" w:hAnsiTheme="minorHAnsi"/>
          <w:color w:val="000000"/>
          <w:lang w:val="lt-LT"/>
        </w:rPr>
        <w:t xml:space="preserve"> ją</w:t>
      </w:r>
      <w:r w:rsidR="00FD3C0C">
        <w:rPr>
          <w:rFonts w:asciiTheme="minorHAnsi" w:hAnsiTheme="minorHAnsi"/>
          <w:color w:val="000000"/>
          <w:lang w:val="lt-LT"/>
        </w:rPr>
        <w:t xml:space="preserve"> įvertinti</w:t>
      </w:r>
      <w:r>
        <w:rPr>
          <w:rFonts w:asciiTheme="minorHAnsi" w:hAnsiTheme="minorHAnsi"/>
          <w:color w:val="000000"/>
          <w:lang w:val="lt-LT"/>
        </w:rPr>
        <w:t>.“</w:t>
      </w:r>
    </w:p>
    <w:p w14:paraId="3EC39435" w14:textId="3D5530C4" w:rsidR="004A4BE2" w:rsidRPr="00176677" w:rsidRDefault="007D301B" w:rsidP="00176677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>„</w:t>
      </w:r>
      <w:r w:rsidR="002906F2">
        <w:rPr>
          <w:rFonts w:asciiTheme="minorHAnsi" w:hAnsiTheme="minorHAnsi"/>
          <w:color w:val="000000"/>
          <w:lang w:val="lt-LT"/>
        </w:rPr>
        <w:t xml:space="preserve">Atliepdami </w:t>
      </w:r>
      <w:r>
        <w:rPr>
          <w:rFonts w:asciiTheme="minorHAnsi" w:hAnsiTheme="minorHAnsi"/>
          <w:color w:val="000000"/>
          <w:lang w:val="lt-LT"/>
        </w:rPr>
        <w:t xml:space="preserve">kylančią obligacijų </w:t>
      </w:r>
      <w:r w:rsidR="002906F2">
        <w:rPr>
          <w:rFonts w:asciiTheme="minorHAnsi" w:hAnsiTheme="minorHAnsi"/>
          <w:color w:val="000000"/>
          <w:lang w:val="lt-LT"/>
        </w:rPr>
        <w:t xml:space="preserve">paklausą </w:t>
      </w:r>
      <w:r w:rsidR="00915596">
        <w:rPr>
          <w:rFonts w:asciiTheme="minorHAnsi" w:hAnsiTheme="minorHAnsi"/>
          <w:color w:val="000000"/>
          <w:lang w:val="lt-LT"/>
        </w:rPr>
        <w:t xml:space="preserve">bei poreikį tinkamai pasirinkti </w:t>
      </w:r>
      <w:r w:rsidR="005B7C16">
        <w:rPr>
          <w:rFonts w:asciiTheme="minorHAnsi" w:hAnsiTheme="minorHAnsi"/>
          <w:color w:val="000000"/>
          <w:lang w:val="lt-LT"/>
        </w:rPr>
        <w:t xml:space="preserve">kam bus skolinami pinigai, </w:t>
      </w:r>
      <w:r w:rsidR="00540551">
        <w:rPr>
          <w:rFonts w:asciiTheme="minorHAnsi" w:hAnsiTheme="minorHAnsi"/>
          <w:color w:val="000000"/>
          <w:lang w:val="lt-LT"/>
        </w:rPr>
        <w:t xml:space="preserve">įkūrėme </w:t>
      </w:r>
      <w:r w:rsidR="00BB1655">
        <w:rPr>
          <w:rFonts w:asciiTheme="minorHAnsi" w:hAnsiTheme="minorHAnsi"/>
          <w:color w:val="000000"/>
          <w:lang w:val="lt-LT"/>
        </w:rPr>
        <w:t>„</w:t>
      </w:r>
      <w:proofErr w:type="spellStart"/>
      <w:r w:rsidR="00BB1655">
        <w:rPr>
          <w:rFonts w:asciiTheme="minorHAnsi" w:hAnsiTheme="minorHAnsi"/>
          <w:color w:val="000000"/>
          <w:lang w:val="lt-LT"/>
        </w:rPr>
        <w:t>Capitalica</w:t>
      </w:r>
      <w:proofErr w:type="spellEnd"/>
      <w:r w:rsidR="00BB1655"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 w:rsidR="00BB1655">
        <w:rPr>
          <w:rFonts w:asciiTheme="minorHAnsi" w:hAnsiTheme="minorHAnsi"/>
          <w:color w:val="000000"/>
          <w:lang w:val="lt-LT"/>
        </w:rPr>
        <w:t>Debf</w:t>
      </w:r>
      <w:proofErr w:type="spellEnd"/>
      <w:r w:rsidR="00BB1655"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 w:rsidR="00BB1655">
        <w:rPr>
          <w:rFonts w:asciiTheme="minorHAnsi" w:hAnsiTheme="minorHAnsi"/>
          <w:color w:val="000000"/>
          <w:lang w:val="lt-LT"/>
        </w:rPr>
        <w:t>Fund</w:t>
      </w:r>
      <w:proofErr w:type="spellEnd"/>
      <w:r w:rsidR="00BB1655">
        <w:rPr>
          <w:rFonts w:asciiTheme="minorHAnsi" w:hAnsiTheme="minorHAnsi"/>
          <w:color w:val="000000"/>
          <w:lang w:val="lt-LT"/>
        </w:rPr>
        <w:t>“</w:t>
      </w:r>
      <w:r w:rsidR="00626D50">
        <w:rPr>
          <w:rFonts w:asciiTheme="minorHAnsi" w:hAnsiTheme="minorHAnsi"/>
          <w:color w:val="000000"/>
          <w:lang w:val="lt-LT"/>
        </w:rPr>
        <w:t>,</w:t>
      </w:r>
      <w:r w:rsidR="00BB1655">
        <w:rPr>
          <w:rFonts w:asciiTheme="minorHAnsi" w:hAnsiTheme="minorHAnsi"/>
          <w:color w:val="000000"/>
          <w:lang w:val="lt-LT"/>
        </w:rPr>
        <w:t xml:space="preserve"> </w:t>
      </w:r>
      <w:r w:rsidR="00540551">
        <w:rPr>
          <w:rFonts w:asciiTheme="minorHAnsi" w:hAnsiTheme="minorHAnsi"/>
          <w:color w:val="000000"/>
          <w:lang w:val="lt-LT"/>
        </w:rPr>
        <w:t>kuriame investuot</w:t>
      </w:r>
      <w:r w:rsidR="00C54FF1">
        <w:rPr>
          <w:rFonts w:asciiTheme="minorHAnsi" w:hAnsiTheme="minorHAnsi"/>
          <w:color w:val="000000"/>
          <w:lang w:val="lt-LT"/>
        </w:rPr>
        <w:t>o</w:t>
      </w:r>
      <w:r w:rsidR="00540551">
        <w:rPr>
          <w:rFonts w:asciiTheme="minorHAnsi" w:hAnsiTheme="minorHAnsi"/>
          <w:color w:val="000000"/>
          <w:lang w:val="lt-LT"/>
        </w:rPr>
        <w:t xml:space="preserve">jai turi </w:t>
      </w:r>
      <w:r w:rsidR="00BB1655">
        <w:rPr>
          <w:rFonts w:asciiTheme="minorHAnsi" w:hAnsiTheme="minorHAnsi"/>
          <w:color w:val="000000"/>
          <w:lang w:val="lt-LT"/>
        </w:rPr>
        <w:t>galimybę investu</w:t>
      </w:r>
      <w:r w:rsidR="0028677A">
        <w:rPr>
          <w:rFonts w:asciiTheme="minorHAnsi" w:hAnsiTheme="minorHAnsi"/>
          <w:color w:val="000000"/>
          <w:lang w:val="lt-LT"/>
        </w:rPr>
        <w:t xml:space="preserve">oti pradedant nuo </w:t>
      </w:r>
      <w:r w:rsidR="0028677A">
        <w:rPr>
          <w:rFonts w:asciiTheme="minorHAnsi" w:hAnsiTheme="minorHAnsi"/>
          <w:color w:val="000000"/>
          <w:lang w:val="en-US"/>
        </w:rPr>
        <w:t>25 t</w:t>
      </w:r>
      <w:proofErr w:type="spellStart"/>
      <w:r w:rsidR="0028677A">
        <w:rPr>
          <w:rFonts w:asciiTheme="minorHAnsi" w:hAnsiTheme="minorHAnsi"/>
          <w:color w:val="000000"/>
          <w:lang w:val="lt-LT"/>
        </w:rPr>
        <w:t>ūkst</w:t>
      </w:r>
      <w:proofErr w:type="spellEnd"/>
      <w:r w:rsidR="0028677A">
        <w:rPr>
          <w:rFonts w:asciiTheme="minorHAnsi" w:hAnsiTheme="minorHAnsi"/>
          <w:color w:val="000000"/>
          <w:lang w:val="lt-LT"/>
        </w:rPr>
        <w:t xml:space="preserve">. </w:t>
      </w:r>
      <w:proofErr w:type="spellStart"/>
      <w:r w:rsidR="0028677A">
        <w:rPr>
          <w:rFonts w:asciiTheme="minorHAnsi" w:hAnsiTheme="minorHAnsi"/>
          <w:color w:val="000000"/>
          <w:lang w:val="en-US"/>
        </w:rPr>
        <w:t>eur</w:t>
      </w:r>
      <w:proofErr w:type="spellEnd"/>
      <w:r w:rsidR="0028677A">
        <w:rPr>
          <w:rFonts w:asciiTheme="minorHAnsi" w:hAnsiTheme="minorHAnsi"/>
          <w:color w:val="000000"/>
          <w:lang w:val="lt-LT"/>
        </w:rPr>
        <w:t>ų. Šis sprendimas naudingiausias tiems klientams, kurie</w:t>
      </w:r>
      <w:r w:rsidR="00C54FF1">
        <w:rPr>
          <w:rFonts w:asciiTheme="minorHAnsi" w:hAnsiTheme="minorHAnsi"/>
          <w:color w:val="000000"/>
          <w:lang w:val="lt-LT"/>
        </w:rPr>
        <w:t xml:space="preserve"> nori</w:t>
      </w:r>
      <w:r w:rsidR="0028677A">
        <w:rPr>
          <w:rFonts w:asciiTheme="minorHAnsi" w:hAnsiTheme="minorHAnsi"/>
          <w:color w:val="000000"/>
          <w:lang w:val="lt-LT"/>
        </w:rPr>
        <w:t xml:space="preserve"> </w:t>
      </w:r>
      <w:r w:rsidR="00BD4379">
        <w:rPr>
          <w:rFonts w:asciiTheme="minorHAnsi" w:hAnsiTheme="minorHAnsi"/>
          <w:color w:val="000000"/>
          <w:lang w:val="lt-LT"/>
        </w:rPr>
        <w:t xml:space="preserve">investuoti į </w:t>
      </w:r>
      <w:r w:rsidR="00CE4AA0">
        <w:rPr>
          <w:rFonts w:asciiTheme="minorHAnsi" w:hAnsiTheme="minorHAnsi"/>
          <w:color w:val="000000"/>
          <w:lang w:val="lt-LT"/>
        </w:rPr>
        <w:t>diversifikuot</w:t>
      </w:r>
      <w:r w:rsidR="00A1398A">
        <w:rPr>
          <w:rFonts w:asciiTheme="minorHAnsi" w:hAnsiTheme="minorHAnsi"/>
          <w:color w:val="000000"/>
          <w:lang w:val="lt-LT"/>
        </w:rPr>
        <w:t>ą</w:t>
      </w:r>
      <w:r w:rsidR="00C54FF1">
        <w:rPr>
          <w:rFonts w:asciiTheme="minorHAnsi" w:hAnsiTheme="minorHAnsi"/>
          <w:color w:val="000000"/>
          <w:lang w:val="lt-LT"/>
        </w:rPr>
        <w:t xml:space="preserve"> ir detaliai atrinktą </w:t>
      </w:r>
      <w:r w:rsidR="00BD4379">
        <w:rPr>
          <w:rFonts w:asciiTheme="minorHAnsi" w:hAnsiTheme="minorHAnsi"/>
          <w:color w:val="000000"/>
          <w:lang w:val="lt-LT"/>
        </w:rPr>
        <w:t>skolos vertybini</w:t>
      </w:r>
      <w:r w:rsidR="00A1398A">
        <w:rPr>
          <w:rFonts w:asciiTheme="minorHAnsi" w:hAnsiTheme="minorHAnsi"/>
          <w:color w:val="000000"/>
          <w:lang w:val="lt-LT"/>
        </w:rPr>
        <w:t>ų</w:t>
      </w:r>
      <w:r w:rsidR="00BD4379">
        <w:rPr>
          <w:rFonts w:asciiTheme="minorHAnsi" w:hAnsiTheme="minorHAnsi"/>
          <w:color w:val="000000"/>
          <w:lang w:val="lt-LT"/>
        </w:rPr>
        <w:t xml:space="preserve"> popieri</w:t>
      </w:r>
      <w:r w:rsidR="00C54FF1">
        <w:rPr>
          <w:rFonts w:asciiTheme="minorHAnsi" w:hAnsiTheme="minorHAnsi"/>
          <w:color w:val="000000"/>
          <w:lang w:val="lt-LT"/>
        </w:rPr>
        <w:t>ų krepšelį, tam skiriant minimaliai pastangų</w:t>
      </w:r>
      <w:r w:rsidR="00FD7C4A">
        <w:rPr>
          <w:rFonts w:asciiTheme="minorHAnsi" w:hAnsiTheme="minorHAnsi"/>
          <w:color w:val="000000"/>
          <w:lang w:val="lt-LT"/>
        </w:rPr>
        <w:t>. Ši</w:t>
      </w:r>
      <w:r w:rsidR="00C54FF1">
        <w:rPr>
          <w:rFonts w:asciiTheme="minorHAnsi" w:hAnsiTheme="minorHAnsi"/>
          <w:color w:val="000000"/>
          <w:lang w:val="lt-LT"/>
        </w:rPr>
        <w:t>s</w:t>
      </w:r>
      <w:r w:rsidR="00FD7C4A">
        <w:rPr>
          <w:rFonts w:asciiTheme="minorHAnsi" w:hAnsiTheme="minorHAnsi"/>
          <w:color w:val="000000"/>
          <w:lang w:val="lt-LT"/>
        </w:rPr>
        <w:t xml:space="preserve"> fondas</w:t>
      </w:r>
      <w:r w:rsidR="00C54FF1">
        <w:rPr>
          <w:rFonts w:asciiTheme="minorHAnsi" w:hAnsiTheme="minorHAnsi"/>
          <w:color w:val="000000"/>
          <w:lang w:val="lt-LT"/>
        </w:rPr>
        <w:t xml:space="preserve">, kaip ir pavienė obligacija, </w:t>
      </w:r>
      <w:r w:rsidR="00FD7C4A">
        <w:rPr>
          <w:rFonts w:asciiTheme="minorHAnsi" w:hAnsiTheme="minorHAnsi"/>
          <w:color w:val="000000"/>
          <w:lang w:val="lt-LT"/>
        </w:rPr>
        <w:t xml:space="preserve">planuoja kasmet investuotojams išmokėti dalį uždirbamų pajamų, taip generuojant jiems iki </w:t>
      </w:r>
      <w:r w:rsidR="00FD7C4A">
        <w:rPr>
          <w:rFonts w:asciiTheme="minorHAnsi" w:hAnsiTheme="minorHAnsi"/>
          <w:color w:val="000000"/>
          <w:lang w:val="en-US"/>
        </w:rPr>
        <w:t xml:space="preserve">5 </w:t>
      </w:r>
      <w:r w:rsidR="00FD7C4A">
        <w:rPr>
          <w:rFonts w:asciiTheme="minorHAnsi" w:hAnsiTheme="minorHAnsi"/>
          <w:color w:val="000000"/>
          <w:lang w:val="lt-LT"/>
        </w:rPr>
        <w:t>proc. metinių palūkanų pasyvių pajamų srautą</w:t>
      </w:r>
      <w:r w:rsidR="00767162">
        <w:rPr>
          <w:rFonts w:asciiTheme="minorHAnsi" w:hAnsiTheme="minorHAnsi"/>
          <w:color w:val="000000"/>
          <w:lang w:val="lt-LT"/>
        </w:rPr>
        <w:t xml:space="preserve">, o dar </w:t>
      </w:r>
      <w:r w:rsidR="004F09AC">
        <w:rPr>
          <w:rFonts w:asciiTheme="minorHAnsi" w:hAnsiTheme="minorHAnsi"/>
          <w:color w:val="000000"/>
          <w:lang w:val="lt-LT"/>
        </w:rPr>
        <w:t xml:space="preserve">apie </w:t>
      </w:r>
      <w:r w:rsidR="00767162">
        <w:rPr>
          <w:rFonts w:asciiTheme="minorHAnsi" w:hAnsiTheme="minorHAnsi"/>
          <w:color w:val="000000"/>
          <w:lang w:val="lt-LT"/>
        </w:rPr>
        <w:t>tiek pat bus reinvestuojam</w:t>
      </w:r>
      <w:r w:rsidR="004F09AC">
        <w:rPr>
          <w:rFonts w:asciiTheme="minorHAnsi" w:hAnsiTheme="minorHAnsi"/>
          <w:color w:val="000000"/>
          <w:lang w:val="lt-LT"/>
        </w:rPr>
        <w:t>a</w:t>
      </w:r>
      <w:r w:rsidR="00767162">
        <w:rPr>
          <w:rFonts w:asciiTheme="minorHAnsi" w:hAnsiTheme="minorHAnsi"/>
          <w:color w:val="000000"/>
          <w:lang w:val="lt-LT"/>
        </w:rPr>
        <w:t xml:space="preserve"> </w:t>
      </w:r>
      <w:r w:rsidR="004F09AC">
        <w:rPr>
          <w:rFonts w:asciiTheme="minorHAnsi" w:hAnsiTheme="minorHAnsi"/>
          <w:color w:val="000000"/>
          <w:lang w:val="lt-LT"/>
        </w:rPr>
        <w:t>ir grąža realizuosis fondo veiklos pabaigoje</w:t>
      </w:r>
      <w:r w:rsidR="00176677">
        <w:rPr>
          <w:rFonts w:asciiTheme="minorHAnsi" w:hAnsiTheme="minorHAnsi"/>
          <w:color w:val="000000"/>
          <w:lang w:val="lt-LT"/>
        </w:rPr>
        <w:t>“, – sako M. Liaudanskas.</w:t>
      </w:r>
    </w:p>
    <w:p w14:paraId="4F1E4E10" w14:textId="22C06851" w:rsidR="006A7A69" w:rsidRPr="00E351D9" w:rsidRDefault="00D03EEC" w:rsidP="00604452">
      <w:pPr>
        <w:pStyle w:val="NormalWeb"/>
        <w:numPr>
          <w:ilvl w:val="0"/>
          <w:numId w:val="3"/>
        </w:numPr>
        <w:jc w:val="both"/>
        <w:rPr>
          <w:rFonts w:asciiTheme="minorHAnsi" w:hAnsiTheme="minorHAnsi"/>
          <w:b/>
          <w:bCs/>
          <w:color w:val="000000"/>
        </w:rPr>
      </w:pPr>
      <w:r w:rsidRPr="00E351D9">
        <w:rPr>
          <w:rFonts w:asciiTheme="minorHAnsi" w:hAnsiTheme="minorHAnsi"/>
          <w:b/>
          <w:bCs/>
          <w:color w:val="000000"/>
          <w:lang w:val="lt-LT"/>
        </w:rPr>
        <w:lastRenderedPageBreak/>
        <w:t>Subalansuotai įvairovei – </w:t>
      </w:r>
      <w:r w:rsidR="007929FF">
        <w:rPr>
          <w:rFonts w:asciiTheme="minorHAnsi" w:hAnsiTheme="minorHAnsi"/>
          <w:b/>
          <w:bCs/>
          <w:color w:val="000000"/>
          <w:lang w:val="lt-LT"/>
        </w:rPr>
        <w:t>investiciniai</w:t>
      </w:r>
      <w:r w:rsidRPr="00E351D9">
        <w:rPr>
          <w:rFonts w:asciiTheme="minorHAnsi" w:hAnsiTheme="minorHAnsi"/>
          <w:b/>
          <w:bCs/>
          <w:color w:val="000000"/>
          <w:lang w:val="lt-LT"/>
        </w:rPr>
        <w:t xml:space="preserve"> fondai</w:t>
      </w:r>
    </w:p>
    <w:p w14:paraId="2E1E6AD7" w14:textId="7E9CE11C" w:rsidR="00F31BBE" w:rsidRDefault="00252A27" w:rsidP="00604452">
      <w:pPr>
        <w:pStyle w:val="NormalWeb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Didesnes sumas investicijoms skirti galintys asmenys, anot eksperto, turėtų nepamiršti ir </w:t>
      </w:r>
      <w:r w:rsidR="007929FF">
        <w:rPr>
          <w:rFonts w:asciiTheme="minorHAnsi" w:hAnsiTheme="minorHAnsi"/>
          <w:color w:val="000000"/>
        </w:rPr>
        <w:t>investicinių</w:t>
      </w:r>
      <w:r>
        <w:rPr>
          <w:rFonts w:asciiTheme="minorHAnsi" w:hAnsiTheme="minorHAnsi"/>
          <w:color w:val="000000"/>
        </w:rPr>
        <w:t xml:space="preserve"> fondų. </w:t>
      </w:r>
    </w:p>
    <w:p w14:paraId="00C225B3" w14:textId="4765EBB9" w:rsidR="00252A27" w:rsidRDefault="00252A27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 xml:space="preserve">„Investicinius fondus valdo šios srities profesionalai. Todėl </w:t>
      </w:r>
      <w:r w:rsidR="0002116C">
        <w:rPr>
          <w:rFonts w:asciiTheme="minorHAnsi" w:hAnsiTheme="minorHAnsi"/>
          <w:color w:val="000000"/>
          <w:lang w:val="lt-LT"/>
        </w:rPr>
        <w:t>jie</w:t>
      </w:r>
      <w:r>
        <w:rPr>
          <w:rFonts w:asciiTheme="minorHAnsi" w:hAnsiTheme="minorHAnsi"/>
          <w:color w:val="000000"/>
          <w:lang w:val="lt-LT"/>
        </w:rPr>
        <w:t xml:space="preserve"> – puikus pasirinkimas tiems, kurie n</w:t>
      </w:r>
      <w:r w:rsidR="00177F47">
        <w:rPr>
          <w:rFonts w:asciiTheme="minorHAnsi" w:hAnsiTheme="minorHAnsi"/>
          <w:color w:val="000000"/>
          <w:lang w:val="lt-LT"/>
        </w:rPr>
        <w:t>ori maksimaliai sumažinti investicijų riziką</w:t>
      </w:r>
      <w:r w:rsidR="00EE5743">
        <w:rPr>
          <w:rFonts w:asciiTheme="minorHAnsi" w:hAnsiTheme="minorHAnsi"/>
          <w:color w:val="000000"/>
          <w:lang w:val="lt-LT"/>
        </w:rPr>
        <w:t>, išsaugant lūkesčius tenkinančią ar juos net ir viršijančią metinę grąžą</w:t>
      </w:r>
      <w:r w:rsidR="0034255E">
        <w:rPr>
          <w:rFonts w:asciiTheme="minorHAnsi" w:hAnsiTheme="minorHAnsi"/>
          <w:color w:val="000000"/>
          <w:lang w:val="lt-LT"/>
        </w:rPr>
        <w:t>. Taip pat tiems, kurie nenori apsiriboti viena ar keliomis investicijomis, o jas diversifikuoti. Tai – visada sveikintinas sprendimas, padedantis greičiau pasiekti užsibrėžtų investavimo tikslų</w:t>
      </w:r>
      <w:r w:rsidR="0065103C">
        <w:rPr>
          <w:rFonts w:asciiTheme="minorHAnsi" w:hAnsiTheme="minorHAnsi"/>
          <w:color w:val="000000"/>
          <w:lang w:val="lt-LT"/>
        </w:rPr>
        <w:t xml:space="preserve">“, </w:t>
      </w:r>
      <w:r w:rsidR="007524BD">
        <w:rPr>
          <w:rFonts w:asciiTheme="minorHAnsi" w:hAnsiTheme="minorHAnsi"/>
          <w:color w:val="000000"/>
          <w:lang w:val="lt-LT"/>
        </w:rPr>
        <w:t>– sako „</w:t>
      </w:r>
      <w:proofErr w:type="spellStart"/>
      <w:r w:rsidR="007524BD">
        <w:rPr>
          <w:rFonts w:asciiTheme="minorHAnsi" w:hAnsiTheme="minorHAnsi"/>
          <w:color w:val="000000"/>
          <w:lang w:val="lt-LT"/>
        </w:rPr>
        <w:t>Capitalica</w:t>
      </w:r>
      <w:proofErr w:type="spellEnd"/>
      <w:r w:rsidR="007524BD"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 w:rsidR="007524BD">
        <w:rPr>
          <w:rFonts w:asciiTheme="minorHAnsi" w:hAnsiTheme="minorHAnsi"/>
          <w:color w:val="000000"/>
          <w:lang w:val="lt-LT"/>
        </w:rPr>
        <w:t>Aset</w:t>
      </w:r>
      <w:proofErr w:type="spellEnd"/>
      <w:r w:rsidR="007524BD"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 w:rsidR="007524BD">
        <w:rPr>
          <w:rFonts w:asciiTheme="minorHAnsi" w:hAnsiTheme="minorHAnsi"/>
          <w:color w:val="000000"/>
          <w:lang w:val="lt-LT"/>
        </w:rPr>
        <w:t>Management</w:t>
      </w:r>
      <w:proofErr w:type="spellEnd"/>
      <w:r w:rsidR="007524BD">
        <w:rPr>
          <w:rFonts w:asciiTheme="minorHAnsi" w:hAnsiTheme="minorHAnsi"/>
          <w:color w:val="000000"/>
          <w:lang w:val="lt-LT"/>
        </w:rPr>
        <w:t xml:space="preserve">“ vadovas. </w:t>
      </w:r>
    </w:p>
    <w:p w14:paraId="5968E4B7" w14:textId="1FFB7DFE" w:rsidR="00A1398A" w:rsidRDefault="007524BD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 xml:space="preserve">Anot jo, fondai </w:t>
      </w:r>
      <w:r w:rsidR="00F63228">
        <w:rPr>
          <w:rFonts w:asciiTheme="minorHAnsi" w:hAnsiTheme="minorHAnsi"/>
          <w:color w:val="000000"/>
          <w:lang w:val="lt-LT"/>
        </w:rPr>
        <w:t>tinka</w:t>
      </w:r>
      <w:r w:rsidR="00105932">
        <w:rPr>
          <w:rFonts w:asciiTheme="minorHAnsi" w:hAnsiTheme="minorHAnsi"/>
          <w:color w:val="000000"/>
          <w:lang w:val="lt-LT"/>
        </w:rPr>
        <w:t xml:space="preserve"> </w:t>
      </w:r>
      <w:r w:rsidR="00F63228">
        <w:rPr>
          <w:rFonts w:asciiTheme="minorHAnsi" w:hAnsiTheme="minorHAnsi"/>
          <w:color w:val="000000"/>
          <w:lang w:val="lt-LT"/>
        </w:rPr>
        <w:t>labiau patyrusiems investuotojams: „Investicinius fondus rekomenduočiau rinktis tiem</w:t>
      </w:r>
      <w:r w:rsidR="00A1398A">
        <w:rPr>
          <w:rFonts w:asciiTheme="minorHAnsi" w:hAnsiTheme="minorHAnsi"/>
          <w:color w:val="000000"/>
          <w:lang w:val="lt-LT"/>
        </w:rPr>
        <w:t>s, kurie gali sau leisti siekti didesnės stabilios grąžos, turint šiek tiek mažesnį investicijos likvidumą.“</w:t>
      </w:r>
    </w:p>
    <w:p w14:paraId="265F1C4B" w14:textId="1C3F2C1F" w:rsidR="00D03EEC" w:rsidRPr="00E351D9" w:rsidRDefault="001D38B0" w:rsidP="00604452">
      <w:pPr>
        <w:pStyle w:val="NormalWeb"/>
        <w:numPr>
          <w:ilvl w:val="0"/>
          <w:numId w:val="3"/>
        </w:numPr>
        <w:jc w:val="both"/>
        <w:rPr>
          <w:rFonts w:asciiTheme="minorHAnsi" w:hAnsiTheme="minorHAnsi"/>
          <w:b/>
          <w:bCs/>
          <w:color w:val="000000"/>
        </w:rPr>
      </w:pPr>
      <w:r w:rsidRPr="00E351D9">
        <w:rPr>
          <w:rFonts w:asciiTheme="minorHAnsi" w:hAnsiTheme="minorHAnsi"/>
          <w:b/>
          <w:bCs/>
          <w:color w:val="000000"/>
        </w:rPr>
        <w:t>Drąsia</w:t>
      </w:r>
      <w:r w:rsidR="00F534FC" w:rsidRPr="00E351D9">
        <w:rPr>
          <w:rFonts w:asciiTheme="minorHAnsi" w:hAnsiTheme="minorHAnsi"/>
          <w:b/>
          <w:bCs/>
          <w:color w:val="000000"/>
        </w:rPr>
        <w:t>m išskirtinumui – akcijos ir kiti instrumentai </w:t>
      </w:r>
    </w:p>
    <w:p w14:paraId="53F38129" w14:textId="229F2D96" w:rsidR="00084FA5" w:rsidRPr="00084FA5" w:rsidRDefault="00084FA5" w:rsidP="00604452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</w:rPr>
        <w:t xml:space="preserve">Akcijų rinka dažnai vadinama </w:t>
      </w:r>
      <w:r>
        <w:rPr>
          <w:rFonts w:asciiTheme="minorHAnsi" w:hAnsiTheme="minorHAnsi"/>
          <w:color w:val="000000"/>
          <w:lang w:val="lt-LT"/>
        </w:rPr>
        <w:t xml:space="preserve">„didžiųjų žaidėjų“ arena, mat ji reikalauja puikių investavimo ir rizikų valdymo žinių. Vis dėlto, aukštesnė rizika, kaip taisyklė, visada vilioja galimos aukštos grąžos pažadais. </w:t>
      </w:r>
    </w:p>
    <w:p w14:paraId="08888384" w14:textId="396A23D6" w:rsidR="006A7A69" w:rsidRPr="00E351D9" w:rsidRDefault="006A7A69" w:rsidP="00604452">
      <w:pPr>
        <w:pStyle w:val="NormalWeb"/>
        <w:jc w:val="both"/>
        <w:rPr>
          <w:rFonts w:asciiTheme="minorHAnsi" w:hAnsiTheme="minorHAnsi"/>
          <w:color w:val="000000"/>
        </w:rPr>
      </w:pPr>
      <w:r w:rsidRPr="00E351D9">
        <w:rPr>
          <w:rFonts w:asciiTheme="minorHAnsi" w:hAnsiTheme="minorHAnsi"/>
          <w:color w:val="000000"/>
        </w:rPr>
        <w:t>„Akcijos – tai įrankis, skirtas tiems, kurie nori tapti aktyviais investuotojais ir turi laiko bei resursų gilintis į finansų rinkas</w:t>
      </w:r>
      <w:r w:rsidR="003A5F39">
        <w:rPr>
          <w:rFonts w:asciiTheme="minorHAnsi" w:hAnsiTheme="minorHAnsi"/>
          <w:color w:val="000000"/>
          <w:lang w:val="lt-LT"/>
        </w:rPr>
        <w:t xml:space="preserve">, įmonių sektorius, </w:t>
      </w:r>
      <w:r w:rsidR="003A7E70">
        <w:rPr>
          <w:rFonts w:asciiTheme="minorHAnsi" w:hAnsiTheme="minorHAnsi"/>
          <w:color w:val="000000"/>
          <w:lang w:val="lt-LT"/>
        </w:rPr>
        <w:t>makroekonominius</w:t>
      </w:r>
      <w:r w:rsidR="003A5F39">
        <w:rPr>
          <w:rFonts w:asciiTheme="minorHAnsi" w:hAnsiTheme="minorHAnsi"/>
          <w:color w:val="000000"/>
          <w:lang w:val="lt-LT"/>
        </w:rPr>
        <w:t xml:space="preserve"> pokyčius</w:t>
      </w:r>
      <w:r w:rsidR="00A1398A">
        <w:rPr>
          <w:rFonts w:asciiTheme="minorHAnsi" w:hAnsiTheme="minorHAnsi"/>
          <w:color w:val="000000"/>
          <w:lang w:val="lt-LT"/>
        </w:rPr>
        <w:t xml:space="preserve"> ir kt</w:t>
      </w:r>
      <w:r w:rsidR="003A5F39">
        <w:rPr>
          <w:rFonts w:asciiTheme="minorHAnsi" w:hAnsiTheme="minorHAnsi"/>
          <w:color w:val="000000"/>
          <w:lang w:val="lt-LT"/>
        </w:rPr>
        <w:t>.</w:t>
      </w:r>
      <w:r w:rsidRPr="00E351D9">
        <w:rPr>
          <w:rFonts w:asciiTheme="minorHAnsi" w:hAnsiTheme="minorHAnsi"/>
          <w:color w:val="000000"/>
        </w:rPr>
        <w:t xml:space="preserve"> Nors rizika </w:t>
      </w:r>
      <w:r w:rsidR="003A5F39">
        <w:rPr>
          <w:rFonts w:asciiTheme="minorHAnsi" w:hAnsiTheme="minorHAnsi"/>
          <w:color w:val="000000"/>
          <w:lang w:val="lt-LT"/>
        </w:rPr>
        <w:t>didelė</w:t>
      </w:r>
      <w:r w:rsidRPr="00E351D9">
        <w:rPr>
          <w:rFonts w:asciiTheme="minorHAnsi" w:hAnsiTheme="minorHAnsi"/>
          <w:color w:val="000000"/>
        </w:rPr>
        <w:t xml:space="preserve">, potenciali grąža </w:t>
      </w:r>
      <w:r w:rsidR="00084FA5">
        <w:rPr>
          <w:rFonts w:asciiTheme="minorHAnsi" w:hAnsiTheme="minorHAnsi"/>
          <w:color w:val="000000"/>
        </w:rPr>
        <w:t xml:space="preserve">– </w:t>
      </w:r>
      <w:r w:rsidRPr="00E351D9">
        <w:rPr>
          <w:rFonts w:asciiTheme="minorHAnsi" w:hAnsiTheme="minorHAnsi"/>
          <w:color w:val="000000"/>
        </w:rPr>
        <w:t xml:space="preserve">aukštesnė“, – sako </w:t>
      </w:r>
      <w:r w:rsidR="00084FA5">
        <w:rPr>
          <w:rFonts w:asciiTheme="minorHAnsi" w:hAnsiTheme="minorHAnsi"/>
          <w:color w:val="000000"/>
        </w:rPr>
        <w:t xml:space="preserve">M. </w:t>
      </w:r>
      <w:r w:rsidRPr="00E351D9">
        <w:rPr>
          <w:rFonts w:asciiTheme="minorHAnsi" w:hAnsiTheme="minorHAnsi"/>
          <w:color w:val="000000"/>
        </w:rPr>
        <w:t>Liaudanskas.</w:t>
      </w:r>
    </w:p>
    <w:p w14:paraId="111AAC57" w14:textId="14C63C29" w:rsidR="00DC6EE0" w:rsidRPr="000D5A77" w:rsidRDefault="006A7A69" w:rsidP="000D5A77">
      <w:pPr>
        <w:pStyle w:val="NormalWeb"/>
        <w:jc w:val="both"/>
        <w:rPr>
          <w:lang w:val="lt-LT"/>
        </w:rPr>
      </w:pPr>
      <w:r w:rsidRPr="00E351D9">
        <w:rPr>
          <w:rFonts w:asciiTheme="minorHAnsi" w:hAnsiTheme="minorHAnsi"/>
          <w:color w:val="000000"/>
        </w:rPr>
        <w:t>Jis taip pat atkreipia dėmesį į alternatyvius instrumentus, tokius kaip kriptovaliutos ar startuolių finansavimas, tačiau pabrėžia, kad šios sritys labiau tinka patyrusiems investuotojams</w:t>
      </w:r>
      <w:r w:rsidR="003A5F39">
        <w:rPr>
          <w:rFonts w:asciiTheme="minorHAnsi" w:hAnsiTheme="minorHAnsi"/>
          <w:color w:val="000000"/>
          <w:lang w:val="lt-LT"/>
        </w:rPr>
        <w:t xml:space="preserve">, kurie </w:t>
      </w:r>
      <w:r w:rsidR="003A7E70">
        <w:rPr>
          <w:rFonts w:asciiTheme="minorHAnsi" w:hAnsiTheme="minorHAnsi"/>
          <w:color w:val="000000"/>
          <w:lang w:val="lt-LT"/>
        </w:rPr>
        <w:t xml:space="preserve">į </w:t>
      </w:r>
      <w:r w:rsidR="003A5F39">
        <w:rPr>
          <w:rFonts w:asciiTheme="minorHAnsi" w:hAnsiTheme="minorHAnsi"/>
          <w:color w:val="000000"/>
          <w:lang w:val="lt-LT"/>
        </w:rPr>
        <w:t xml:space="preserve">šiuos instrumentus dažniausiai </w:t>
      </w:r>
      <w:r w:rsidR="003A7E70">
        <w:rPr>
          <w:rFonts w:asciiTheme="minorHAnsi" w:hAnsiTheme="minorHAnsi"/>
          <w:color w:val="000000"/>
          <w:lang w:val="lt-LT"/>
        </w:rPr>
        <w:t>investuoja mažą savo valdomų pinigų dalį.</w:t>
      </w:r>
    </w:p>
    <w:sectPr w:rsidR="00DC6EE0" w:rsidRPr="000D5A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A729F"/>
    <w:multiLevelType w:val="hybridMultilevel"/>
    <w:tmpl w:val="5A283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C26DC"/>
    <w:multiLevelType w:val="hybridMultilevel"/>
    <w:tmpl w:val="EA704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A4892"/>
    <w:multiLevelType w:val="hybridMultilevel"/>
    <w:tmpl w:val="F8C8D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904187">
    <w:abstractNumId w:val="1"/>
  </w:num>
  <w:num w:numId="2" w16cid:durableId="942299384">
    <w:abstractNumId w:val="2"/>
  </w:num>
  <w:num w:numId="3" w16cid:durableId="44054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9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EE0"/>
    <w:rsid w:val="00013E89"/>
    <w:rsid w:val="00017935"/>
    <w:rsid w:val="0002116C"/>
    <w:rsid w:val="00023774"/>
    <w:rsid w:val="00026AD8"/>
    <w:rsid w:val="00084FA5"/>
    <w:rsid w:val="000D5A77"/>
    <w:rsid w:val="00104927"/>
    <w:rsid w:val="00105932"/>
    <w:rsid w:val="00145735"/>
    <w:rsid w:val="00176677"/>
    <w:rsid w:val="00177F47"/>
    <w:rsid w:val="001B1D48"/>
    <w:rsid w:val="001C1080"/>
    <w:rsid w:val="001D38B0"/>
    <w:rsid w:val="001E378F"/>
    <w:rsid w:val="001F2FFF"/>
    <w:rsid w:val="00252A27"/>
    <w:rsid w:val="0028677A"/>
    <w:rsid w:val="002906F2"/>
    <w:rsid w:val="002A4E34"/>
    <w:rsid w:val="002B4678"/>
    <w:rsid w:val="002C4540"/>
    <w:rsid w:val="002C45BD"/>
    <w:rsid w:val="00310943"/>
    <w:rsid w:val="003268E5"/>
    <w:rsid w:val="0034255E"/>
    <w:rsid w:val="003808BA"/>
    <w:rsid w:val="0039300B"/>
    <w:rsid w:val="003A5F39"/>
    <w:rsid w:val="003A7E70"/>
    <w:rsid w:val="003D14B8"/>
    <w:rsid w:val="003F14BC"/>
    <w:rsid w:val="00427692"/>
    <w:rsid w:val="004342C4"/>
    <w:rsid w:val="004813BC"/>
    <w:rsid w:val="004818B1"/>
    <w:rsid w:val="004917AE"/>
    <w:rsid w:val="004A4BE2"/>
    <w:rsid w:val="004F09AC"/>
    <w:rsid w:val="00540551"/>
    <w:rsid w:val="005446D9"/>
    <w:rsid w:val="00596F9F"/>
    <w:rsid w:val="005B7C16"/>
    <w:rsid w:val="005F04F7"/>
    <w:rsid w:val="00604452"/>
    <w:rsid w:val="006159AC"/>
    <w:rsid w:val="006212D2"/>
    <w:rsid w:val="00626D50"/>
    <w:rsid w:val="00640A52"/>
    <w:rsid w:val="006473F7"/>
    <w:rsid w:val="00647AF1"/>
    <w:rsid w:val="0065103C"/>
    <w:rsid w:val="00673323"/>
    <w:rsid w:val="006A52E6"/>
    <w:rsid w:val="006A7A69"/>
    <w:rsid w:val="006F63DE"/>
    <w:rsid w:val="006F7DD4"/>
    <w:rsid w:val="00717CEC"/>
    <w:rsid w:val="007524BD"/>
    <w:rsid w:val="00767162"/>
    <w:rsid w:val="00767F9C"/>
    <w:rsid w:val="007929FF"/>
    <w:rsid w:val="007B21C3"/>
    <w:rsid w:val="007D301B"/>
    <w:rsid w:val="00822B33"/>
    <w:rsid w:val="00855A71"/>
    <w:rsid w:val="00873AB1"/>
    <w:rsid w:val="008A0827"/>
    <w:rsid w:val="008A0FF9"/>
    <w:rsid w:val="00915596"/>
    <w:rsid w:val="00923204"/>
    <w:rsid w:val="0092638C"/>
    <w:rsid w:val="009824A5"/>
    <w:rsid w:val="009B4611"/>
    <w:rsid w:val="00A1398A"/>
    <w:rsid w:val="00A25994"/>
    <w:rsid w:val="00AD3E6E"/>
    <w:rsid w:val="00B07D4A"/>
    <w:rsid w:val="00B23408"/>
    <w:rsid w:val="00B27E7C"/>
    <w:rsid w:val="00BB1655"/>
    <w:rsid w:val="00BB42C6"/>
    <w:rsid w:val="00BC3740"/>
    <w:rsid w:val="00BD4379"/>
    <w:rsid w:val="00C30CEA"/>
    <w:rsid w:val="00C35074"/>
    <w:rsid w:val="00C472B3"/>
    <w:rsid w:val="00C54FF1"/>
    <w:rsid w:val="00CE4AA0"/>
    <w:rsid w:val="00D03EEC"/>
    <w:rsid w:val="00D1492D"/>
    <w:rsid w:val="00D22F99"/>
    <w:rsid w:val="00D65599"/>
    <w:rsid w:val="00D76851"/>
    <w:rsid w:val="00D8472D"/>
    <w:rsid w:val="00DA46E2"/>
    <w:rsid w:val="00DB0F67"/>
    <w:rsid w:val="00DC6EE0"/>
    <w:rsid w:val="00E33981"/>
    <w:rsid w:val="00E351D9"/>
    <w:rsid w:val="00E674E4"/>
    <w:rsid w:val="00E85682"/>
    <w:rsid w:val="00E91B32"/>
    <w:rsid w:val="00EE5743"/>
    <w:rsid w:val="00F24CD8"/>
    <w:rsid w:val="00F31BBE"/>
    <w:rsid w:val="00F33B22"/>
    <w:rsid w:val="00F534FC"/>
    <w:rsid w:val="00F5539F"/>
    <w:rsid w:val="00F63228"/>
    <w:rsid w:val="00F96847"/>
    <w:rsid w:val="00FA23E1"/>
    <w:rsid w:val="00FB3A35"/>
    <w:rsid w:val="00FD3C0C"/>
    <w:rsid w:val="00FD7C4A"/>
    <w:rsid w:val="00FE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63FFFC"/>
  <w15:chartTrackingRefBased/>
  <w15:docId w15:val="{85662DAD-ED2A-BB48-AD17-AB320E3D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E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E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E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E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E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E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E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E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E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E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E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E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E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E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E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E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E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E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E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E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E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E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E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E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E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E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E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E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EE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5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Revision">
    <w:name w:val="Revision"/>
    <w:hidden/>
    <w:uiPriority w:val="99"/>
    <w:semiHidden/>
    <w:rsid w:val="00E674E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917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17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17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7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7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2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94A98C46A5E541BC147ED80B00A305" ma:contentTypeVersion="15" ma:contentTypeDescription="Kurkite naują dokumentą." ma:contentTypeScope="" ma:versionID="e46ac9cc8217781707e5fdec0a2c2e1e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6f52e563f0de44048fe282b77874dbd5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Vaizdų žymė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219988-4BFB-4383-8B69-E3986617E52F}">
  <ds:schemaRefs>
    <ds:schemaRef ds:uri="http://schemas.microsoft.com/office/2006/metadata/properties"/>
    <ds:schemaRef ds:uri="http://schemas.microsoft.com/office/infopath/2007/PartnerControls"/>
    <ds:schemaRef ds:uri="6b414775-771f-4c88-bf1f-101acd697e31"/>
    <ds:schemaRef ds:uri="a13546e0-6927-4c88-b1f7-6c6fa81102a9"/>
  </ds:schemaRefs>
</ds:datastoreItem>
</file>

<file path=customXml/itemProps2.xml><?xml version="1.0" encoding="utf-8"?>
<ds:datastoreItem xmlns:ds="http://schemas.openxmlformats.org/officeDocument/2006/customXml" ds:itemID="{7ED52211-E031-4438-89C7-DB852AF5D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D1E99-0357-419A-88F8-9C8AE0046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14775-771f-4c88-bf1f-101acd697e31"/>
    <ds:schemaRef ds:uri="a13546e0-6927-4c88-b1f7-6c6fa811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Dirmaitė</dc:creator>
  <cp:keywords/>
  <dc:description/>
  <cp:lastModifiedBy>Asta Dirmaitė</cp:lastModifiedBy>
  <cp:revision>12</cp:revision>
  <dcterms:created xsi:type="dcterms:W3CDTF">2024-12-05T11:45:00Z</dcterms:created>
  <dcterms:modified xsi:type="dcterms:W3CDTF">2024-12-06T07:06:00Z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0x010100E894A98C46A5E541BC147ED80B00A305</vt:lpwstr>
  </property>
  <property fmtid="{D5CDD505-2E9C-101B-9397-08002B2CF9AE}" pid="3" name="MediaServiceImageTags">
    <vt:lpwstr/>
  </property>
</Properties>
</file>