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4F808" w14:textId="54258A15" w:rsidR="00BC3524" w:rsidRPr="00BC3524" w:rsidRDefault="00BC3524" w:rsidP="00BC3524">
      <w:pPr>
        <w:spacing w:before="100" w:beforeAutospacing="1" w:after="100" w:afterAutospacing="1" w:line="240" w:lineRule="auto"/>
        <w:rPr>
          <w:rFonts w:ascii="Times New Roman" w:eastAsia="Times New Roman" w:hAnsi="Times New Roman" w:cs="Times New Roman"/>
          <w:sz w:val="32"/>
          <w:szCs w:val="32"/>
          <w:lang w:val="lt-LT" w:eastAsia="en-US"/>
        </w:rPr>
      </w:pPr>
      <w:r w:rsidRPr="00BC3524">
        <w:rPr>
          <w:rFonts w:ascii="Times New Roman" w:eastAsia="Times New Roman" w:hAnsi="Times New Roman" w:cs="Times New Roman"/>
          <w:b/>
          <w:bCs/>
          <w:sz w:val="32"/>
          <w:szCs w:val="32"/>
          <w:lang w:val="lt-LT" w:eastAsia="en-US"/>
        </w:rPr>
        <w:t>2025 M. ŠVIETIMO BIUDŽETAS: DĖMESYS REGIONAMS IR INŽINERINIAM UGDYMUI</w:t>
      </w:r>
    </w:p>
    <w:p w14:paraId="1BCC4BC9"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b/>
          <w:bCs/>
          <w:i/>
          <w:iCs/>
          <w:sz w:val="24"/>
          <w:szCs w:val="24"/>
          <w:lang w:val="lt-LT" w:eastAsia="en-US"/>
        </w:rPr>
      </w:pPr>
      <w:r w:rsidRPr="00BC3524">
        <w:rPr>
          <w:rFonts w:ascii="Times New Roman" w:eastAsia="Times New Roman" w:hAnsi="Times New Roman" w:cs="Times New Roman"/>
          <w:b/>
          <w:bCs/>
          <w:i/>
          <w:iCs/>
          <w:sz w:val="24"/>
          <w:szCs w:val="24"/>
          <w:lang w:val="lt-LT" w:eastAsia="en-US"/>
        </w:rPr>
        <w:t>Lietuvos neformaliojo švietimo agentūros (LINEŠA) direktorius Valdas Jankauskas teigia, kad 2025 m. švietimo biudžete numatytas 25 proc. didesnis neformaliojo vaikų švietimo (NVŠ) finansavimas yra ilgai lauktas sprendimas, kuris ne tik leis pritraukti daugiau vaikų į būrelius, bet ir padės formuoti ateities technologinių lyderių kartą.</w:t>
      </w:r>
    </w:p>
    <w:p w14:paraId="078421AF"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b/>
          <w:bCs/>
          <w:sz w:val="24"/>
          <w:szCs w:val="24"/>
          <w:lang w:val="lt-LT" w:eastAsia="en-US"/>
        </w:rPr>
        <w:t>Regionų poreikiai ir technologinis proveržis</w:t>
      </w:r>
    </w:p>
    <w:p w14:paraId="730CEADF" w14:textId="77777777" w:rsid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sz w:val="24"/>
          <w:szCs w:val="24"/>
          <w:lang w:val="lt-LT" w:eastAsia="en-US"/>
        </w:rPr>
        <w:t>„Padidintą NVŠ finansavimą būtina paskirstyti taip, kad jo nauda pasiektų kuo daugiau vaikų, ypač regionuose, kur būreliai yra ne tik ugdymo, bet ir socialinės integracijos galimybė. Taip pat turime skatinti technologinius ir inžinerinius būrelius, kurie formuoja vaikų įgūdžius ateities profesijoms. Pavyzdžiui, dronų technologijos jau dabar tampa kertine įvairių sektorių dalimi, nuo žemės ūkio iki saugumo,“ – pabrėžia V. Jankauskas.</w:t>
      </w:r>
    </w:p>
    <w:p w14:paraId="1A80834B" w14:textId="6E604722" w:rsidR="00416512" w:rsidRDefault="00416512"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noProof/>
          <w:sz w:val="24"/>
          <w:szCs w:val="24"/>
          <w:lang w:val="lt-LT" w:eastAsia="en-US"/>
        </w:rPr>
        <w:drawing>
          <wp:inline distT="0" distB="0" distL="0" distR="0" wp14:anchorId="7E95D9A9" wp14:editId="18C5E8CF">
            <wp:extent cx="3047216" cy="2031365"/>
            <wp:effectExtent l="0" t="0" r="1270" b="6985"/>
            <wp:docPr id="62793273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932739" name="Paveikslėlis 627932739"/>
                    <pic:cNvPicPr/>
                  </pic:nvPicPr>
                  <pic:blipFill>
                    <a:blip r:embed="rId6">
                      <a:extLst>
                        <a:ext uri="{28A0092B-C50C-407E-A947-70E740481C1C}">
                          <a14:useLocalDpi xmlns:a14="http://schemas.microsoft.com/office/drawing/2010/main" val="0"/>
                        </a:ext>
                      </a:extLst>
                    </a:blip>
                    <a:stretch>
                      <a:fillRect/>
                    </a:stretch>
                  </pic:blipFill>
                  <pic:spPr>
                    <a:xfrm>
                      <a:off x="0" y="0"/>
                      <a:ext cx="3060743" cy="2040383"/>
                    </a:xfrm>
                    <a:prstGeom prst="rect">
                      <a:avLst/>
                    </a:prstGeom>
                  </pic:spPr>
                </pic:pic>
              </a:graphicData>
            </a:graphic>
          </wp:inline>
        </w:drawing>
      </w:r>
    </w:p>
    <w:p w14:paraId="2059CF22" w14:textId="0D26934D" w:rsidR="00416512" w:rsidRPr="00416512" w:rsidRDefault="00416512" w:rsidP="00BC3524">
      <w:pPr>
        <w:spacing w:before="100" w:beforeAutospacing="1" w:after="100" w:afterAutospacing="1" w:line="240" w:lineRule="auto"/>
        <w:jc w:val="both"/>
        <w:rPr>
          <w:rFonts w:ascii="Times New Roman" w:eastAsia="Times New Roman" w:hAnsi="Times New Roman" w:cs="Times New Roman"/>
          <w:i/>
          <w:iCs/>
          <w:sz w:val="24"/>
          <w:szCs w:val="24"/>
          <w:lang w:val="lt-LT" w:eastAsia="en-US"/>
        </w:rPr>
      </w:pPr>
      <w:r w:rsidRPr="00416512">
        <w:rPr>
          <w:rFonts w:ascii="Times New Roman" w:eastAsia="Times New Roman" w:hAnsi="Times New Roman" w:cs="Times New Roman"/>
          <w:i/>
          <w:iCs/>
          <w:sz w:val="24"/>
          <w:szCs w:val="24"/>
          <w:lang w:val="lt-LT" w:eastAsia="en-US"/>
        </w:rPr>
        <w:t>Valdas Jankauskas</w:t>
      </w:r>
    </w:p>
    <w:p w14:paraId="519B64F9"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sz w:val="24"/>
          <w:szCs w:val="24"/>
          <w:lang w:val="lt-LT" w:eastAsia="en-US"/>
        </w:rPr>
        <w:t>Pasak jo, nors valstybės investicijos į NVŠ yra sveikintinos, savivaldybės taip pat turėtų aktyviau prisidėti. Šiuo metu jos sudaro tik apie 30 proc. NVŠ finansavimo, tačiau kai kuriose savivaldybėse jau taikomos gerosios praktikos, kai prie vieno vaiko krepšelio pridedama papildomų lėšų. Toks modelis galėtų tapti visos šalies standartu.</w:t>
      </w:r>
    </w:p>
    <w:p w14:paraId="517D76F4"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b/>
          <w:bCs/>
          <w:sz w:val="24"/>
          <w:szCs w:val="24"/>
          <w:lang w:val="lt-LT" w:eastAsia="en-US"/>
        </w:rPr>
        <w:t>NVŠ krepšelis: kokybės ir prieinamumo klausimai</w:t>
      </w:r>
    </w:p>
    <w:p w14:paraId="554947F4"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sz w:val="24"/>
          <w:szCs w:val="24"/>
          <w:lang w:val="lt-LT" w:eastAsia="en-US"/>
        </w:rPr>
        <w:t>Švietimo, mokslo ir sporto ministerijos (ŠMSM) duomenimis, NVŠ krepšeliui skirtos lėšos didėja nuo 20 mln. Eur iki 25 mln. Eur. Kaip teigiama ŠMSM pranešime (</w:t>
      </w:r>
      <w:hyperlink r:id="rId7" w:history="1">
        <w:r w:rsidRPr="00BC3524">
          <w:rPr>
            <w:rFonts w:ascii="Times New Roman" w:eastAsia="Times New Roman" w:hAnsi="Times New Roman" w:cs="Times New Roman"/>
            <w:color w:val="0000FF"/>
            <w:sz w:val="24"/>
            <w:szCs w:val="24"/>
            <w:u w:val="single"/>
            <w:lang w:val="lt-LT" w:eastAsia="en-US"/>
          </w:rPr>
          <w:t>https://smsm.lrv.lt/lt/naujienos-1/pranesimai-ziniasklaidai-1/2025-m-svietimo-biudzetas-</w:t>
        </w:r>
        <w:r w:rsidRPr="00BC3524">
          <w:rPr>
            <w:rFonts w:ascii="Times New Roman" w:eastAsia="Times New Roman" w:hAnsi="Times New Roman" w:cs="Times New Roman"/>
            <w:color w:val="0000FF"/>
            <w:sz w:val="24"/>
            <w:szCs w:val="24"/>
            <w:u w:val="single"/>
            <w:lang w:val="lt-LT" w:eastAsia="en-US"/>
          </w:rPr>
          <w:lastRenderedPageBreak/>
          <w:t>auga-daugiau-lesu-darbo-uzmokesciui-neformaliajam-vaiku-svietimui/</w:t>
        </w:r>
      </w:hyperlink>
      <w:r w:rsidRPr="00BC3524">
        <w:rPr>
          <w:rFonts w:ascii="Times New Roman" w:eastAsia="Times New Roman" w:hAnsi="Times New Roman" w:cs="Times New Roman"/>
          <w:sz w:val="24"/>
          <w:szCs w:val="24"/>
          <w:lang w:val="lt-LT" w:eastAsia="en-US"/>
        </w:rPr>
        <w:t>), tai sumažins finansinę naštą tėvams ir leis daugiau vaikų dalyvauti ugdymo veiklose.</w:t>
      </w:r>
    </w:p>
    <w:p w14:paraId="775A4942"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sz w:val="24"/>
          <w:szCs w:val="24"/>
          <w:lang w:val="lt-LT" w:eastAsia="en-US"/>
        </w:rPr>
        <w:t>Tačiau, pasak V. Jankausko, vien padidinti finansavimą nepakanka. „Svarbu ne tik tai, kiek lėšų skiriama, bet ir kaip jos naudojamos. Regionuose dažnai trūksta kvalifikuotų specialistų, o tai riboja vaikų galimybes pasiekti kokybiškas edukacines paslaugas. LINEŠA aktyviai siekia, kad papildomas finansavimas taptų ne tik kiekybiniu, bet ir kokybiniu pokyčiu“, – sako jis.</w:t>
      </w:r>
    </w:p>
    <w:p w14:paraId="5DB95F36"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b/>
          <w:bCs/>
          <w:sz w:val="24"/>
          <w:szCs w:val="24"/>
          <w:lang w:val="lt-LT" w:eastAsia="en-US"/>
        </w:rPr>
        <w:t>Kodėl verta investuoti į technologijas?</w:t>
      </w:r>
    </w:p>
    <w:p w14:paraId="2B868CBC"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sz w:val="24"/>
          <w:szCs w:val="24"/>
          <w:lang w:val="lt-LT" w:eastAsia="en-US"/>
        </w:rPr>
        <w:t>Inžinerijos mokslai ir technologinės kompetencijos yra gyvybiškai svarbios Lietuvos ekonomikai. Remiantis Europos Komisijos ataskaita, technologinių specialybių poreikis Lietuvoje kasmet didėja 12 proc., tačiau šių sričių specialistų paruošimo tempai kol kas atsilieka. Dronų technologijų plėtra ir dirbtinio intelekto sprendimai tampa pagrindiniais proveržio taškais tiek versle, tiek visuomenėje, tad ugdymas šiose srityse yra esminis valstybės prioritetas.</w:t>
      </w:r>
    </w:p>
    <w:p w14:paraId="63D1D446"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b/>
          <w:bCs/>
          <w:sz w:val="24"/>
          <w:szCs w:val="24"/>
          <w:lang w:val="lt-LT" w:eastAsia="en-US"/>
        </w:rPr>
        <w:t>LINEŠA: partnerystės ir nauji sprendimai</w:t>
      </w:r>
    </w:p>
    <w:p w14:paraId="03C96251" w14:textId="77777777" w:rsidR="00BC3524"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sz w:val="24"/>
          <w:szCs w:val="24"/>
          <w:lang w:val="lt-LT" w:eastAsia="en-US"/>
        </w:rPr>
        <w:t xml:space="preserve">LINEŠA ragina tiek valstybę, tiek savivaldybes aktyviai bendradarbiauti kuriant </w:t>
      </w:r>
      <w:proofErr w:type="spellStart"/>
      <w:r w:rsidRPr="00BC3524">
        <w:rPr>
          <w:rFonts w:ascii="Times New Roman" w:eastAsia="Times New Roman" w:hAnsi="Times New Roman" w:cs="Times New Roman"/>
          <w:sz w:val="24"/>
          <w:szCs w:val="24"/>
          <w:lang w:val="lt-LT" w:eastAsia="en-US"/>
        </w:rPr>
        <w:t>prieinamesnį</w:t>
      </w:r>
      <w:proofErr w:type="spellEnd"/>
      <w:r w:rsidRPr="00BC3524">
        <w:rPr>
          <w:rFonts w:ascii="Times New Roman" w:eastAsia="Times New Roman" w:hAnsi="Times New Roman" w:cs="Times New Roman"/>
          <w:sz w:val="24"/>
          <w:szCs w:val="24"/>
          <w:lang w:val="lt-LT" w:eastAsia="en-US"/>
        </w:rPr>
        <w:t xml:space="preserve"> ir kokybiškesnį NVŠ tinklą. „Mūsų tikslas – ne tik užtikrinti tinkamą finansavimą, bet ir sukurti aplinką, kurioje vaikai galėtų maksimaliai realizuoti savo potencialą, nepriklausomai nuo gyvenamosios vietos“, – teigia V. Jankauskas.</w:t>
      </w:r>
    </w:p>
    <w:p w14:paraId="68CB2D1E" w14:textId="62772E5A" w:rsidR="0025156B" w:rsidRPr="00BC3524" w:rsidRDefault="00BC3524" w:rsidP="00BC3524">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BC3524">
        <w:rPr>
          <w:rFonts w:ascii="Times New Roman" w:eastAsia="Times New Roman" w:hAnsi="Times New Roman" w:cs="Times New Roman"/>
          <w:b/>
          <w:bCs/>
          <w:sz w:val="24"/>
          <w:szCs w:val="24"/>
          <w:lang w:val="lt-LT" w:eastAsia="en-US"/>
        </w:rPr>
        <w:t>Daugiau informacijos:</w:t>
      </w:r>
    </w:p>
    <w:p w14:paraId="492EA4EB" w14:textId="390E30A6" w:rsidR="71B95007" w:rsidRPr="00BC3524" w:rsidRDefault="71B95007" w:rsidP="00BC3524">
      <w:pPr>
        <w:jc w:val="both"/>
        <w:rPr>
          <w:rFonts w:ascii="Times New Roman" w:hAnsi="Times New Roman" w:cs="Times New Roman"/>
          <w:i/>
          <w:iCs/>
          <w:sz w:val="24"/>
          <w:szCs w:val="24"/>
          <w:lang w:val="lt-LT"/>
        </w:rPr>
      </w:pPr>
      <w:r w:rsidRPr="00BC3524">
        <w:rPr>
          <w:rFonts w:ascii="Times New Roman" w:hAnsi="Times New Roman" w:cs="Times New Roman"/>
          <w:i/>
          <w:iCs/>
          <w:sz w:val="24"/>
          <w:szCs w:val="24"/>
          <w:lang w:val="lt-LT"/>
        </w:rPr>
        <w:t xml:space="preserve">Tatjana </w:t>
      </w:r>
      <w:proofErr w:type="spellStart"/>
      <w:r w:rsidRPr="00BC3524">
        <w:rPr>
          <w:rFonts w:ascii="Times New Roman" w:hAnsi="Times New Roman" w:cs="Times New Roman"/>
          <w:i/>
          <w:iCs/>
          <w:sz w:val="24"/>
          <w:szCs w:val="24"/>
          <w:lang w:val="lt-LT"/>
        </w:rPr>
        <w:t>Švec</w:t>
      </w:r>
      <w:proofErr w:type="spellEnd"/>
    </w:p>
    <w:p w14:paraId="6B0CB0DB" w14:textId="5032F027" w:rsidR="25369CD0" w:rsidRPr="00BC3524" w:rsidRDefault="25369CD0" w:rsidP="00BC3524">
      <w:pPr>
        <w:jc w:val="both"/>
        <w:rPr>
          <w:rFonts w:ascii="Times New Roman" w:hAnsi="Times New Roman" w:cs="Times New Roman"/>
          <w:i/>
          <w:iCs/>
          <w:sz w:val="24"/>
          <w:szCs w:val="24"/>
          <w:lang w:val="lt-LT"/>
        </w:rPr>
      </w:pPr>
    </w:p>
    <w:p w14:paraId="00880448" w14:textId="30FFCD27" w:rsidR="71B95007" w:rsidRPr="00BC3524" w:rsidRDefault="71B95007" w:rsidP="00BC3524">
      <w:pPr>
        <w:jc w:val="both"/>
        <w:rPr>
          <w:rFonts w:ascii="Times New Roman" w:hAnsi="Times New Roman" w:cs="Times New Roman"/>
          <w:i/>
          <w:iCs/>
          <w:sz w:val="24"/>
          <w:szCs w:val="24"/>
          <w:lang w:val="lt-LT"/>
        </w:rPr>
      </w:pPr>
      <w:r w:rsidRPr="00BC3524">
        <w:rPr>
          <w:rFonts w:ascii="Times New Roman" w:hAnsi="Times New Roman" w:cs="Times New Roman"/>
          <w:i/>
          <w:iCs/>
          <w:sz w:val="24"/>
          <w:szCs w:val="24"/>
          <w:lang w:val="lt-LT"/>
        </w:rPr>
        <w:t>Lietuvos neformaliojo švietimo agentūros (LINEŠA)</w:t>
      </w:r>
    </w:p>
    <w:p w14:paraId="10CCB6F3" w14:textId="638F9F87" w:rsidR="25369CD0" w:rsidRPr="00BC3524" w:rsidRDefault="25369CD0" w:rsidP="00BC3524">
      <w:pPr>
        <w:jc w:val="both"/>
        <w:rPr>
          <w:rFonts w:ascii="Times New Roman" w:hAnsi="Times New Roman" w:cs="Times New Roman"/>
          <w:i/>
          <w:iCs/>
          <w:sz w:val="24"/>
          <w:szCs w:val="24"/>
          <w:lang w:val="lt-LT"/>
        </w:rPr>
      </w:pPr>
    </w:p>
    <w:p w14:paraId="6614E895" w14:textId="63DF669F" w:rsidR="71B95007" w:rsidRPr="00BC3524" w:rsidRDefault="71B95007" w:rsidP="00BC3524">
      <w:pPr>
        <w:jc w:val="both"/>
        <w:rPr>
          <w:rFonts w:ascii="Times New Roman" w:hAnsi="Times New Roman" w:cs="Times New Roman"/>
          <w:i/>
          <w:iCs/>
          <w:sz w:val="24"/>
          <w:szCs w:val="24"/>
          <w:lang w:val="lt-LT"/>
        </w:rPr>
      </w:pPr>
      <w:r w:rsidRPr="00BC3524">
        <w:rPr>
          <w:rFonts w:ascii="Times New Roman" w:hAnsi="Times New Roman" w:cs="Times New Roman"/>
          <w:i/>
          <w:iCs/>
          <w:sz w:val="24"/>
          <w:szCs w:val="24"/>
          <w:lang w:val="lt-LT"/>
        </w:rPr>
        <w:t xml:space="preserve">Rinkodaros ir komunikacijos skyriaus vedėja </w:t>
      </w:r>
    </w:p>
    <w:p w14:paraId="3DF21727" w14:textId="304211B6" w:rsidR="25369CD0" w:rsidRPr="00BC3524" w:rsidRDefault="25369CD0" w:rsidP="00BC3524">
      <w:pPr>
        <w:jc w:val="both"/>
        <w:rPr>
          <w:rFonts w:ascii="Times New Roman" w:hAnsi="Times New Roman" w:cs="Times New Roman"/>
          <w:i/>
          <w:iCs/>
          <w:sz w:val="24"/>
          <w:szCs w:val="24"/>
          <w:lang w:val="lt-LT"/>
        </w:rPr>
      </w:pPr>
    </w:p>
    <w:p w14:paraId="0E7D51AF" w14:textId="5BE83BAB" w:rsidR="71B95007" w:rsidRPr="00BC3524" w:rsidRDefault="71B95007" w:rsidP="00BC3524">
      <w:pPr>
        <w:jc w:val="both"/>
        <w:rPr>
          <w:rFonts w:ascii="Times New Roman" w:hAnsi="Times New Roman" w:cs="Times New Roman"/>
          <w:i/>
          <w:iCs/>
          <w:sz w:val="24"/>
          <w:szCs w:val="24"/>
          <w:lang w:val="lt-LT"/>
        </w:rPr>
      </w:pPr>
      <w:r w:rsidRPr="00BC3524">
        <w:rPr>
          <w:rFonts w:ascii="Times New Roman" w:hAnsi="Times New Roman" w:cs="Times New Roman"/>
          <w:i/>
          <w:iCs/>
          <w:sz w:val="24"/>
          <w:szCs w:val="24"/>
          <w:lang w:val="lt-LT"/>
        </w:rPr>
        <w:t>+370 602 90133</w:t>
      </w:r>
    </w:p>
    <w:p w14:paraId="575B43A3" w14:textId="6BB304D3" w:rsidR="25369CD0" w:rsidRPr="00BC3524" w:rsidRDefault="25369CD0" w:rsidP="00BC3524">
      <w:pPr>
        <w:jc w:val="both"/>
        <w:rPr>
          <w:rFonts w:ascii="Times New Roman" w:hAnsi="Times New Roman" w:cs="Times New Roman"/>
          <w:i/>
          <w:iCs/>
          <w:sz w:val="24"/>
          <w:szCs w:val="24"/>
          <w:lang w:val="lt-LT"/>
        </w:rPr>
      </w:pPr>
    </w:p>
    <w:p w14:paraId="748251ED" w14:textId="0BB4EFF2" w:rsidR="71B95007" w:rsidRPr="00BC3524" w:rsidRDefault="00BC3524" w:rsidP="00BC3524">
      <w:pPr>
        <w:jc w:val="both"/>
        <w:rPr>
          <w:rFonts w:ascii="Times New Roman" w:hAnsi="Times New Roman" w:cs="Times New Roman"/>
          <w:i/>
          <w:iCs/>
          <w:sz w:val="24"/>
          <w:szCs w:val="24"/>
          <w:lang w:val="lt-LT"/>
        </w:rPr>
      </w:pPr>
      <w:hyperlink r:id="rId8" w:history="1">
        <w:r w:rsidRPr="00BC3524">
          <w:rPr>
            <w:rStyle w:val="Hipersaitas"/>
            <w:rFonts w:ascii="Times New Roman" w:hAnsi="Times New Roman" w:cs="Times New Roman"/>
            <w:i/>
            <w:iCs/>
            <w:sz w:val="24"/>
            <w:szCs w:val="24"/>
            <w:lang w:val="lt-LT"/>
          </w:rPr>
          <w:t>tatjana.svec@linesa.lt</w:t>
        </w:r>
      </w:hyperlink>
      <w:r w:rsidRPr="00BC3524">
        <w:rPr>
          <w:rFonts w:ascii="Times New Roman" w:hAnsi="Times New Roman" w:cs="Times New Roman"/>
          <w:i/>
          <w:iCs/>
          <w:sz w:val="24"/>
          <w:szCs w:val="24"/>
          <w:lang w:val="lt-LT"/>
        </w:rPr>
        <w:t xml:space="preserve"> </w:t>
      </w:r>
    </w:p>
    <w:p w14:paraId="14FBE6F0" w14:textId="7145FDE6" w:rsidR="25369CD0" w:rsidRPr="00BC3524" w:rsidRDefault="25369CD0" w:rsidP="00BC3524">
      <w:pPr>
        <w:jc w:val="both"/>
        <w:rPr>
          <w:rFonts w:ascii="Times New Roman" w:hAnsi="Times New Roman" w:cs="Times New Roman"/>
          <w:sz w:val="24"/>
          <w:szCs w:val="24"/>
          <w:lang w:val="lt-LT"/>
        </w:rPr>
      </w:pPr>
    </w:p>
    <w:sectPr w:rsidR="25369CD0" w:rsidRPr="00BC3524">
      <w:headerReference w:type="default" r:id="rId9"/>
      <w:footerReference w:type="default" r:id="rId10"/>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35051" w14:textId="77777777" w:rsidR="00F4784C" w:rsidRDefault="00F4784C" w:rsidP="003E15CF">
      <w:pPr>
        <w:spacing w:line="240" w:lineRule="auto"/>
      </w:pPr>
      <w:r>
        <w:separator/>
      </w:r>
    </w:p>
  </w:endnote>
  <w:endnote w:type="continuationSeparator" w:id="0">
    <w:p w14:paraId="6426221A" w14:textId="77777777" w:rsidR="00F4784C" w:rsidRDefault="00F4784C" w:rsidP="003E1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25369CD0" w14:paraId="3020EFF4" w14:textId="77777777" w:rsidTr="25369CD0">
      <w:trPr>
        <w:trHeight w:val="300"/>
      </w:trPr>
      <w:tc>
        <w:tcPr>
          <w:tcW w:w="3005" w:type="dxa"/>
        </w:tcPr>
        <w:p w14:paraId="0D92BE84" w14:textId="0F923D65" w:rsidR="25369CD0" w:rsidRDefault="25369CD0" w:rsidP="25369CD0">
          <w:pPr>
            <w:pStyle w:val="Antrats"/>
            <w:ind w:left="-115"/>
          </w:pPr>
        </w:p>
      </w:tc>
      <w:tc>
        <w:tcPr>
          <w:tcW w:w="3005" w:type="dxa"/>
        </w:tcPr>
        <w:p w14:paraId="6CD807B9" w14:textId="11B5BC86" w:rsidR="25369CD0" w:rsidRDefault="25369CD0" w:rsidP="25369CD0">
          <w:pPr>
            <w:pStyle w:val="Antrats"/>
            <w:jc w:val="center"/>
          </w:pPr>
        </w:p>
      </w:tc>
      <w:tc>
        <w:tcPr>
          <w:tcW w:w="3005" w:type="dxa"/>
        </w:tcPr>
        <w:p w14:paraId="6C7AB2F7" w14:textId="5A6E9761" w:rsidR="25369CD0" w:rsidRDefault="25369CD0" w:rsidP="25369CD0">
          <w:pPr>
            <w:pStyle w:val="Antrats"/>
            <w:ind w:right="-115"/>
            <w:jc w:val="right"/>
          </w:pPr>
        </w:p>
      </w:tc>
    </w:tr>
  </w:tbl>
  <w:p w14:paraId="492904F9" w14:textId="0D0B5258" w:rsidR="25369CD0" w:rsidRDefault="25369CD0" w:rsidP="25369CD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D4528" w14:textId="77777777" w:rsidR="00F4784C" w:rsidRDefault="00F4784C" w:rsidP="003E15CF">
      <w:pPr>
        <w:spacing w:line="240" w:lineRule="auto"/>
      </w:pPr>
      <w:r>
        <w:separator/>
      </w:r>
    </w:p>
  </w:footnote>
  <w:footnote w:type="continuationSeparator" w:id="0">
    <w:p w14:paraId="2CCF8186" w14:textId="77777777" w:rsidR="00F4784C" w:rsidRDefault="00F4784C" w:rsidP="003E15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DD2FA" w14:textId="77777777" w:rsidR="00BC3524" w:rsidRDefault="003E15CF">
    <w:pPr>
      <w:pStyle w:val="Antrats"/>
      <w:rPr>
        <w:noProof/>
        <w:lang w:val="lt-LT"/>
      </w:rPr>
    </w:pPr>
    <w:r>
      <w:ptab w:relativeTo="margin" w:alignment="center" w:leader="none"/>
    </w:r>
    <w:r>
      <w:ptab w:relativeTo="margin" w:alignment="right" w:leader="none"/>
    </w:r>
  </w:p>
  <w:p w14:paraId="734F3861" w14:textId="77777777" w:rsidR="00BC3524" w:rsidRDefault="00BC3524" w:rsidP="00BC3524">
    <w:pPr>
      <w:pStyle w:val="Antrats"/>
      <w:jc w:val="right"/>
      <w:rPr>
        <w:noProof/>
        <w:lang w:val="lt-LT"/>
      </w:rPr>
    </w:pPr>
  </w:p>
  <w:p w14:paraId="569112F2" w14:textId="47F73F96" w:rsidR="003E15CF" w:rsidRDefault="00212F1A" w:rsidP="00BC3524">
    <w:pPr>
      <w:pStyle w:val="Antrats"/>
      <w:jc w:val="right"/>
    </w:pPr>
    <w:r>
      <w:rPr>
        <w:noProof/>
        <w:lang w:val="lt-LT"/>
      </w:rPr>
      <w:drawing>
        <wp:inline distT="0" distB="0" distL="0" distR="0" wp14:anchorId="377FCB3D" wp14:editId="720514AE">
          <wp:extent cx="2870053" cy="1085664"/>
          <wp:effectExtent l="0" t="0" r="6985" b="0"/>
          <wp:docPr id="208151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512810" name="Picture 2081512810"/>
                  <pic:cNvPicPr/>
                </pic:nvPicPr>
                <pic:blipFill rotWithShape="1">
                  <a:blip r:embed="rId1">
                    <a:extLst>
                      <a:ext uri="{28A0092B-C50C-407E-A947-70E740481C1C}">
                        <a14:useLocalDpi xmlns:a14="http://schemas.microsoft.com/office/drawing/2010/main" val="0"/>
                      </a:ext>
                    </a:extLst>
                  </a:blip>
                  <a:srcRect l="44732" r="7850"/>
                  <a:stretch/>
                </pic:blipFill>
                <pic:spPr bwMode="auto">
                  <a:xfrm>
                    <a:off x="0" y="0"/>
                    <a:ext cx="2878725" cy="1088945"/>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Antrats"/>
      <w:jc w:val="right"/>
      <w:rPr>
        <w:rFonts w:ascii="Roboto" w:hAnsi="Roboto"/>
        <w:sz w:val="20"/>
        <w:szCs w:val="20"/>
      </w:rPr>
    </w:pPr>
    <w:r>
      <w:t xml:space="preserve">                                                                                                       </w:t>
    </w:r>
    <w:r w:rsidRPr="003E15CF">
      <w:rPr>
        <w:rFonts w:ascii="Roboto" w:hAnsi="Roboto"/>
        <w:sz w:val="20"/>
        <w:szCs w:val="20"/>
      </w:rPr>
      <w:t>Pranešimas žiniasklaidai</w:t>
    </w:r>
  </w:p>
  <w:p w14:paraId="4F2255D1" w14:textId="157F0343" w:rsidR="00ED04AC" w:rsidRPr="003E15CF" w:rsidRDefault="25369CD0" w:rsidP="000E2A59">
    <w:pPr>
      <w:pStyle w:val="Antrats"/>
      <w:jc w:val="right"/>
      <w:rPr>
        <w:rFonts w:ascii="Roboto" w:hAnsi="Roboto"/>
        <w:sz w:val="20"/>
        <w:szCs w:val="20"/>
      </w:rPr>
    </w:pPr>
    <w:r w:rsidRPr="25369CD0">
      <w:rPr>
        <w:rFonts w:ascii="Roboto" w:hAnsi="Roboto"/>
        <w:sz w:val="20"/>
        <w:szCs w:val="20"/>
      </w:rPr>
      <w:t>2024–12–</w:t>
    </w:r>
    <w:r w:rsidR="00BC3524">
      <w:rPr>
        <w:rFonts w:ascii="Roboto" w:hAnsi="Roboto"/>
        <w:sz w:val="20"/>
        <w:szCs w:val="20"/>
      </w:rPr>
      <w:t>20</w:t>
    </w:r>
  </w:p>
  <w:p w14:paraId="078CC02E" w14:textId="77777777" w:rsidR="003E15CF" w:rsidRDefault="003E15CF">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63EAA"/>
    <w:rsid w:val="000A67B5"/>
    <w:rsid w:val="000E2A59"/>
    <w:rsid w:val="00111BAB"/>
    <w:rsid w:val="00137CAF"/>
    <w:rsid w:val="001731A7"/>
    <w:rsid w:val="0019119D"/>
    <w:rsid w:val="001D4039"/>
    <w:rsid w:val="00212F1A"/>
    <w:rsid w:val="0025156B"/>
    <w:rsid w:val="002751ED"/>
    <w:rsid w:val="002A2576"/>
    <w:rsid w:val="002E1C78"/>
    <w:rsid w:val="00343661"/>
    <w:rsid w:val="0038399A"/>
    <w:rsid w:val="003E15CF"/>
    <w:rsid w:val="00416512"/>
    <w:rsid w:val="00434D7D"/>
    <w:rsid w:val="004A61DF"/>
    <w:rsid w:val="0058083B"/>
    <w:rsid w:val="005938D5"/>
    <w:rsid w:val="005B790F"/>
    <w:rsid w:val="005C37C8"/>
    <w:rsid w:val="005D066D"/>
    <w:rsid w:val="00640DA7"/>
    <w:rsid w:val="00653395"/>
    <w:rsid w:val="006577F9"/>
    <w:rsid w:val="006B1B62"/>
    <w:rsid w:val="006D4717"/>
    <w:rsid w:val="006E6AB9"/>
    <w:rsid w:val="00721083"/>
    <w:rsid w:val="00815776"/>
    <w:rsid w:val="00856E20"/>
    <w:rsid w:val="008C0ECC"/>
    <w:rsid w:val="008C79CB"/>
    <w:rsid w:val="00A30FAF"/>
    <w:rsid w:val="00A419FA"/>
    <w:rsid w:val="00A43479"/>
    <w:rsid w:val="00A80623"/>
    <w:rsid w:val="00AE5F92"/>
    <w:rsid w:val="00B77982"/>
    <w:rsid w:val="00B81C48"/>
    <w:rsid w:val="00BC0C1A"/>
    <w:rsid w:val="00BC3524"/>
    <w:rsid w:val="00BC796D"/>
    <w:rsid w:val="00C16DAB"/>
    <w:rsid w:val="00C455C7"/>
    <w:rsid w:val="00C748BB"/>
    <w:rsid w:val="00CA2BA2"/>
    <w:rsid w:val="00D86FCB"/>
    <w:rsid w:val="00E0309B"/>
    <w:rsid w:val="00E55F1F"/>
    <w:rsid w:val="00E634C8"/>
    <w:rsid w:val="00E816D2"/>
    <w:rsid w:val="00ED04AC"/>
    <w:rsid w:val="00F22190"/>
    <w:rsid w:val="00F22ECF"/>
    <w:rsid w:val="00F46E31"/>
    <w:rsid w:val="00F4784C"/>
    <w:rsid w:val="00F9212C"/>
    <w:rsid w:val="00FA457F"/>
    <w:rsid w:val="00FD567C"/>
    <w:rsid w:val="0396E972"/>
    <w:rsid w:val="0848F04B"/>
    <w:rsid w:val="084D34F3"/>
    <w:rsid w:val="0A17017D"/>
    <w:rsid w:val="0A73D095"/>
    <w:rsid w:val="0BF3289A"/>
    <w:rsid w:val="14027FB3"/>
    <w:rsid w:val="19675B75"/>
    <w:rsid w:val="1BCB3365"/>
    <w:rsid w:val="1DA3AF2F"/>
    <w:rsid w:val="21E78880"/>
    <w:rsid w:val="25369CD0"/>
    <w:rsid w:val="25558D39"/>
    <w:rsid w:val="2585B691"/>
    <w:rsid w:val="26105440"/>
    <w:rsid w:val="27F3418B"/>
    <w:rsid w:val="28BFBBF3"/>
    <w:rsid w:val="2E0DFEB0"/>
    <w:rsid w:val="2F0AE319"/>
    <w:rsid w:val="2FBB3254"/>
    <w:rsid w:val="3886A4A6"/>
    <w:rsid w:val="3B7D0035"/>
    <w:rsid w:val="3E8BF3BE"/>
    <w:rsid w:val="4039E4EC"/>
    <w:rsid w:val="410CD55D"/>
    <w:rsid w:val="43849DCA"/>
    <w:rsid w:val="4C27D446"/>
    <w:rsid w:val="4D09DC48"/>
    <w:rsid w:val="527C7B25"/>
    <w:rsid w:val="531AE455"/>
    <w:rsid w:val="536902A7"/>
    <w:rsid w:val="580DEB20"/>
    <w:rsid w:val="5BBDA2D3"/>
    <w:rsid w:val="5C0932FD"/>
    <w:rsid w:val="5CDFF63F"/>
    <w:rsid w:val="5F4CA3D6"/>
    <w:rsid w:val="6147B713"/>
    <w:rsid w:val="62A9C6BD"/>
    <w:rsid w:val="67DB6ECD"/>
    <w:rsid w:val="686F4525"/>
    <w:rsid w:val="6BBE01F0"/>
    <w:rsid w:val="71B95007"/>
    <w:rsid w:val="7314241D"/>
    <w:rsid w:val="737A9835"/>
    <w:rsid w:val="7469B148"/>
    <w:rsid w:val="74BB18A7"/>
    <w:rsid w:val="75D4AB48"/>
    <w:rsid w:val="79EC4D28"/>
    <w:rsid w:val="7D9A0EFD"/>
    <w:rsid w:val="7FDC681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Antrats">
    <w:name w:val="header"/>
    <w:basedOn w:val="prastasis"/>
    <w:link w:val="AntratsDiagrama"/>
    <w:uiPriority w:val="99"/>
    <w:unhideWhenUsed/>
    <w:rsid w:val="003E15CF"/>
    <w:pPr>
      <w:tabs>
        <w:tab w:val="center" w:pos="4819"/>
        <w:tab w:val="right" w:pos="9638"/>
      </w:tabs>
      <w:spacing w:line="240" w:lineRule="auto"/>
    </w:pPr>
  </w:style>
  <w:style w:type="character" w:customStyle="1" w:styleId="AntratsDiagrama">
    <w:name w:val="Antraštės Diagrama"/>
    <w:basedOn w:val="Numatytasispastraiposriftas"/>
    <w:link w:val="Antrats"/>
    <w:uiPriority w:val="99"/>
    <w:rsid w:val="003E15CF"/>
  </w:style>
  <w:style w:type="paragraph" w:styleId="Porat">
    <w:name w:val="footer"/>
    <w:basedOn w:val="prastasis"/>
    <w:link w:val="PoratDiagrama"/>
    <w:uiPriority w:val="99"/>
    <w:unhideWhenUsed/>
    <w:rsid w:val="003E15CF"/>
    <w:pPr>
      <w:tabs>
        <w:tab w:val="center" w:pos="4819"/>
        <w:tab w:val="right" w:pos="9638"/>
      </w:tabs>
      <w:spacing w:line="240" w:lineRule="auto"/>
    </w:pPr>
  </w:style>
  <w:style w:type="character" w:customStyle="1" w:styleId="PoratDiagrama">
    <w:name w:val="Poraštė Diagrama"/>
    <w:basedOn w:val="Numatytasispastraiposriftas"/>
    <w:link w:val="Porat"/>
    <w:uiPriority w:val="99"/>
    <w:rsid w:val="003E15CF"/>
  </w:style>
  <w:style w:type="character" w:styleId="Hipersaitas">
    <w:name w:val="Hyperlink"/>
    <w:basedOn w:val="Numatytasispastraiposriftas"/>
    <w:uiPriority w:val="99"/>
    <w:unhideWhenUsed/>
    <w:rsid w:val="003E15CF"/>
    <w:rPr>
      <w:color w:val="0000FF" w:themeColor="hyperlink"/>
      <w:u w:val="single"/>
    </w:rPr>
  </w:style>
  <w:style w:type="character" w:customStyle="1" w:styleId="UnresolvedMention1">
    <w:name w:val="Unresolved Mention1"/>
    <w:basedOn w:val="Numatytasispastraiposriftas"/>
    <w:uiPriority w:val="99"/>
    <w:semiHidden/>
    <w:unhideWhenUsed/>
    <w:rsid w:val="003E15CF"/>
    <w:rPr>
      <w:color w:val="605E5C"/>
      <w:shd w:val="clear" w:color="auto" w:fill="E1DFDD"/>
    </w:rPr>
  </w:style>
  <w:style w:type="character" w:customStyle="1" w:styleId="apple-converted-space">
    <w:name w:val="apple-converted-space"/>
    <w:basedOn w:val="Numatytasispastraiposriftas"/>
    <w:rsid w:val="00C16DAB"/>
  </w:style>
  <w:style w:type="paragraph" w:customStyle="1" w:styleId="paragraph">
    <w:name w:val="paragraph"/>
    <w:basedOn w:val="prastasis"/>
    <w:rsid w:val="00C16D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Numatytasispastraiposriftas"/>
    <w:rsid w:val="00C16DAB"/>
  </w:style>
  <w:style w:type="character" w:customStyle="1" w:styleId="eop">
    <w:name w:val="eop"/>
    <w:basedOn w:val="Numatytasispastraiposriftas"/>
    <w:rsid w:val="00C16DAB"/>
  </w:style>
  <w:style w:type="table" w:styleId="Lentelstinklelis">
    <w:name w:val="Table Grid"/>
    <w:basedOn w:val="prastojilente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eapdorotaspaminjimas">
    <w:name w:val="Unresolved Mention"/>
    <w:basedOn w:val="Numatytasispastraiposriftas"/>
    <w:uiPriority w:val="99"/>
    <w:semiHidden/>
    <w:unhideWhenUsed/>
    <w:rsid w:val="00BC3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855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svec@linesa.lt" TargetMode="External"/><Relationship Id="rId3" Type="http://schemas.openxmlformats.org/officeDocument/2006/relationships/webSettings" Target="webSettings.xml"/><Relationship Id="rId7" Type="http://schemas.openxmlformats.org/officeDocument/2006/relationships/hyperlink" Target="https://smsm.lrv.lt/lt/naujienos-1/pranesimai-ziniasklaidai-1/2025-m-svietimo-biudzetas-auga-daugiau-lesu-darbo-uzmokesciui-neformaliajam-vaiku-svietimu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2119</Words>
  <Characters>1209</Characters>
  <Application>Microsoft Office Word</Application>
  <DocSecurity>0</DocSecurity>
  <Lines>10</Lines>
  <Paragraphs>6</Paragraphs>
  <ScaleCrop>false</ScaleCrop>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vec, Tatjana</dc:creator>
  <cp:lastModifiedBy>HP Probook</cp:lastModifiedBy>
  <cp:revision>3</cp:revision>
  <dcterms:created xsi:type="dcterms:W3CDTF">2024-12-20T12:16:00Z</dcterms:created>
  <dcterms:modified xsi:type="dcterms:W3CDTF">2024-12-20T12:31:00Z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ec90da-8de3-41c2-83a2-9a36daf445f7_Enabled">
    <vt:lpwstr>true</vt:lpwstr>
  </property>
  <property fmtid="{D5CDD505-2E9C-101B-9397-08002B2CF9AE}" pid="3" name="MSIP_Label_cbec90da-8de3-41c2-83a2-9a36daf445f7_SetDate">
    <vt:lpwstr>2024-12-20T12:16:46Z</vt:lpwstr>
  </property>
  <property fmtid="{D5CDD505-2E9C-101B-9397-08002B2CF9AE}" pid="4" name="MSIP_Label_cbec90da-8de3-41c2-83a2-9a36daf445f7_Method">
    <vt:lpwstr>Standard</vt:lpwstr>
  </property>
  <property fmtid="{D5CDD505-2E9C-101B-9397-08002B2CF9AE}" pid="5" name="MSIP_Label_cbec90da-8de3-41c2-83a2-9a36daf445f7_Name">
    <vt:lpwstr>Confidential File</vt:lpwstr>
  </property>
  <property fmtid="{D5CDD505-2E9C-101B-9397-08002B2CF9AE}" pid="6" name="MSIP_Label_cbec90da-8de3-41c2-83a2-9a36daf445f7_SiteId">
    <vt:lpwstr>8d894c2b-238f-490b-8dd1-d93898c5bf83</vt:lpwstr>
  </property>
  <property fmtid="{D5CDD505-2E9C-101B-9397-08002B2CF9AE}" pid="7" name="MSIP_Label_cbec90da-8de3-41c2-83a2-9a36daf445f7_ActionId">
    <vt:lpwstr>0632ade6-38ea-4852-94cc-2fbdf921fe7b</vt:lpwstr>
  </property>
  <property fmtid="{D5CDD505-2E9C-101B-9397-08002B2CF9AE}" pid="8" name="MSIP_Label_cbec90da-8de3-41c2-83a2-9a36daf445f7_ContentBits">
    <vt:lpwstr>0</vt:lpwstr>
  </property>
</Properties>
</file>