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661800" w:rsidRDefault="00661800"/>
    <w:p w14:paraId="00000002" w14:textId="77777777" w:rsidR="00661800" w:rsidRDefault="00000000">
      <w:pPr>
        <w:jc w:val="center"/>
        <w:rPr>
          <w:b/>
        </w:rPr>
      </w:pPr>
      <w:r>
        <w:rPr>
          <w:b/>
        </w:rPr>
        <w:t>Bifinity UAB Achieves Unicorn status in Record-Breaking 2024</w:t>
      </w:r>
    </w:p>
    <w:p w14:paraId="00000003" w14:textId="77777777" w:rsidR="00661800" w:rsidRDefault="00000000">
      <w:pPr>
        <w:numPr>
          <w:ilvl w:val="0"/>
          <w:numId w:val="1"/>
        </w:numPr>
        <w:jc w:val="center"/>
        <w:rPr>
          <w:b/>
        </w:rPr>
      </w:pPr>
      <w:r>
        <w:rPr>
          <w:b/>
        </w:rPr>
        <w:t>Solidifies Position as a Leading Crypto-Fiat Gateway</w:t>
      </w:r>
    </w:p>
    <w:p w14:paraId="00000004" w14:textId="77777777" w:rsidR="00661800" w:rsidRDefault="00661800"/>
    <w:p w14:paraId="00000005" w14:textId="5321EF46" w:rsidR="00661800" w:rsidRDefault="00000000">
      <w:r>
        <w:rPr>
          <w:b/>
        </w:rPr>
        <w:t xml:space="preserve">VILNIUS, LITHUANIA - January </w:t>
      </w:r>
      <w:r w:rsidR="00547A04">
        <w:rPr>
          <w:b/>
        </w:rPr>
        <w:t>22</w:t>
      </w:r>
      <w:r>
        <w:rPr>
          <w:b/>
        </w:rPr>
        <w:t>, 2025</w:t>
      </w:r>
      <w:r>
        <w:t xml:space="preserve"> - Bifinity UAB, a leading fiat gateway, today announced unprecedented growth in 2024, achieving Unicorn status with an enterprise value at over €1 billion and becoming just the second fintech company to achieve this milestone in Lithuania.  Bifinity achieved significant milestones in 2024, further cementing its position as a key player in the global cryptocurrency ecosystem.</w:t>
      </w:r>
    </w:p>
    <w:p w14:paraId="00000006" w14:textId="77777777" w:rsidR="00661800" w:rsidRDefault="00661800"/>
    <w:p w14:paraId="00000007" w14:textId="77777777" w:rsidR="00661800" w:rsidRDefault="00000000">
      <w:r>
        <w:t xml:space="preserve">Alongside the crypto industry’s growth last year, Bifinity experienced a surge in users for its fiat on- and off-ramp services, underscoring the increasing mainstream adoption of cryptocurrency services. This led to record transaction volumes, achieving an all-time high, reflecting the quality and reliability of </w:t>
      </w:r>
      <w:proofErr w:type="spellStart"/>
      <w:r>
        <w:t>Bifinity's</w:t>
      </w:r>
      <w:proofErr w:type="spellEnd"/>
      <w:r>
        <w:t xml:space="preserve"> services.</w:t>
      </w:r>
    </w:p>
    <w:p w14:paraId="00000008" w14:textId="77777777" w:rsidR="00661800" w:rsidRDefault="00661800"/>
    <w:p w14:paraId="00000009" w14:textId="77777777" w:rsidR="00661800" w:rsidRDefault="00000000">
      <w:r>
        <w:t xml:space="preserve">Helping to drive this growth, Bifinity further enhanced its fiat services and onboarded </w:t>
      </w:r>
      <w:proofErr w:type="gramStart"/>
      <w:r>
        <w:t>a number of</w:t>
      </w:r>
      <w:proofErr w:type="gramEnd"/>
      <w:r>
        <w:t xml:space="preserve"> world-renowned fiat partners to expand its global reach and capabilities. In 2024 it launched new real-time fiat services, including SEPA instant transfers, allowing users to deposit, trade, and withdraw funds with unprecedented speed. Many of </w:t>
      </w:r>
      <w:proofErr w:type="spellStart"/>
      <w:r>
        <w:t>Bifinity's</w:t>
      </w:r>
      <w:proofErr w:type="spellEnd"/>
      <w:r>
        <w:t xml:space="preserve"> key fiat partners are Lithuanian companies, showcasing the country's fintech strength and highlighting the value of crypto to the local economy. </w:t>
      </w:r>
    </w:p>
    <w:p w14:paraId="0000000A" w14:textId="77777777" w:rsidR="00661800" w:rsidRDefault="00661800"/>
    <w:p w14:paraId="0000000B" w14:textId="77777777" w:rsidR="00661800" w:rsidRDefault="00000000">
      <w:r>
        <w:t xml:space="preserve">"2024 has been a landmark year for Bifinity," said Jonas </w:t>
      </w:r>
      <w:proofErr w:type="spellStart"/>
      <w:r>
        <w:t>Jünger</w:t>
      </w:r>
      <w:proofErr w:type="spellEnd"/>
      <w:r>
        <w:t>, CEO of Bifinity UAB. "Our growth and achievements reflect not only the positive trends in the crypto market but also the trust our users place in our services. We're particularly proud of our contributions to Lithuania's fintech ecosystem and our role in driving crypto adoption globally."</w:t>
      </w:r>
    </w:p>
    <w:p w14:paraId="0000000C" w14:textId="77777777" w:rsidR="00661800" w:rsidRDefault="00661800"/>
    <w:p w14:paraId="0000000D" w14:textId="77777777" w:rsidR="00661800" w:rsidRDefault="00000000">
      <w:r>
        <w:t xml:space="preserve">The company's growth in Lithuania has been particularly noteworthy. The record-breaking achievements of 2024 are only possible thanks to  the hard work of our team and the supportive environment in Lithuania," said </w:t>
      </w:r>
      <w:proofErr w:type="spellStart"/>
      <w:r>
        <w:t>Jünger</w:t>
      </w:r>
      <w:proofErr w:type="spellEnd"/>
      <w:r>
        <w:t>. "We've tripled our team size here, tapping into the world-class talent pool that Lithuania offers in crypto and fintech."</w:t>
      </w:r>
    </w:p>
    <w:p w14:paraId="0000000E" w14:textId="77777777" w:rsidR="00661800" w:rsidRDefault="00661800"/>
    <w:p w14:paraId="0000000F" w14:textId="77777777" w:rsidR="00661800" w:rsidRDefault="00000000">
      <w:r>
        <w:t>“As a proud member of the Crypto Economy Organisation, we also helped to spearhead the first industry-wide public education campaign in Lithuania, helping to increase knowledge about the industry and the many benefits it provides to users and the local economy.”</w:t>
      </w:r>
    </w:p>
    <w:p w14:paraId="00000010" w14:textId="77777777" w:rsidR="00661800" w:rsidRDefault="00661800"/>
    <w:p w14:paraId="00000011" w14:textId="77777777" w:rsidR="00661800" w:rsidRDefault="00000000">
      <w:r>
        <w:lastRenderedPageBreak/>
        <w:t>Looking ahead, Bifinity remains committed to its mission of enabling mass adoption of cryptocurrencies and bridging the gap between traditional finance and the crypto world. The company continues to invest in innovation, regulatory compliance, and community engagement in Lithuania to drive the future of finance.</w:t>
      </w:r>
    </w:p>
    <w:p w14:paraId="00000012" w14:textId="77777777" w:rsidR="00661800" w:rsidRDefault="00661800"/>
    <w:p w14:paraId="00000013" w14:textId="77777777" w:rsidR="00661800" w:rsidRDefault="00000000">
      <w:pPr>
        <w:rPr>
          <w:b/>
        </w:rPr>
      </w:pPr>
      <w:r>
        <w:rPr>
          <w:b/>
        </w:rPr>
        <w:t>About Bifinity UAB</w:t>
      </w:r>
    </w:p>
    <w:p w14:paraId="00000014" w14:textId="77777777" w:rsidR="00661800" w:rsidRDefault="00000000">
      <w:r>
        <w:t>Bifinity UAB facilitates fiat transactions for cryptocurrency exchanges in the European Economic Area (EEA). The company enables a secure and compliant way for users to use fiat services, such as transactions involving credit cards or SEPA (Single Euro Payments Area) credit transfers. Bifinity UAB’s compliance measures are set up to meet the EU’s Fifth Anti-Money Laundering Directive (AMLD5) and fully comply with all relevant Lithuanian laws and regulations.</w:t>
      </w:r>
    </w:p>
    <w:p w14:paraId="00000015" w14:textId="77777777" w:rsidR="00661800" w:rsidRDefault="00661800"/>
    <w:p w14:paraId="00000016" w14:textId="77777777" w:rsidR="00661800" w:rsidRDefault="00661800"/>
    <w:p w14:paraId="00000017" w14:textId="77777777" w:rsidR="00661800" w:rsidRDefault="00661800"/>
    <w:sectPr w:rsidR="00661800">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embedRegular r:id="rId1" w:fontKey="{A7C2A668-552F-7D48-827F-8631B7BCAFEA}"/>
  </w:font>
  <w:font w:name="Noto Sans">
    <w:panose1 w:val="020B0502040504020204"/>
    <w:charset w:val="00"/>
    <w:family w:val="swiss"/>
    <w:pitch w:val="variable"/>
    <w:sig w:usb0="E00082FF" w:usb1="400078FF" w:usb2="00000021" w:usb3="00000000" w:csb0="0000019F" w:csb1="00000000"/>
    <w:embedRegular r:id="rId2" w:fontKey="{F54A4B1A-8EFB-7849-80D5-6C4DDF1E850E}"/>
    <w:embedBold r:id="rId3" w:fontKey="{16E58CF8-B195-7640-990E-C76EA76BA0DA}"/>
    <w:embedItalic r:id="rId4" w:fontKey="{94CF2C9D-49E5-A94D-A8EA-D80605D6BE53}"/>
  </w:font>
  <w:font w:name="Arial">
    <w:panose1 w:val="020B0604020202020204"/>
    <w:charset w:val="BA"/>
    <w:family w:val="swiss"/>
    <w:pitch w:val="variable"/>
    <w:sig w:usb0="E0002EFF" w:usb1="C000785B" w:usb2="00000009" w:usb3="00000000" w:csb0="000001FF" w:csb1="00000000"/>
    <w:embedRegular r:id="rId5" w:fontKey="{4E403641-2208-5849-AE8A-09A14E6131D8}"/>
  </w:font>
  <w:font w:name="Calibri">
    <w:panose1 w:val="020F0502020204030204"/>
    <w:charset w:val="BA"/>
    <w:family w:val="swiss"/>
    <w:pitch w:val="variable"/>
    <w:sig w:usb0="E0002EFF" w:usb1="C000247B" w:usb2="00000009" w:usb3="00000000" w:csb0="000001FF" w:csb1="00000000"/>
    <w:embedRegular r:id="rId6" w:fontKey="{630B0C53-1D5D-704E-90E8-7F52F62BCA24}"/>
  </w:font>
  <w:font w:name="Cambria">
    <w:panose1 w:val="02040503050406030204"/>
    <w:charset w:val="00"/>
    <w:family w:val="roman"/>
    <w:pitch w:val="variable"/>
    <w:sig w:usb0="E00002FF" w:usb1="400004FF" w:usb2="00000000" w:usb3="00000000" w:csb0="0000019F" w:csb1="00000000"/>
    <w:embedRegular r:id="rId7" w:fontKey="{4964E56C-9C55-FC48-8FF7-264FBDFD2484}"/>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5DF5C3C"/>
    <w:multiLevelType w:val="multilevel"/>
    <w:tmpl w:val="70501F5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79626572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61800"/>
    <w:rsid w:val="00502014"/>
    <w:rsid w:val="00547A04"/>
    <w:rsid w:val="00661800"/>
    <w:rsid w:val="00B35C3F"/>
  </w:rsids>
  <m:mathPr>
    <m:mathFont m:val="Cambria Math"/>
    <m:brkBin m:val="before"/>
    <m:brkBinSub m:val="--"/>
    <m:smallFrac m:val="0"/>
    <m:dispDef/>
    <m:lMargin m:val="0"/>
    <m:rMargin m:val="0"/>
    <m:defJc m:val="centerGroup"/>
    <m:wrapIndent m:val="1440"/>
    <m:intLim m:val="subSup"/>
    <m:naryLim m:val="undOvr"/>
  </m:mathPr>
  <w:themeFontLang w:val="en-LT"/>
  <w:clrSchemeMapping w:bg1="light1" w:t1="dark1" w:bg2="light2" w:t2="dark2" w:accent1="accent1" w:accent2="accent2" w:accent3="accent3" w:accent4="accent4" w:accent5="accent5" w:accent6="accent6" w:hyperlink="hyperlink" w:followedHyperlink="followedHyperlink"/>
  <w:decimalSymbol w:val=","/>
  <w:listSeparator w:val=","/>
  <w14:docId w14:val="50C7F281"/>
  <w15:docId w15:val="{0EE94510-C1E5-7A48-9975-5B1BCE1AAB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Noto Sans" w:eastAsia="Noto Sans" w:hAnsi="Noto Sans" w:cs="Noto Sans"/>
        <w:sz w:val="22"/>
        <w:szCs w:val="22"/>
        <w:lang w:val="en" w:eastAsia="en-GB"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rFonts w:ascii="Arial" w:eastAsia="Arial" w:hAnsi="Arial" w:cs="Arial"/>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settings" Target="setting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2</Pages>
  <Words>463</Words>
  <Characters>2661</Characters>
  <Application>Microsoft Office Word</Application>
  <DocSecurity>0</DocSecurity>
  <Lines>51</Lines>
  <Paragraphs>11</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3116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Microsoft Office User</cp:lastModifiedBy>
  <cp:revision>3</cp:revision>
  <dcterms:created xsi:type="dcterms:W3CDTF">2025-01-21T13:25:00Z</dcterms:created>
  <dcterms:modified xsi:type="dcterms:W3CDTF">2025-01-21T13:37:00Z</dcterms:modified>
  <cp:category/>
</cp:coreProperties>
</file>