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FEEEE" w14:textId="07F0AEC2" w:rsidR="003A7632" w:rsidRPr="003A7632" w:rsidRDefault="003A7632" w:rsidP="00137D34">
      <w:pPr>
        <w:jc w:val="both"/>
        <w:rPr>
          <w:rFonts w:cs="Times New Roman"/>
          <w:color w:val="000000" w:themeColor="text1"/>
          <w:sz w:val="20"/>
          <w:szCs w:val="20"/>
          <w:lang w:val="lt-LT"/>
        </w:rPr>
      </w:pPr>
      <w:r w:rsidRPr="003A7632">
        <w:rPr>
          <w:rFonts w:cs="Times New Roman"/>
          <w:color w:val="000000" w:themeColor="text1"/>
          <w:sz w:val="20"/>
          <w:szCs w:val="20"/>
          <w:lang w:val="lt-LT"/>
        </w:rPr>
        <w:t>Pranešimas žiniasklaidai</w:t>
      </w:r>
    </w:p>
    <w:p w14:paraId="68784EED" w14:textId="0010D91C" w:rsidR="003A7632" w:rsidRPr="003A7632" w:rsidRDefault="003A7632" w:rsidP="00137D34">
      <w:pPr>
        <w:jc w:val="both"/>
        <w:rPr>
          <w:rFonts w:cs="Times New Roman"/>
          <w:color w:val="000000" w:themeColor="text1"/>
          <w:sz w:val="20"/>
          <w:szCs w:val="20"/>
          <w:lang w:val="en-US"/>
        </w:rPr>
      </w:pPr>
      <w:r w:rsidRPr="003A7632">
        <w:rPr>
          <w:rFonts w:cs="Times New Roman"/>
          <w:color w:val="000000" w:themeColor="text1"/>
          <w:sz w:val="20"/>
          <w:szCs w:val="20"/>
          <w:lang w:val="en-US"/>
        </w:rPr>
        <w:t>2025 m. sausio 2</w:t>
      </w:r>
      <w:r w:rsidR="00AE6822">
        <w:rPr>
          <w:rFonts w:cs="Times New Roman"/>
          <w:color w:val="000000" w:themeColor="text1"/>
          <w:sz w:val="20"/>
          <w:szCs w:val="20"/>
          <w:lang w:val="en-US"/>
        </w:rPr>
        <w:t>3</w:t>
      </w:r>
      <w:r w:rsidRPr="003A7632">
        <w:rPr>
          <w:rFonts w:cs="Times New Roman"/>
          <w:color w:val="000000" w:themeColor="text1"/>
          <w:sz w:val="20"/>
          <w:szCs w:val="20"/>
          <w:lang w:val="en-US"/>
        </w:rPr>
        <w:t xml:space="preserve"> d.</w:t>
      </w:r>
    </w:p>
    <w:p w14:paraId="39C69767" w14:textId="77777777" w:rsidR="003A7632" w:rsidRDefault="003A7632" w:rsidP="00137D34">
      <w:pPr>
        <w:jc w:val="both"/>
        <w:rPr>
          <w:rFonts w:cs="Times New Roman"/>
          <w:b/>
          <w:bCs/>
          <w:color w:val="000000" w:themeColor="text1"/>
          <w:lang w:val="lt-LT"/>
        </w:rPr>
      </w:pPr>
    </w:p>
    <w:p w14:paraId="2B6831E6" w14:textId="77777777" w:rsidR="003A7632" w:rsidRDefault="003A7632" w:rsidP="00137D34">
      <w:pPr>
        <w:jc w:val="both"/>
        <w:rPr>
          <w:rFonts w:cs="Times New Roman"/>
          <w:b/>
          <w:bCs/>
          <w:color w:val="000000" w:themeColor="text1"/>
          <w:lang w:val="lt-LT"/>
        </w:rPr>
      </w:pPr>
    </w:p>
    <w:p w14:paraId="0DB05B03" w14:textId="55BACB3F" w:rsidR="003A7632" w:rsidRDefault="003A7632" w:rsidP="00137D34">
      <w:pPr>
        <w:jc w:val="both"/>
        <w:rPr>
          <w:rFonts w:cs="Times New Roman"/>
          <w:b/>
          <w:bCs/>
          <w:color w:val="000000" w:themeColor="text1"/>
          <w:lang w:val="lt-LT"/>
        </w:rPr>
      </w:pPr>
      <w:r>
        <w:rPr>
          <w:rFonts w:cs="Times New Roman"/>
          <w:b/>
          <w:bCs/>
          <w:color w:val="000000" w:themeColor="text1"/>
          <w:lang w:val="lt-LT"/>
        </w:rPr>
        <w:t>Populiarėja kriptovaliutų fondai, į kuriuos galima investuoti mažomis sumomis</w:t>
      </w:r>
    </w:p>
    <w:p w14:paraId="4865574C" w14:textId="77777777" w:rsidR="004A1DC8" w:rsidRPr="00DE4E89" w:rsidRDefault="004A1DC8" w:rsidP="00137D34">
      <w:pPr>
        <w:jc w:val="both"/>
        <w:rPr>
          <w:rFonts w:cs="Times New Roman"/>
          <w:b/>
          <w:bCs/>
          <w:color w:val="000000" w:themeColor="text1"/>
          <w:lang w:val="lt-LT"/>
        </w:rPr>
      </w:pPr>
    </w:p>
    <w:p w14:paraId="1743DDD1" w14:textId="77777777" w:rsidR="00E27BFA" w:rsidRPr="003A7632" w:rsidRDefault="001B7D7D" w:rsidP="00E27BFA">
      <w:pPr>
        <w:jc w:val="both"/>
        <w:rPr>
          <w:rFonts w:cs="Times New Roman"/>
          <w:b/>
          <w:bCs/>
          <w:color w:val="000000" w:themeColor="text1"/>
          <w:lang w:val="lt-LT"/>
        </w:rPr>
      </w:pPr>
      <w:r w:rsidRPr="003A7632">
        <w:rPr>
          <w:rFonts w:cs="Times New Roman"/>
          <w:b/>
          <w:bCs/>
          <w:color w:val="000000" w:themeColor="text1"/>
          <w:lang w:val="lt-LT"/>
        </w:rPr>
        <w:t>Didelę dalį pradedančiųjų investuotojų</w:t>
      </w:r>
      <w:r w:rsidR="00137D34" w:rsidRPr="003A7632">
        <w:rPr>
          <w:rFonts w:cs="Times New Roman"/>
          <w:b/>
          <w:bCs/>
          <w:color w:val="000000" w:themeColor="text1"/>
          <w:lang w:val="lt-LT"/>
        </w:rPr>
        <w:t xml:space="preserve"> atbaido didelė </w:t>
      </w:r>
      <w:r w:rsidR="009E009B" w:rsidRPr="003A7632">
        <w:rPr>
          <w:rFonts w:cs="Times New Roman"/>
          <w:b/>
          <w:bCs/>
          <w:color w:val="000000" w:themeColor="text1"/>
          <w:lang w:val="lt-LT"/>
        </w:rPr>
        <w:t>daugelio kriptovaliutų</w:t>
      </w:r>
      <w:r w:rsidR="00137D34" w:rsidRPr="003A7632">
        <w:rPr>
          <w:rFonts w:cs="Times New Roman"/>
          <w:b/>
          <w:bCs/>
          <w:color w:val="000000" w:themeColor="text1"/>
          <w:lang w:val="lt-LT"/>
        </w:rPr>
        <w:t xml:space="preserve"> kaina. </w:t>
      </w:r>
      <w:r w:rsidRPr="003A7632">
        <w:rPr>
          <w:rFonts w:cs="Times New Roman"/>
          <w:b/>
          <w:bCs/>
          <w:color w:val="000000" w:themeColor="text1"/>
          <w:lang w:val="lt-LT"/>
        </w:rPr>
        <w:t xml:space="preserve">Vis dėlto </w:t>
      </w:r>
      <w:r w:rsidR="009E009B" w:rsidRPr="003A7632">
        <w:rPr>
          <w:rFonts w:cs="Times New Roman"/>
          <w:b/>
          <w:bCs/>
          <w:color w:val="000000" w:themeColor="text1"/>
          <w:lang w:val="lt-LT"/>
        </w:rPr>
        <w:t>į</w:t>
      </w:r>
      <w:r w:rsidR="00137D34" w:rsidRPr="003A7632">
        <w:rPr>
          <w:rFonts w:cs="Times New Roman"/>
          <w:b/>
          <w:bCs/>
          <w:color w:val="000000" w:themeColor="text1"/>
          <w:lang w:val="lt-LT"/>
        </w:rPr>
        <w:t>sivaizdavimas, kad norint investuoti būtina įsigyti visą vienetą bitkoino</w:t>
      </w:r>
      <w:r w:rsidR="009E009B" w:rsidRPr="003A7632">
        <w:rPr>
          <w:rFonts w:cs="Times New Roman"/>
          <w:b/>
          <w:bCs/>
          <w:color w:val="000000" w:themeColor="text1"/>
          <w:lang w:val="lt-LT"/>
        </w:rPr>
        <w:t>, eterio</w:t>
      </w:r>
      <w:r w:rsidR="00137D34" w:rsidRPr="003A7632">
        <w:rPr>
          <w:rFonts w:cs="Times New Roman"/>
          <w:b/>
          <w:bCs/>
          <w:color w:val="000000" w:themeColor="text1"/>
          <w:lang w:val="lt-LT"/>
        </w:rPr>
        <w:t xml:space="preserve"> ar kitos kriptovaliutos, yra </w:t>
      </w:r>
      <w:r w:rsidR="009E009B" w:rsidRPr="003A7632">
        <w:rPr>
          <w:rFonts w:cs="Times New Roman"/>
          <w:b/>
          <w:bCs/>
          <w:color w:val="000000" w:themeColor="text1"/>
          <w:lang w:val="lt-LT"/>
        </w:rPr>
        <w:t>tik klaidingas su šia rinka susi</w:t>
      </w:r>
      <w:r w:rsidR="00C81360" w:rsidRPr="003A7632">
        <w:rPr>
          <w:rFonts w:cs="Times New Roman"/>
          <w:b/>
          <w:bCs/>
          <w:color w:val="000000" w:themeColor="text1"/>
          <w:lang w:val="lt-LT"/>
        </w:rPr>
        <w:t>j</w:t>
      </w:r>
      <w:r w:rsidR="009E009B" w:rsidRPr="003A7632">
        <w:rPr>
          <w:rFonts w:cs="Times New Roman"/>
          <w:b/>
          <w:bCs/>
          <w:color w:val="000000" w:themeColor="text1"/>
          <w:lang w:val="lt-LT"/>
        </w:rPr>
        <w:t>ęs</w:t>
      </w:r>
      <w:r w:rsidR="00137D34" w:rsidRPr="003A7632">
        <w:rPr>
          <w:rFonts w:cs="Times New Roman"/>
          <w:b/>
          <w:bCs/>
          <w:color w:val="000000" w:themeColor="text1"/>
          <w:lang w:val="lt-LT"/>
        </w:rPr>
        <w:t xml:space="preserve"> mit</w:t>
      </w:r>
      <w:r w:rsidR="009E009B" w:rsidRPr="003A7632">
        <w:rPr>
          <w:rFonts w:cs="Times New Roman"/>
          <w:b/>
          <w:bCs/>
          <w:color w:val="000000" w:themeColor="text1"/>
          <w:lang w:val="lt-LT"/>
        </w:rPr>
        <w:t>as</w:t>
      </w:r>
      <w:r w:rsidR="00137D34" w:rsidRPr="003A7632">
        <w:rPr>
          <w:rFonts w:cs="Times New Roman"/>
          <w:b/>
          <w:bCs/>
          <w:color w:val="000000" w:themeColor="text1"/>
          <w:lang w:val="lt-LT"/>
        </w:rPr>
        <w:t>.</w:t>
      </w:r>
      <w:r w:rsidRPr="003A7632">
        <w:rPr>
          <w:rFonts w:cs="Times New Roman"/>
          <w:b/>
          <w:bCs/>
          <w:color w:val="000000" w:themeColor="text1"/>
          <w:lang w:val="lt-LT"/>
        </w:rPr>
        <w:t xml:space="preserve"> Vienas iš </w:t>
      </w:r>
      <w:r w:rsidR="009E009B" w:rsidRPr="003A7632">
        <w:rPr>
          <w:rFonts w:cs="Times New Roman"/>
          <w:b/>
          <w:bCs/>
          <w:color w:val="000000" w:themeColor="text1"/>
          <w:lang w:val="lt-LT"/>
        </w:rPr>
        <w:t xml:space="preserve">naujų </w:t>
      </w:r>
      <w:r w:rsidRPr="003A7632">
        <w:rPr>
          <w:rFonts w:cs="Times New Roman"/>
          <w:b/>
          <w:bCs/>
          <w:color w:val="000000" w:themeColor="text1"/>
          <w:lang w:val="lt-LT"/>
        </w:rPr>
        <w:t>būdų prisiliesti prie</w:t>
      </w:r>
      <w:r w:rsidR="00137D34" w:rsidRPr="003A7632">
        <w:rPr>
          <w:rFonts w:cs="Times New Roman"/>
          <w:b/>
          <w:bCs/>
          <w:color w:val="000000" w:themeColor="text1"/>
          <w:lang w:val="lt-LT"/>
        </w:rPr>
        <w:t xml:space="preserve"> </w:t>
      </w:r>
      <w:r w:rsidR="008E7AF6" w:rsidRPr="003A7632">
        <w:rPr>
          <w:rFonts w:cs="Times New Roman"/>
          <w:b/>
          <w:bCs/>
          <w:color w:val="000000" w:themeColor="text1"/>
          <w:lang w:val="lt-LT"/>
        </w:rPr>
        <w:t>skaitmeninio turto pasaulio –</w:t>
      </w:r>
      <w:r w:rsidR="00137D34" w:rsidRPr="003A7632">
        <w:rPr>
          <w:rFonts w:cs="Times New Roman"/>
          <w:b/>
          <w:bCs/>
          <w:color w:val="000000" w:themeColor="text1"/>
          <w:lang w:val="lt-LT"/>
        </w:rPr>
        <w:t xml:space="preserve"> kriptovaliutų</w:t>
      </w:r>
      <w:r w:rsidR="009E009B" w:rsidRPr="003A7632">
        <w:rPr>
          <w:rFonts w:cs="Times New Roman"/>
          <w:b/>
          <w:bCs/>
          <w:color w:val="000000" w:themeColor="text1"/>
          <w:lang w:val="lt-LT"/>
        </w:rPr>
        <w:t xml:space="preserve"> biržoje prekiaujami fondai (</w:t>
      </w:r>
      <w:r w:rsidR="00137D34" w:rsidRPr="003A7632">
        <w:rPr>
          <w:rFonts w:cs="Times New Roman"/>
          <w:b/>
          <w:bCs/>
          <w:color w:val="000000" w:themeColor="text1"/>
          <w:lang w:val="lt-LT"/>
        </w:rPr>
        <w:t>angl. Exchange Traded Fund</w:t>
      </w:r>
      <w:r w:rsidR="009E009B" w:rsidRPr="003A7632">
        <w:rPr>
          <w:rFonts w:cs="Times New Roman"/>
          <w:b/>
          <w:bCs/>
          <w:color w:val="000000" w:themeColor="text1"/>
          <w:lang w:val="lt-LT"/>
        </w:rPr>
        <w:t xml:space="preserve"> (ETF</w:t>
      </w:r>
      <w:r w:rsidR="00137D34" w:rsidRPr="003A7632">
        <w:rPr>
          <w:rFonts w:cs="Times New Roman"/>
          <w:b/>
          <w:bCs/>
          <w:color w:val="000000" w:themeColor="text1"/>
          <w:lang w:val="lt-LT"/>
        </w:rPr>
        <w:t xml:space="preserve">). </w:t>
      </w:r>
      <w:r w:rsidR="00E27BFA" w:rsidRPr="003A7632">
        <w:rPr>
          <w:rFonts w:cs="Times New Roman"/>
          <w:b/>
          <w:bCs/>
          <w:color w:val="000000" w:themeColor="text1"/>
          <w:lang w:val="lt-LT"/>
        </w:rPr>
        <w:t>Sektoriaus analitikai prognozuoja, kad 2025-aisiais kriptovaliutų ETF rinka gali sulaukti reikšmingo lūžio.</w:t>
      </w:r>
    </w:p>
    <w:p w14:paraId="042984A3" w14:textId="21A157B2" w:rsidR="004E5C5B" w:rsidRPr="003A7632" w:rsidRDefault="004E5C5B" w:rsidP="00137D34">
      <w:pPr>
        <w:jc w:val="both"/>
        <w:rPr>
          <w:rFonts w:cs="Times New Roman"/>
          <w:b/>
          <w:bCs/>
          <w:color w:val="000000" w:themeColor="text1"/>
          <w:lang w:val="lt-LT"/>
        </w:rPr>
      </w:pPr>
    </w:p>
    <w:p w14:paraId="7E197764" w14:textId="71D77374" w:rsidR="0063527E" w:rsidRPr="003A7632" w:rsidRDefault="0063527E" w:rsidP="0063527E">
      <w:pPr>
        <w:jc w:val="both"/>
        <w:rPr>
          <w:rFonts w:cs="Times New Roman"/>
          <w:color w:val="000000" w:themeColor="text1"/>
          <w:lang w:val="lt-LT"/>
        </w:rPr>
      </w:pPr>
      <w:r w:rsidRPr="003A7632">
        <w:rPr>
          <w:rFonts w:cs="Times New Roman"/>
          <w:color w:val="000000" w:themeColor="text1"/>
          <w:lang w:val="lt-LT"/>
        </w:rPr>
        <w:t>Kriptovaliutų naujienų platforma „CoinDesk“ skelbia, kad šiais metais JAV gali būti patvirtinta daugiau nei tuzinas naujų kriptovaliutų ETF, jei tam pritars Vertybinių popierių ir biržos komisija (SEC). Ataskaitoje nurodoma, jog turto valdytojai jau pateikė 12 paraiškų dėl naujų ETF, tarp kurių yra fondai, pagrįsti bitkoinu, eteriu, „Litecoin“, XRP ir „Solana“ kriptovaliutomis. Vienas iš įdomesnių pasiūlymų – „ProShares“ ETF, kuris seka S&amp;P 500 indekso grąžą bitkoinais.</w:t>
      </w:r>
    </w:p>
    <w:p w14:paraId="320637E8" w14:textId="77777777" w:rsidR="0063527E" w:rsidRPr="003A7632" w:rsidRDefault="0063527E" w:rsidP="0063527E">
      <w:pPr>
        <w:jc w:val="both"/>
        <w:rPr>
          <w:rFonts w:cs="Times New Roman"/>
          <w:color w:val="000000" w:themeColor="text1"/>
          <w:lang w:val="lt-LT"/>
        </w:rPr>
      </w:pPr>
    </w:p>
    <w:p w14:paraId="61442245" w14:textId="70AE7377" w:rsidR="0063527E" w:rsidRPr="003A7632" w:rsidRDefault="0063527E" w:rsidP="0063527E">
      <w:pPr>
        <w:jc w:val="both"/>
        <w:rPr>
          <w:rFonts w:cs="Times New Roman"/>
          <w:color w:val="000000" w:themeColor="text1"/>
          <w:lang w:val="lt-LT"/>
        </w:rPr>
      </w:pPr>
      <w:r w:rsidRPr="003A7632">
        <w:rPr>
          <w:rFonts w:cs="Times New Roman"/>
          <w:color w:val="000000" w:themeColor="text1"/>
          <w:lang w:val="lt-LT"/>
        </w:rPr>
        <w:t xml:space="preserve">Manoma, kad pirmasis patvirtintas produktas greičiausiai bus bitkoino ir eterio jungtinis ETF. Iš SEC rinka šiemet laukia esminių pokyčių, mat naujasis komisijos pirmininkas Paulas </w:t>
      </w:r>
      <w:proofErr w:type="spellStart"/>
      <w:r w:rsidRPr="003A7632">
        <w:rPr>
          <w:rFonts w:cs="Times New Roman"/>
          <w:color w:val="000000" w:themeColor="text1"/>
          <w:lang w:val="lt-LT"/>
        </w:rPr>
        <w:t>Atkinsas</w:t>
      </w:r>
      <w:proofErr w:type="spellEnd"/>
      <w:r w:rsidRPr="003A7632">
        <w:rPr>
          <w:rFonts w:cs="Times New Roman"/>
          <w:color w:val="000000" w:themeColor="text1"/>
          <w:lang w:val="lt-LT"/>
        </w:rPr>
        <w:t xml:space="preserve"> yra žinomas dėl palankaus požiūrio į kriptovaliutas.</w:t>
      </w:r>
    </w:p>
    <w:p w14:paraId="114CFDDC" w14:textId="77777777" w:rsidR="004E5C5B" w:rsidRPr="003A7632" w:rsidRDefault="004E5C5B" w:rsidP="00137D34">
      <w:pPr>
        <w:jc w:val="both"/>
        <w:rPr>
          <w:rFonts w:cs="Times New Roman"/>
          <w:b/>
          <w:bCs/>
          <w:color w:val="000000" w:themeColor="text1"/>
          <w:lang w:val="lt-LT"/>
        </w:rPr>
      </w:pPr>
    </w:p>
    <w:p w14:paraId="10330434" w14:textId="677296E3" w:rsidR="00C81360" w:rsidRPr="003A7632" w:rsidRDefault="0063527E" w:rsidP="00137D34">
      <w:pPr>
        <w:jc w:val="both"/>
        <w:rPr>
          <w:rFonts w:cs="Times New Roman"/>
          <w:color w:val="000000" w:themeColor="text1"/>
          <w:lang w:val="lt-LT"/>
        </w:rPr>
      </w:pPr>
      <w:r w:rsidRPr="003A7632">
        <w:rPr>
          <w:rFonts w:cs="Times New Roman"/>
          <w:color w:val="000000" w:themeColor="text1"/>
          <w:lang w:val="lt-LT"/>
        </w:rPr>
        <w:t>„Kriptovaliutų rinka nuolat auga, tad daugėja ir galimybių investuoti – nuo tradicinių tiesioginių investicijų į kriptovaliutas iki naujų finansinių įrankių, tokių kaip kriptovaliutų ETF. Svarbu nepamiršti, kad kiekviena investicija reikalauja atsakingo pasiruošimo: visuomet būtina įvertinti ne tik galimą pelną, bet ir rizikas”, – sako Jonas Juengeris, bendrovės „Bifinity“ vadovas.</w:t>
      </w:r>
    </w:p>
    <w:p w14:paraId="1212E6EF" w14:textId="77777777" w:rsidR="004A1DC8" w:rsidRPr="003A7632" w:rsidRDefault="004A1DC8" w:rsidP="00137D34">
      <w:pPr>
        <w:jc w:val="both"/>
        <w:rPr>
          <w:rFonts w:cs="Times New Roman"/>
          <w:color w:val="000000" w:themeColor="text1"/>
          <w:lang w:val="lt-LT"/>
        </w:rPr>
      </w:pPr>
    </w:p>
    <w:p w14:paraId="394B581F" w14:textId="7E2DC374" w:rsidR="004A1DC8" w:rsidRPr="003A7632" w:rsidRDefault="004A1DC8" w:rsidP="004A1DC8">
      <w:pPr>
        <w:jc w:val="both"/>
        <w:rPr>
          <w:rFonts w:cs="Times New Roman"/>
          <w:b/>
          <w:bCs/>
          <w:color w:val="000000" w:themeColor="text1"/>
          <w:lang w:val="lt-LT"/>
        </w:rPr>
      </w:pPr>
      <w:r w:rsidRPr="003A7632">
        <w:rPr>
          <w:rFonts w:cs="Times New Roman"/>
          <w:b/>
          <w:bCs/>
          <w:color w:val="000000" w:themeColor="text1"/>
          <w:lang w:val="lt-LT"/>
        </w:rPr>
        <w:t xml:space="preserve">Dviejų tipų </w:t>
      </w:r>
      <w:r w:rsidR="0063527E" w:rsidRPr="003A7632">
        <w:rPr>
          <w:rFonts w:cs="Times New Roman"/>
          <w:b/>
          <w:bCs/>
          <w:color w:val="000000" w:themeColor="text1"/>
          <w:lang w:val="lt-LT"/>
        </w:rPr>
        <w:t>fondai</w:t>
      </w:r>
    </w:p>
    <w:p w14:paraId="2FE7DE8C" w14:textId="77777777" w:rsidR="0063527E" w:rsidRPr="003A7632" w:rsidRDefault="0063527E" w:rsidP="004A1DC8">
      <w:pPr>
        <w:jc w:val="both"/>
        <w:rPr>
          <w:rFonts w:cs="Times New Roman"/>
          <w:b/>
          <w:bCs/>
          <w:color w:val="000000" w:themeColor="text1"/>
          <w:lang w:val="lt-LT"/>
        </w:rPr>
      </w:pPr>
    </w:p>
    <w:p w14:paraId="4D9ACCE0" w14:textId="77777777" w:rsidR="0063527E" w:rsidRPr="003A7632" w:rsidRDefault="0063527E" w:rsidP="0063527E">
      <w:pPr>
        <w:jc w:val="both"/>
        <w:rPr>
          <w:rFonts w:cs="Times New Roman"/>
          <w:color w:val="000000" w:themeColor="text1"/>
          <w:lang w:val="lt-LT"/>
        </w:rPr>
      </w:pPr>
      <w:r w:rsidRPr="003A7632">
        <w:rPr>
          <w:rFonts w:cs="Times New Roman"/>
          <w:color w:val="000000" w:themeColor="text1"/>
          <w:lang w:val="lt-LT"/>
        </w:rPr>
        <w:t>Kriptovaliutų ETF – tai investiciniai fondai, kurie seka vienos ar kelių kriptovaliutų vertės pokyčius. Panašiai kaip ir tradiciniai akcijų ETF, kriptovaliutų ETF vienetais yra prekiaujama biržose, todėl jie suteikia patogų būdą investuoti į kriptovaliutų rinką tiesiogiai neįsigyjant skaitmeninių valiutų. Akcijų ETF seka įmonių akcijų kainų svyravimus, o kriptovaliutų ETF – įvairių kriptovaliutų vertės pokyčius. ETF leidžia diversifikuoti riziką ir sumažinti kriptovaliutų kainų svyravimų įtaką investicijoms.</w:t>
      </w:r>
    </w:p>
    <w:p w14:paraId="46B27BC0" w14:textId="77777777" w:rsidR="0063527E" w:rsidRPr="003A7632" w:rsidRDefault="0063527E" w:rsidP="0063527E">
      <w:pPr>
        <w:jc w:val="both"/>
        <w:rPr>
          <w:rFonts w:cs="Times New Roman"/>
          <w:color w:val="000000" w:themeColor="text1"/>
          <w:lang w:val="lt-LT"/>
        </w:rPr>
      </w:pPr>
    </w:p>
    <w:p w14:paraId="675BF389" w14:textId="32C808C9" w:rsidR="0063527E" w:rsidRPr="003A7632" w:rsidRDefault="0063527E" w:rsidP="004A1DC8">
      <w:pPr>
        <w:jc w:val="both"/>
        <w:rPr>
          <w:rFonts w:cs="Times New Roman"/>
          <w:color w:val="000000" w:themeColor="text1"/>
          <w:lang w:val="lt-LT"/>
        </w:rPr>
      </w:pPr>
      <w:r w:rsidRPr="003A7632">
        <w:rPr>
          <w:rFonts w:cs="Times New Roman"/>
          <w:color w:val="000000" w:themeColor="text1"/>
          <w:lang w:val="lt-LT"/>
        </w:rPr>
        <w:t>Perkant ETF fondų vienetus galima pradėti investuoti su gerokai mažesnėmis sumomis nei tiesiogiai investuojant į kriptovaliutas, Toks būdas ypač patrauklus pradedantiesiems investuotojams, kurie nori išbandyti kriptovaliutų rinką, tačiau nesiryžta didelėms investicijoms ar nežino, kaip tiesiogiai pirkti bei saugoti kriptovaliutas.</w:t>
      </w:r>
    </w:p>
    <w:p w14:paraId="1A806738" w14:textId="77777777" w:rsidR="004A1DC8" w:rsidRPr="003A7632" w:rsidRDefault="004A1DC8" w:rsidP="004A1DC8">
      <w:pPr>
        <w:jc w:val="both"/>
        <w:rPr>
          <w:rFonts w:cs="Times New Roman"/>
          <w:b/>
          <w:bCs/>
          <w:color w:val="000000" w:themeColor="text1"/>
          <w:lang w:val="lt-LT"/>
        </w:rPr>
      </w:pPr>
    </w:p>
    <w:p w14:paraId="4B048D89" w14:textId="612AFA93" w:rsidR="004A1DC8" w:rsidRPr="003A7632" w:rsidRDefault="004A1DC8" w:rsidP="004A1DC8">
      <w:pPr>
        <w:jc w:val="both"/>
        <w:rPr>
          <w:rFonts w:cs="Times New Roman"/>
          <w:color w:val="000000" w:themeColor="text1"/>
          <w:lang w:val="lt-LT"/>
        </w:rPr>
      </w:pPr>
      <w:r w:rsidRPr="003A7632">
        <w:rPr>
          <w:rFonts w:cs="Times New Roman"/>
          <w:color w:val="000000" w:themeColor="text1"/>
          <w:lang w:val="lt-LT"/>
        </w:rPr>
        <w:t xml:space="preserve">Įprastai išskiriami du pagrindiniai kriptovaliutų ETF tipai. Pirmasis – fiziškai paremti kriptovaliutų ETF, dar vadinami „spot“ ETF. Šio tipo fondus valdančios investicinės įmonės tiesiogiai perka ir laiko kriptovaliutas. Investuotojai, įsigydami tokių fondų </w:t>
      </w:r>
      <w:r w:rsidRPr="003A7632">
        <w:rPr>
          <w:rFonts w:cs="Times New Roman"/>
          <w:color w:val="000000" w:themeColor="text1"/>
          <w:lang w:val="lt-LT"/>
        </w:rPr>
        <w:lastRenderedPageBreak/>
        <w:t>vienetų, netiesiogiai įgyja pagrindinių kriptovaliutų dalį, tačiau patys jų nevaldo. Tai patogus būdas gauti prieigą prie kriptovaliutų rinkos, nereikalaujantis sudėtingų pirkimo ir saugojimo procesų.</w:t>
      </w:r>
    </w:p>
    <w:p w14:paraId="6F289795" w14:textId="77777777" w:rsidR="004A1DC8" w:rsidRPr="003A7632" w:rsidRDefault="004A1DC8" w:rsidP="004A1DC8">
      <w:pPr>
        <w:jc w:val="both"/>
        <w:rPr>
          <w:rFonts w:cs="Times New Roman"/>
          <w:color w:val="000000" w:themeColor="text1"/>
          <w:lang w:val="lt-LT"/>
        </w:rPr>
      </w:pPr>
    </w:p>
    <w:p w14:paraId="08B69179" w14:textId="7EF0B326" w:rsidR="004A1DC8" w:rsidRPr="003A7632" w:rsidRDefault="004A1DC8" w:rsidP="004A1DC8">
      <w:pPr>
        <w:jc w:val="both"/>
        <w:rPr>
          <w:rFonts w:cs="Times New Roman"/>
          <w:color w:val="000000" w:themeColor="text1"/>
          <w:lang w:val="lt-LT"/>
        </w:rPr>
      </w:pPr>
      <w:r w:rsidRPr="003A7632">
        <w:rPr>
          <w:rFonts w:cs="Times New Roman"/>
          <w:color w:val="000000" w:themeColor="text1"/>
          <w:lang w:val="lt-LT"/>
        </w:rPr>
        <w:t xml:space="preserve">Pirmasis bitkoino „spot“ ETF į prekybos sąrašus Europoje buvo įtrauktas tik 2023 m. rugpjūtį. Tai tapo reikšmingu įvykiu kriptovaliutų rinkoje, žyminčiu </w:t>
      </w:r>
      <w:r w:rsidR="009E009B" w:rsidRPr="003A7632">
        <w:rPr>
          <w:rFonts w:cs="Times New Roman"/>
          <w:color w:val="000000" w:themeColor="text1"/>
          <w:lang w:val="lt-LT"/>
        </w:rPr>
        <w:t xml:space="preserve">išaugusį </w:t>
      </w:r>
      <w:r w:rsidRPr="003A7632">
        <w:rPr>
          <w:rFonts w:cs="Times New Roman"/>
          <w:color w:val="000000" w:themeColor="text1"/>
          <w:lang w:val="lt-LT"/>
        </w:rPr>
        <w:t>institucinių investicijų</w:t>
      </w:r>
      <w:r w:rsidR="009E009B" w:rsidRPr="003A7632">
        <w:rPr>
          <w:rFonts w:cs="Times New Roman"/>
          <w:color w:val="000000" w:themeColor="text1"/>
          <w:lang w:val="lt-LT"/>
        </w:rPr>
        <w:t xml:space="preserve"> dėmesį kriptovaliutoms.</w:t>
      </w:r>
    </w:p>
    <w:p w14:paraId="5EF7741F" w14:textId="77777777" w:rsidR="004A1DC8" w:rsidRPr="003A7632" w:rsidRDefault="004A1DC8" w:rsidP="004A1DC8">
      <w:pPr>
        <w:jc w:val="both"/>
        <w:rPr>
          <w:rFonts w:cs="Times New Roman"/>
          <w:color w:val="000000" w:themeColor="text1"/>
          <w:lang w:val="lt-LT"/>
        </w:rPr>
      </w:pPr>
    </w:p>
    <w:p w14:paraId="562EA6B2" w14:textId="7315C1EC" w:rsidR="004A1DC8" w:rsidRPr="003A7632" w:rsidRDefault="004A1DC8" w:rsidP="004A1DC8">
      <w:pPr>
        <w:jc w:val="both"/>
        <w:rPr>
          <w:rFonts w:cs="Times New Roman"/>
          <w:color w:val="000000" w:themeColor="text1"/>
          <w:lang w:val="lt-LT"/>
        </w:rPr>
      </w:pPr>
      <w:r w:rsidRPr="003A7632">
        <w:rPr>
          <w:rFonts w:cs="Times New Roman"/>
          <w:color w:val="000000" w:themeColor="text1"/>
          <w:lang w:val="lt-LT"/>
        </w:rPr>
        <w:t xml:space="preserve">Kitas tipas – sintetiniai ETF. Jie seka ne pačių kriptovaliutų, o jų išvestinių finansinių priemonių, tokių kaip kriptovaliutų ateities sandoriai (angl. futures) ar biržoje prekiaujamų produktų (ETP), vertę. „Bitcoin Futures“ ETF yra vienas iš sintetinių kriptovaliutų ETF pavyzdžių. </w:t>
      </w:r>
    </w:p>
    <w:p w14:paraId="56BDE7E9" w14:textId="77777777" w:rsidR="004A1DC8" w:rsidRPr="003A7632" w:rsidRDefault="004A1DC8" w:rsidP="004A1DC8">
      <w:pPr>
        <w:jc w:val="both"/>
        <w:rPr>
          <w:rFonts w:cs="Times New Roman"/>
          <w:color w:val="000000" w:themeColor="text1"/>
          <w:lang w:val="lt-LT"/>
        </w:rPr>
      </w:pPr>
    </w:p>
    <w:p w14:paraId="10A661AE" w14:textId="6905183E" w:rsidR="00163AB1" w:rsidRPr="003A7632" w:rsidRDefault="004A1DC8" w:rsidP="00163AB1">
      <w:pPr>
        <w:jc w:val="both"/>
        <w:rPr>
          <w:rFonts w:cs="Times New Roman"/>
          <w:color w:val="000000" w:themeColor="text1"/>
          <w:lang w:val="lt-LT"/>
        </w:rPr>
      </w:pPr>
      <w:r w:rsidRPr="003A7632">
        <w:rPr>
          <w:rFonts w:cs="Times New Roman"/>
          <w:color w:val="000000" w:themeColor="text1"/>
          <w:lang w:val="lt-LT"/>
        </w:rPr>
        <w:t>Skirtingai nei fiziškai paremtuose ETF, sintetiniuose ETF fondo vieneto kaina kinta kartu su išvestinių priemonių, o ne pačios kriptovaliutos verte. Vis dėlto artėjant ateities sandorio terminui, šių fondų kaina paprastai priartėja prie tikrosios kriptovaliutos vertės.</w:t>
      </w:r>
    </w:p>
    <w:p w14:paraId="49C74ACB" w14:textId="77777777" w:rsidR="00137D34" w:rsidRPr="003A7632" w:rsidRDefault="00137D34" w:rsidP="00137D34">
      <w:pPr>
        <w:jc w:val="both"/>
        <w:rPr>
          <w:rFonts w:cs="Times New Roman"/>
          <w:color w:val="000000" w:themeColor="text1"/>
          <w:lang w:val="lt-LT"/>
        </w:rPr>
      </w:pPr>
    </w:p>
    <w:p w14:paraId="2A3A626B" w14:textId="1D9FC1E0" w:rsidR="00137D34" w:rsidRPr="003A7632" w:rsidRDefault="00AE73B9" w:rsidP="00137D34">
      <w:pPr>
        <w:jc w:val="both"/>
        <w:rPr>
          <w:rFonts w:cs="Times New Roman"/>
          <w:b/>
          <w:bCs/>
          <w:color w:val="000000" w:themeColor="text1"/>
          <w:lang w:val="lt-LT"/>
        </w:rPr>
      </w:pPr>
      <w:r w:rsidRPr="003A7632">
        <w:rPr>
          <w:rFonts w:cs="Times New Roman"/>
          <w:b/>
          <w:bCs/>
          <w:color w:val="000000" w:themeColor="text1"/>
          <w:lang w:val="lt-LT"/>
        </w:rPr>
        <w:t xml:space="preserve">Kriptovaliutų </w:t>
      </w:r>
      <w:r w:rsidR="00137D34" w:rsidRPr="003A7632">
        <w:rPr>
          <w:rFonts w:cs="Times New Roman"/>
          <w:b/>
          <w:bCs/>
          <w:color w:val="000000" w:themeColor="text1"/>
          <w:lang w:val="lt-LT"/>
        </w:rPr>
        <w:t>ETF privalumai</w:t>
      </w:r>
      <w:r w:rsidRPr="003A7632">
        <w:rPr>
          <w:rFonts w:cs="Times New Roman"/>
          <w:b/>
          <w:bCs/>
          <w:color w:val="000000" w:themeColor="text1"/>
          <w:lang w:val="lt-LT"/>
        </w:rPr>
        <w:t xml:space="preserve"> ir trūkumai</w:t>
      </w:r>
    </w:p>
    <w:p w14:paraId="12E5D1F6" w14:textId="77777777" w:rsidR="00137D34" w:rsidRPr="003A7632" w:rsidRDefault="00137D34" w:rsidP="00137D34">
      <w:pPr>
        <w:jc w:val="both"/>
        <w:rPr>
          <w:rFonts w:cs="Times New Roman"/>
          <w:color w:val="000000" w:themeColor="text1"/>
          <w:lang w:val="lt-LT"/>
        </w:rPr>
      </w:pPr>
    </w:p>
    <w:p w14:paraId="5662264D" w14:textId="7623F49C" w:rsidR="00AE73B9" w:rsidRPr="003A7632" w:rsidRDefault="00AE73B9" w:rsidP="00AE73B9">
      <w:pPr>
        <w:jc w:val="both"/>
        <w:rPr>
          <w:rFonts w:cs="Times New Roman"/>
          <w:color w:val="000000" w:themeColor="text1"/>
          <w:lang w:val="lt-LT"/>
        </w:rPr>
      </w:pPr>
      <w:r w:rsidRPr="003A7632">
        <w:rPr>
          <w:rFonts w:cs="Times New Roman"/>
          <w:color w:val="000000" w:themeColor="text1"/>
          <w:lang w:val="lt-LT"/>
        </w:rPr>
        <w:t>Viena</w:t>
      </w:r>
      <w:r w:rsidR="00C81360" w:rsidRPr="003A7632">
        <w:rPr>
          <w:rFonts w:cs="Times New Roman"/>
          <w:color w:val="000000" w:themeColor="text1"/>
          <w:lang w:val="lt-LT"/>
        </w:rPr>
        <w:t>s</w:t>
      </w:r>
      <w:r w:rsidRPr="003A7632">
        <w:rPr>
          <w:rFonts w:cs="Times New Roman"/>
          <w:color w:val="000000" w:themeColor="text1"/>
          <w:lang w:val="lt-LT"/>
        </w:rPr>
        <w:t xml:space="preserve"> didžiausių kriptovaliutų ETF privalumų – prieinamumas per tradicines investavimo priemones, pavyzdžiui, bankus ar internetines prekybos platformas. Tai reiškia, kad investuotojui nereikia išmanyti, kaip veikia kriptovaliutų piniginės</w:t>
      </w:r>
      <w:r w:rsidR="00864999" w:rsidRPr="003A7632">
        <w:rPr>
          <w:rFonts w:cs="Times New Roman"/>
          <w:color w:val="000000" w:themeColor="text1"/>
          <w:lang w:val="lt-LT"/>
        </w:rPr>
        <w:t xml:space="preserve"> </w:t>
      </w:r>
      <w:r w:rsidRPr="003A7632">
        <w:rPr>
          <w:rFonts w:cs="Times New Roman"/>
          <w:color w:val="000000" w:themeColor="text1"/>
          <w:lang w:val="lt-LT"/>
        </w:rPr>
        <w:t>ar pervedimai – visais šiais aspektais pasirūpina fondo valdytojai.</w:t>
      </w:r>
    </w:p>
    <w:p w14:paraId="25965352" w14:textId="77777777" w:rsidR="00BD0031" w:rsidRPr="003A7632" w:rsidRDefault="00BD0031" w:rsidP="00AE73B9">
      <w:pPr>
        <w:jc w:val="both"/>
        <w:rPr>
          <w:rFonts w:cs="Times New Roman"/>
          <w:color w:val="000000" w:themeColor="text1"/>
          <w:lang w:val="lt-LT"/>
        </w:rPr>
      </w:pPr>
    </w:p>
    <w:p w14:paraId="0E6448E5" w14:textId="77777777" w:rsidR="00AE73B9" w:rsidRPr="003A7632" w:rsidRDefault="00AE73B9" w:rsidP="00AE73B9">
      <w:pPr>
        <w:jc w:val="both"/>
        <w:rPr>
          <w:rFonts w:cs="Times New Roman"/>
          <w:color w:val="000000" w:themeColor="text1"/>
          <w:lang w:val="lt-LT"/>
        </w:rPr>
      </w:pPr>
      <w:r w:rsidRPr="003A7632">
        <w:rPr>
          <w:rFonts w:cs="Times New Roman"/>
          <w:color w:val="000000" w:themeColor="text1"/>
          <w:lang w:val="lt-LT"/>
        </w:rPr>
        <w:t>Kitas svarbus privalumas – diversifikacija. Dauguma kriptovaliutų ETF investuoja ne tik į vieną skaitmeninį turtą, bet į kelių kriptovaliutų ar su jomis susijusių įmonių krepšelį. Tai padeda sumažinti investavimo riziką, nes vienos valiutos kainos svyravimai neturi tokio didelio poveikio bendrai investicijai. Be to, kriptovaliutų ETF vienetai kainuoja gerokai mažiau nei visas bitkoinas ar eteris, todėl investuoti galima ir su mažesnėmis sumomis.</w:t>
      </w:r>
    </w:p>
    <w:p w14:paraId="74E0990E" w14:textId="77777777" w:rsidR="00864999" w:rsidRPr="003A7632" w:rsidRDefault="00864999" w:rsidP="00AE73B9">
      <w:pPr>
        <w:jc w:val="both"/>
        <w:rPr>
          <w:rFonts w:cs="Times New Roman"/>
          <w:color w:val="000000" w:themeColor="text1"/>
          <w:lang w:val="lt-LT"/>
        </w:rPr>
      </w:pPr>
    </w:p>
    <w:p w14:paraId="384D2267" w14:textId="0E714D27" w:rsidR="00AE73B9" w:rsidRPr="003A7632" w:rsidRDefault="00864999" w:rsidP="00AE73B9">
      <w:pPr>
        <w:jc w:val="both"/>
        <w:rPr>
          <w:rFonts w:cs="Times New Roman"/>
          <w:color w:val="000000" w:themeColor="text1"/>
          <w:lang w:val="lt-LT"/>
        </w:rPr>
      </w:pPr>
      <w:r w:rsidRPr="003A7632">
        <w:rPr>
          <w:rFonts w:cs="Times New Roman"/>
          <w:color w:val="000000" w:themeColor="text1"/>
          <w:lang w:val="lt-LT"/>
        </w:rPr>
        <w:t>K</w:t>
      </w:r>
      <w:r w:rsidR="00AE73B9" w:rsidRPr="003A7632">
        <w:rPr>
          <w:rFonts w:cs="Times New Roman"/>
          <w:color w:val="000000" w:themeColor="text1"/>
          <w:lang w:val="lt-LT"/>
        </w:rPr>
        <w:t xml:space="preserve">riptovaliutų ETF yra reguliuojama finansinė priemonė. Tai suteikia investuotojams daugiau saugumo ir aiškumo, nes fondų veiklą prižiūri finansų reguliavimo institucijos. </w:t>
      </w:r>
      <w:r w:rsidR="00C81360" w:rsidRPr="003A7632">
        <w:rPr>
          <w:rFonts w:cs="Times New Roman"/>
          <w:color w:val="000000" w:themeColor="text1"/>
          <w:lang w:val="lt-LT"/>
        </w:rPr>
        <w:t>Kita vertus, besižavintiems blokų grandinės technologijos anonimiškumu tai gali būti ir didelis minusas.</w:t>
      </w:r>
    </w:p>
    <w:p w14:paraId="19C3F44B" w14:textId="77777777" w:rsidR="00BD0031" w:rsidRPr="003A7632" w:rsidRDefault="00BD0031" w:rsidP="00AE73B9">
      <w:pPr>
        <w:jc w:val="both"/>
        <w:rPr>
          <w:rFonts w:cs="Times New Roman"/>
          <w:color w:val="000000" w:themeColor="text1"/>
          <w:lang w:val="lt-LT"/>
        </w:rPr>
      </w:pPr>
    </w:p>
    <w:p w14:paraId="5BD9C8E3" w14:textId="4027876A" w:rsidR="004A1DC8" w:rsidRPr="003A7632" w:rsidRDefault="00C81360" w:rsidP="00BD0031">
      <w:pPr>
        <w:jc w:val="both"/>
        <w:rPr>
          <w:rFonts w:cs="Times New Roman"/>
          <w:color w:val="000000" w:themeColor="text1"/>
          <w:lang w:val="lt-LT"/>
        </w:rPr>
      </w:pPr>
      <w:r w:rsidRPr="003A7632">
        <w:rPr>
          <w:rFonts w:cs="Times New Roman"/>
          <w:color w:val="000000" w:themeColor="text1"/>
          <w:lang w:val="lt-LT"/>
        </w:rPr>
        <w:t>K</w:t>
      </w:r>
      <w:r w:rsidR="00BD0031" w:rsidRPr="003A7632">
        <w:rPr>
          <w:rFonts w:cs="Times New Roman"/>
          <w:color w:val="000000" w:themeColor="text1"/>
          <w:lang w:val="lt-LT"/>
        </w:rPr>
        <w:t>riptovaliutų ETF turi ir</w:t>
      </w:r>
      <w:r w:rsidRPr="003A7632">
        <w:rPr>
          <w:rFonts w:cs="Times New Roman"/>
          <w:color w:val="000000" w:themeColor="text1"/>
          <w:lang w:val="lt-LT"/>
        </w:rPr>
        <w:t xml:space="preserve"> daugiau</w:t>
      </w:r>
      <w:r w:rsidR="00BD0031" w:rsidRPr="003A7632">
        <w:rPr>
          <w:rFonts w:cs="Times New Roman"/>
          <w:color w:val="000000" w:themeColor="text1"/>
          <w:lang w:val="lt-LT"/>
        </w:rPr>
        <w:t xml:space="preserve"> trūkumų. Pirmiausia – investuotojai neturi tiesioginės kriptovaliutų nuosavybės. Įsigiję ETF vienet</w:t>
      </w:r>
      <w:r w:rsidR="00B430D6" w:rsidRPr="003A7632">
        <w:rPr>
          <w:rFonts w:cs="Times New Roman"/>
          <w:color w:val="000000" w:themeColor="text1"/>
          <w:lang w:val="lt-LT"/>
        </w:rPr>
        <w:t>ų j</w:t>
      </w:r>
      <w:r w:rsidR="00BD0031" w:rsidRPr="003A7632">
        <w:rPr>
          <w:rFonts w:cs="Times New Roman"/>
          <w:color w:val="000000" w:themeColor="text1"/>
          <w:lang w:val="lt-LT"/>
        </w:rPr>
        <w:t>ie negali kriptovaliutų</w:t>
      </w:r>
      <w:r w:rsidRPr="003A7632">
        <w:rPr>
          <w:rFonts w:cs="Times New Roman"/>
          <w:color w:val="000000" w:themeColor="text1"/>
          <w:lang w:val="lt-LT"/>
        </w:rPr>
        <w:t xml:space="preserve"> </w:t>
      </w:r>
      <w:r w:rsidR="00BD0031" w:rsidRPr="003A7632">
        <w:rPr>
          <w:rFonts w:cs="Times New Roman"/>
          <w:color w:val="000000" w:themeColor="text1"/>
          <w:lang w:val="lt-LT"/>
        </w:rPr>
        <w:t>naudoti kaip mokėjimo priemon</w:t>
      </w:r>
      <w:r w:rsidR="00B430D6" w:rsidRPr="003A7632">
        <w:rPr>
          <w:rFonts w:cs="Times New Roman"/>
          <w:color w:val="000000" w:themeColor="text1"/>
          <w:lang w:val="lt-LT"/>
        </w:rPr>
        <w:t>ių</w:t>
      </w:r>
      <w:r w:rsidR="00BD0031" w:rsidRPr="003A7632">
        <w:rPr>
          <w:rFonts w:cs="Times New Roman"/>
          <w:color w:val="000000" w:themeColor="text1"/>
          <w:lang w:val="lt-LT"/>
        </w:rPr>
        <w:t xml:space="preserve">. </w:t>
      </w:r>
    </w:p>
    <w:p w14:paraId="130EBE17" w14:textId="77777777" w:rsidR="004A1DC8" w:rsidRPr="003A7632" w:rsidRDefault="004A1DC8" w:rsidP="00BD0031">
      <w:pPr>
        <w:jc w:val="both"/>
        <w:rPr>
          <w:rFonts w:cs="Times New Roman"/>
          <w:color w:val="000000" w:themeColor="text1"/>
          <w:lang w:val="lt-LT"/>
        </w:rPr>
      </w:pPr>
    </w:p>
    <w:p w14:paraId="365F8405" w14:textId="630C4505" w:rsidR="00BD0031" w:rsidRPr="003A7632" w:rsidRDefault="00BD0031" w:rsidP="00BD0031">
      <w:pPr>
        <w:jc w:val="both"/>
        <w:rPr>
          <w:rFonts w:cs="Times New Roman"/>
          <w:color w:val="000000" w:themeColor="text1"/>
          <w:lang w:val="lt-LT"/>
        </w:rPr>
      </w:pPr>
      <w:r w:rsidRPr="003A7632">
        <w:rPr>
          <w:rFonts w:cs="Times New Roman"/>
          <w:color w:val="000000" w:themeColor="text1"/>
          <w:lang w:val="lt-LT"/>
        </w:rPr>
        <w:t>Be to, už ETF fondų valdymą taikomi administravimo mokesčiai, kurie gali sumažinti investicijų grąžą.</w:t>
      </w:r>
      <w:r w:rsidR="004A1DC8" w:rsidRPr="003A7632">
        <w:rPr>
          <w:rFonts w:cs="Times New Roman"/>
          <w:color w:val="000000" w:themeColor="text1"/>
          <w:lang w:val="lt-LT"/>
        </w:rPr>
        <w:t xml:space="preserve"> Į kriptovaliutas investuodami tiesiogiai šių mokesčių išvengsite arba mokėsite tik nedidelius sandorių atlikimo komisinius.</w:t>
      </w:r>
    </w:p>
    <w:p w14:paraId="692F1986" w14:textId="77777777" w:rsidR="00B430D6" w:rsidRPr="003A7632" w:rsidRDefault="00B430D6" w:rsidP="00BD0031">
      <w:pPr>
        <w:jc w:val="both"/>
        <w:rPr>
          <w:rFonts w:cs="Times New Roman"/>
          <w:color w:val="000000" w:themeColor="text1"/>
          <w:lang w:val="lt-LT"/>
        </w:rPr>
      </w:pPr>
    </w:p>
    <w:p w14:paraId="03D04691" w14:textId="5A6F975D" w:rsidR="00DD045C" w:rsidRDefault="00BD0031" w:rsidP="00137D34">
      <w:pPr>
        <w:jc w:val="both"/>
        <w:rPr>
          <w:rFonts w:cs="Times New Roman"/>
          <w:color w:val="000000" w:themeColor="text1"/>
          <w:lang w:val="lt-LT"/>
        </w:rPr>
      </w:pPr>
      <w:r w:rsidRPr="003A7632">
        <w:rPr>
          <w:rFonts w:cs="Times New Roman"/>
          <w:color w:val="000000" w:themeColor="text1"/>
          <w:lang w:val="lt-LT"/>
        </w:rPr>
        <w:t>Dar vienas aspektas – priklausomybė nuo fond</w:t>
      </w:r>
      <w:r w:rsidR="00C81360" w:rsidRPr="003A7632">
        <w:rPr>
          <w:rFonts w:cs="Times New Roman"/>
          <w:color w:val="000000" w:themeColor="text1"/>
          <w:lang w:val="lt-LT"/>
        </w:rPr>
        <w:t>ų</w:t>
      </w:r>
      <w:r w:rsidRPr="003A7632">
        <w:rPr>
          <w:rFonts w:cs="Times New Roman"/>
          <w:color w:val="000000" w:themeColor="text1"/>
          <w:lang w:val="lt-LT"/>
        </w:rPr>
        <w:t xml:space="preserve"> valdytojų sprendimų. Valdytojai patys sprendžia, kur investuoti surinktas lėšas, todėl investicijų rezultatai ne visada atitinka tiesioginius kriptovaliutų kainų pokyčius. Galiausiai, nors ETF mažina investavimo riziką, kriptovaliutų rinka išlieka labai nepastovi, todėl fond</w:t>
      </w:r>
      <w:r w:rsidR="00C81360" w:rsidRPr="003A7632">
        <w:rPr>
          <w:rFonts w:cs="Times New Roman"/>
          <w:color w:val="000000" w:themeColor="text1"/>
          <w:lang w:val="lt-LT"/>
        </w:rPr>
        <w:t>ų</w:t>
      </w:r>
      <w:r w:rsidRPr="003A7632">
        <w:rPr>
          <w:rFonts w:cs="Times New Roman"/>
          <w:color w:val="000000" w:themeColor="text1"/>
          <w:lang w:val="lt-LT"/>
        </w:rPr>
        <w:t xml:space="preserve"> vertė taip pat gali smarkiai svyruoti.</w:t>
      </w:r>
    </w:p>
    <w:p w14:paraId="0C49692B" w14:textId="77777777" w:rsidR="00624A6A" w:rsidRPr="00975EF8" w:rsidRDefault="00624A6A" w:rsidP="00624A6A">
      <w:pPr>
        <w:jc w:val="both"/>
        <w:rPr>
          <w:rFonts w:ascii="Aptos" w:hAnsi="Aptos" w:cs="Times New Roman"/>
          <w:b/>
          <w:bCs/>
          <w:color w:val="000000" w:themeColor="text1"/>
          <w:lang w:val="lt-LT"/>
        </w:rPr>
      </w:pPr>
      <w:r w:rsidRPr="00975EF8">
        <w:rPr>
          <w:rFonts w:ascii="Aptos" w:hAnsi="Aptos" w:cs="Times New Roman"/>
          <w:b/>
          <w:bCs/>
          <w:color w:val="000000" w:themeColor="text1"/>
          <w:lang w:val="lt-LT"/>
        </w:rPr>
        <w:lastRenderedPageBreak/>
        <w:t>Apie „Bifinity“</w:t>
      </w:r>
    </w:p>
    <w:p w14:paraId="77544BAB" w14:textId="77777777" w:rsidR="00624A6A" w:rsidRPr="00975EF8" w:rsidRDefault="00624A6A" w:rsidP="00624A6A">
      <w:pPr>
        <w:jc w:val="both"/>
        <w:rPr>
          <w:rFonts w:ascii="Aptos" w:hAnsi="Aptos" w:cs="Times New Roman"/>
          <w:color w:val="000000" w:themeColor="text1"/>
          <w:lang w:val="lt-LT"/>
        </w:rPr>
      </w:pPr>
    </w:p>
    <w:p w14:paraId="77E7D009" w14:textId="77777777" w:rsidR="00624A6A" w:rsidRPr="00975EF8" w:rsidRDefault="00624A6A" w:rsidP="00624A6A">
      <w:pPr>
        <w:jc w:val="both"/>
        <w:rPr>
          <w:rFonts w:ascii="Aptos" w:hAnsi="Aptos" w:cs="Times New Roman"/>
          <w:color w:val="000000" w:themeColor="text1"/>
          <w:lang w:val="lt-LT"/>
        </w:rPr>
      </w:pPr>
      <w:r w:rsidRPr="00975EF8">
        <w:rPr>
          <w:rFonts w:ascii="Aptos" w:hAnsi="Aptos" w:cs="Times New Roman"/>
          <w:color w:val="000000" w:themeColor="text1"/>
          <w:lang w:val="lt-LT"/>
        </w:rPr>
        <w:t>UAB „Bifinity“ suteikia galimybę atlikti fiat sandorius kriptovaliutų biržose Europos Ekonominėje Erdvėje (EEE). Įmonė vartotojams užtikrina saugų ir reikalavimus atitinkantį naudojimąsi fiat paslaugomis, tokiomis kaip sandoriai su kreditinėmis kortelėmis ar SEPA (Bendros mokėjimų eurais erdvės) pervedimai. „Bifinity“ atitikties priemonės yra sukurtos taip, kad atitiktų ES Penktąją kovos su pinigų plovimu direktyvą (AMLD5) ir visus galiojančius Lietuvos įstatymus bei reguliavimus.</w:t>
      </w:r>
    </w:p>
    <w:p w14:paraId="62EF2ACA" w14:textId="77777777" w:rsidR="00624A6A" w:rsidRPr="003A7632" w:rsidRDefault="00624A6A" w:rsidP="00137D34">
      <w:pPr>
        <w:jc w:val="both"/>
        <w:rPr>
          <w:rFonts w:cs="Times New Roman"/>
          <w:color w:val="000000" w:themeColor="text1"/>
          <w:lang w:val="lt-LT"/>
        </w:rPr>
      </w:pPr>
    </w:p>
    <w:sectPr w:rsidR="00624A6A" w:rsidRPr="003A763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D34"/>
    <w:rsid w:val="000552C4"/>
    <w:rsid w:val="00137D34"/>
    <w:rsid w:val="00160525"/>
    <w:rsid w:val="00163AB1"/>
    <w:rsid w:val="00190D98"/>
    <w:rsid w:val="001B7D7D"/>
    <w:rsid w:val="001C0747"/>
    <w:rsid w:val="003A7632"/>
    <w:rsid w:val="00495C01"/>
    <w:rsid w:val="004A1DC8"/>
    <w:rsid w:val="004D46A9"/>
    <w:rsid w:val="004E5C5B"/>
    <w:rsid w:val="00502014"/>
    <w:rsid w:val="00556A0A"/>
    <w:rsid w:val="00564CB2"/>
    <w:rsid w:val="00614E89"/>
    <w:rsid w:val="00624A6A"/>
    <w:rsid w:val="0063527E"/>
    <w:rsid w:val="00650591"/>
    <w:rsid w:val="00782DF3"/>
    <w:rsid w:val="00864999"/>
    <w:rsid w:val="008E7AF6"/>
    <w:rsid w:val="008F57DD"/>
    <w:rsid w:val="009E009B"/>
    <w:rsid w:val="00A15537"/>
    <w:rsid w:val="00A56266"/>
    <w:rsid w:val="00AE6822"/>
    <w:rsid w:val="00AE73B9"/>
    <w:rsid w:val="00B430D6"/>
    <w:rsid w:val="00BD0031"/>
    <w:rsid w:val="00BE2660"/>
    <w:rsid w:val="00C81360"/>
    <w:rsid w:val="00CF6A43"/>
    <w:rsid w:val="00D16710"/>
    <w:rsid w:val="00D17ED1"/>
    <w:rsid w:val="00D440D9"/>
    <w:rsid w:val="00D67F65"/>
    <w:rsid w:val="00DD045C"/>
    <w:rsid w:val="00DE4E89"/>
    <w:rsid w:val="00E16A95"/>
    <w:rsid w:val="00E27BFA"/>
    <w:rsid w:val="00F427BF"/>
    <w:rsid w:val="00F77BCE"/>
    <w:rsid w:val="00FC4914"/>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9DBB8"/>
  <w15:chartTrackingRefBased/>
  <w15:docId w15:val="{C26DD5AF-5554-CB43-8E98-2BDC9F8D2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7D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37D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37D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37D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37D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37D3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7D3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7D3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7D3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7D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37D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37D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37D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37D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37D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7D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7D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7D34"/>
    <w:rPr>
      <w:rFonts w:eastAsiaTheme="majorEastAsia" w:cstheme="majorBidi"/>
      <w:color w:val="272727" w:themeColor="text1" w:themeTint="D8"/>
    </w:rPr>
  </w:style>
  <w:style w:type="paragraph" w:styleId="Title">
    <w:name w:val="Title"/>
    <w:basedOn w:val="Normal"/>
    <w:next w:val="Normal"/>
    <w:link w:val="TitleChar"/>
    <w:uiPriority w:val="10"/>
    <w:qFormat/>
    <w:rsid w:val="00137D3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7D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7D3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7D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7D3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37D34"/>
    <w:rPr>
      <w:i/>
      <w:iCs/>
      <w:color w:val="404040" w:themeColor="text1" w:themeTint="BF"/>
    </w:rPr>
  </w:style>
  <w:style w:type="paragraph" w:styleId="ListParagraph">
    <w:name w:val="List Paragraph"/>
    <w:basedOn w:val="Normal"/>
    <w:uiPriority w:val="34"/>
    <w:qFormat/>
    <w:rsid w:val="00137D34"/>
    <w:pPr>
      <w:ind w:left="720"/>
      <w:contextualSpacing/>
    </w:pPr>
  </w:style>
  <w:style w:type="character" w:styleId="IntenseEmphasis">
    <w:name w:val="Intense Emphasis"/>
    <w:basedOn w:val="DefaultParagraphFont"/>
    <w:uiPriority w:val="21"/>
    <w:qFormat/>
    <w:rsid w:val="00137D34"/>
    <w:rPr>
      <w:i/>
      <w:iCs/>
      <w:color w:val="0F4761" w:themeColor="accent1" w:themeShade="BF"/>
    </w:rPr>
  </w:style>
  <w:style w:type="paragraph" w:styleId="IntenseQuote">
    <w:name w:val="Intense Quote"/>
    <w:basedOn w:val="Normal"/>
    <w:next w:val="Normal"/>
    <w:link w:val="IntenseQuoteChar"/>
    <w:uiPriority w:val="30"/>
    <w:qFormat/>
    <w:rsid w:val="00137D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7D34"/>
    <w:rPr>
      <w:i/>
      <w:iCs/>
      <w:color w:val="0F4761" w:themeColor="accent1" w:themeShade="BF"/>
    </w:rPr>
  </w:style>
  <w:style w:type="character" w:styleId="IntenseReference">
    <w:name w:val="Intense Reference"/>
    <w:basedOn w:val="DefaultParagraphFont"/>
    <w:uiPriority w:val="32"/>
    <w:qFormat/>
    <w:rsid w:val="00137D3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690">
      <w:bodyDiv w:val="1"/>
      <w:marLeft w:val="0"/>
      <w:marRight w:val="0"/>
      <w:marTop w:val="0"/>
      <w:marBottom w:val="0"/>
      <w:divBdr>
        <w:top w:val="none" w:sz="0" w:space="0" w:color="auto"/>
        <w:left w:val="none" w:sz="0" w:space="0" w:color="auto"/>
        <w:bottom w:val="none" w:sz="0" w:space="0" w:color="auto"/>
        <w:right w:val="none" w:sz="0" w:space="0" w:color="auto"/>
      </w:divBdr>
    </w:div>
    <w:div w:id="21706254">
      <w:bodyDiv w:val="1"/>
      <w:marLeft w:val="0"/>
      <w:marRight w:val="0"/>
      <w:marTop w:val="0"/>
      <w:marBottom w:val="0"/>
      <w:divBdr>
        <w:top w:val="none" w:sz="0" w:space="0" w:color="auto"/>
        <w:left w:val="none" w:sz="0" w:space="0" w:color="auto"/>
        <w:bottom w:val="none" w:sz="0" w:space="0" w:color="auto"/>
        <w:right w:val="none" w:sz="0" w:space="0" w:color="auto"/>
      </w:divBdr>
    </w:div>
    <w:div w:id="145586992">
      <w:bodyDiv w:val="1"/>
      <w:marLeft w:val="0"/>
      <w:marRight w:val="0"/>
      <w:marTop w:val="0"/>
      <w:marBottom w:val="0"/>
      <w:divBdr>
        <w:top w:val="none" w:sz="0" w:space="0" w:color="auto"/>
        <w:left w:val="none" w:sz="0" w:space="0" w:color="auto"/>
        <w:bottom w:val="none" w:sz="0" w:space="0" w:color="auto"/>
        <w:right w:val="none" w:sz="0" w:space="0" w:color="auto"/>
      </w:divBdr>
    </w:div>
    <w:div w:id="180507790">
      <w:bodyDiv w:val="1"/>
      <w:marLeft w:val="0"/>
      <w:marRight w:val="0"/>
      <w:marTop w:val="0"/>
      <w:marBottom w:val="0"/>
      <w:divBdr>
        <w:top w:val="none" w:sz="0" w:space="0" w:color="auto"/>
        <w:left w:val="none" w:sz="0" w:space="0" w:color="auto"/>
        <w:bottom w:val="none" w:sz="0" w:space="0" w:color="auto"/>
        <w:right w:val="none" w:sz="0" w:space="0" w:color="auto"/>
      </w:divBdr>
    </w:div>
    <w:div w:id="576405648">
      <w:bodyDiv w:val="1"/>
      <w:marLeft w:val="0"/>
      <w:marRight w:val="0"/>
      <w:marTop w:val="0"/>
      <w:marBottom w:val="0"/>
      <w:divBdr>
        <w:top w:val="none" w:sz="0" w:space="0" w:color="auto"/>
        <w:left w:val="none" w:sz="0" w:space="0" w:color="auto"/>
        <w:bottom w:val="none" w:sz="0" w:space="0" w:color="auto"/>
        <w:right w:val="none" w:sz="0" w:space="0" w:color="auto"/>
      </w:divBdr>
    </w:div>
    <w:div w:id="697780879">
      <w:bodyDiv w:val="1"/>
      <w:marLeft w:val="0"/>
      <w:marRight w:val="0"/>
      <w:marTop w:val="0"/>
      <w:marBottom w:val="0"/>
      <w:divBdr>
        <w:top w:val="none" w:sz="0" w:space="0" w:color="auto"/>
        <w:left w:val="none" w:sz="0" w:space="0" w:color="auto"/>
        <w:bottom w:val="none" w:sz="0" w:space="0" w:color="auto"/>
        <w:right w:val="none" w:sz="0" w:space="0" w:color="auto"/>
      </w:divBdr>
    </w:div>
    <w:div w:id="1026173142">
      <w:bodyDiv w:val="1"/>
      <w:marLeft w:val="0"/>
      <w:marRight w:val="0"/>
      <w:marTop w:val="0"/>
      <w:marBottom w:val="0"/>
      <w:divBdr>
        <w:top w:val="none" w:sz="0" w:space="0" w:color="auto"/>
        <w:left w:val="none" w:sz="0" w:space="0" w:color="auto"/>
        <w:bottom w:val="none" w:sz="0" w:space="0" w:color="auto"/>
        <w:right w:val="none" w:sz="0" w:space="0" w:color="auto"/>
      </w:divBdr>
    </w:div>
    <w:div w:id="1048067323">
      <w:bodyDiv w:val="1"/>
      <w:marLeft w:val="0"/>
      <w:marRight w:val="0"/>
      <w:marTop w:val="0"/>
      <w:marBottom w:val="0"/>
      <w:divBdr>
        <w:top w:val="none" w:sz="0" w:space="0" w:color="auto"/>
        <w:left w:val="none" w:sz="0" w:space="0" w:color="auto"/>
        <w:bottom w:val="none" w:sz="0" w:space="0" w:color="auto"/>
        <w:right w:val="none" w:sz="0" w:space="0" w:color="auto"/>
      </w:divBdr>
    </w:div>
    <w:div w:id="1057821159">
      <w:bodyDiv w:val="1"/>
      <w:marLeft w:val="0"/>
      <w:marRight w:val="0"/>
      <w:marTop w:val="0"/>
      <w:marBottom w:val="0"/>
      <w:divBdr>
        <w:top w:val="none" w:sz="0" w:space="0" w:color="auto"/>
        <w:left w:val="none" w:sz="0" w:space="0" w:color="auto"/>
        <w:bottom w:val="none" w:sz="0" w:space="0" w:color="auto"/>
        <w:right w:val="none" w:sz="0" w:space="0" w:color="auto"/>
      </w:divBdr>
    </w:div>
    <w:div w:id="1124956774">
      <w:bodyDiv w:val="1"/>
      <w:marLeft w:val="0"/>
      <w:marRight w:val="0"/>
      <w:marTop w:val="0"/>
      <w:marBottom w:val="0"/>
      <w:divBdr>
        <w:top w:val="none" w:sz="0" w:space="0" w:color="auto"/>
        <w:left w:val="none" w:sz="0" w:space="0" w:color="auto"/>
        <w:bottom w:val="none" w:sz="0" w:space="0" w:color="auto"/>
        <w:right w:val="none" w:sz="0" w:space="0" w:color="auto"/>
      </w:divBdr>
    </w:div>
    <w:div w:id="1309240267">
      <w:bodyDiv w:val="1"/>
      <w:marLeft w:val="0"/>
      <w:marRight w:val="0"/>
      <w:marTop w:val="0"/>
      <w:marBottom w:val="0"/>
      <w:divBdr>
        <w:top w:val="none" w:sz="0" w:space="0" w:color="auto"/>
        <w:left w:val="none" w:sz="0" w:space="0" w:color="auto"/>
        <w:bottom w:val="none" w:sz="0" w:space="0" w:color="auto"/>
        <w:right w:val="none" w:sz="0" w:space="0" w:color="auto"/>
      </w:divBdr>
    </w:div>
    <w:div w:id="1310134725">
      <w:bodyDiv w:val="1"/>
      <w:marLeft w:val="0"/>
      <w:marRight w:val="0"/>
      <w:marTop w:val="0"/>
      <w:marBottom w:val="0"/>
      <w:divBdr>
        <w:top w:val="none" w:sz="0" w:space="0" w:color="auto"/>
        <w:left w:val="none" w:sz="0" w:space="0" w:color="auto"/>
        <w:bottom w:val="none" w:sz="0" w:space="0" w:color="auto"/>
        <w:right w:val="none" w:sz="0" w:space="0" w:color="auto"/>
      </w:divBdr>
    </w:div>
    <w:div w:id="1338730580">
      <w:bodyDiv w:val="1"/>
      <w:marLeft w:val="0"/>
      <w:marRight w:val="0"/>
      <w:marTop w:val="0"/>
      <w:marBottom w:val="0"/>
      <w:divBdr>
        <w:top w:val="none" w:sz="0" w:space="0" w:color="auto"/>
        <w:left w:val="none" w:sz="0" w:space="0" w:color="auto"/>
        <w:bottom w:val="none" w:sz="0" w:space="0" w:color="auto"/>
        <w:right w:val="none" w:sz="0" w:space="0" w:color="auto"/>
      </w:divBdr>
    </w:div>
    <w:div w:id="1572538583">
      <w:bodyDiv w:val="1"/>
      <w:marLeft w:val="0"/>
      <w:marRight w:val="0"/>
      <w:marTop w:val="0"/>
      <w:marBottom w:val="0"/>
      <w:divBdr>
        <w:top w:val="none" w:sz="0" w:space="0" w:color="auto"/>
        <w:left w:val="none" w:sz="0" w:space="0" w:color="auto"/>
        <w:bottom w:val="none" w:sz="0" w:space="0" w:color="auto"/>
        <w:right w:val="none" w:sz="0" w:space="0" w:color="auto"/>
      </w:divBdr>
    </w:div>
    <w:div w:id="1897549350">
      <w:bodyDiv w:val="1"/>
      <w:marLeft w:val="0"/>
      <w:marRight w:val="0"/>
      <w:marTop w:val="0"/>
      <w:marBottom w:val="0"/>
      <w:divBdr>
        <w:top w:val="none" w:sz="0" w:space="0" w:color="auto"/>
        <w:left w:val="none" w:sz="0" w:space="0" w:color="auto"/>
        <w:bottom w:val="none" w:sz="0" w:space="0" w:color="auto"/>
        <w:right w:val="none" w:sz="0" w:space="0" w:color="auto"/>
      </w:divBdr>
    </w:div>
    <w:div w:id="1902210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920</Words>
  <Characters>5282</Characters>
  <Application>Microsoft Office Word</Application>
  <DocSecurity>0</DocSecurity>
  <Lines>101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Matas Miknevičius</dc:creator>
  <cp:keywords/>
  <dc:description/>
  <cp:lastModifiedBy>Microsoft Office User</cp:lastModifiedBy>
  <cp:revision>11</cp:revision>
  <dcterms:created xsi:type="dcterms:W3CDTF">2025-01-20T13:21:00Z</dcterms:created>
  <dcterms:modified xsi:type="dcterms:W3CDTF">2025-01-21T13:54:00Z</dcterms:modified>
</cp:coreProperties>
</file>