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98674" w14:textId="20D94FF4" w:rsidR="001A3854" w:rsidRPr="001A3854" w:rsidRDefault="001A3854" w:rsidP="001A3854">
      <w:pPr>
        <w:pStyle w:val="NoSpacing"/>
        <w:jc w:val="both"/>
        <w:rPr>
          <w:sz w:val="20"/>
          <w:szCs w:val="20"/>
          <w:lang w:val="lt-LT"/>
        </w:rPr>
      </w:pPr>
      <w:r w:rsidRPr="001A3854">
        <w:rPr>
          <w:sz w:val="20"/>
          <w:szCs w:val="20"/>
        </w:rPr>
        <w:t>Prane</w:t>
      </w:r>
      <w:r w:rsidRPr="001A3854">
        <w:rPr>
          <w:sz w:val="20"/>
          <w:szCs w:val="20"/>
          <w:lang w:val="lt-LT"/>
        </w:rPr>
        <w:t>šimas žiniasklaidai</w:t>
      </w:r>
    </w:p>
    <w:p w14:paraId="7906744A" w14:textId="13186310" w:rsidR="001A3854" w:rsidRPr="001A3854" w:rsidRDefault="001A3854" w:rsidP="001A3854">
      <w:pPr>
        <w:pStyle w:val="NoSpacing"/>
        <w:jc w:val="both"/>
        <w:rPr>
          <w:sz w:val="20"/>
          <w:szCs w:val="20"/>
          <w:lang w:val="en-US"/>
        </w:rPr>
      </w:pPr>
      <w:r w:rsidRPr="001A3854">
        <w:rPr>
          <w:sz w:val="20"/>
          <w:szCs w:val="20"/>
          <w:lang w:val="en-US"/>
        </w:rPr>
        <w:t>2025 m. vasario 7 d.</w:t>
      </w:r>
    </w:p>
    <w:p w14:paraId="2010722C" w14:textId="77777777" w:rsidR="001A3854" w:rsidRPr="001A3854" w:rsidRDefault="001A3854" w:rsidP="001A3854">
      <w:pPr>
        <w:pStyle w:val="NoSpacing"/>
        <w:jc w:val="both"/>
        <w:rPr>
          <w:lang w:val="en-US"/>
        </w:rPr>
      </w:pPr>
    </w:p>
    <w:p w14:paraId="1E60A3E2" w14:textId="4C381564" w:rsidR="001A3854" w:rsidRPr="001A3854" w:rsidRDefault="001A3854" w:rsidP="001A3854">
      <w:pPr>
        <w:jc w:val="both"/>
        <w:rPr>
          <w:b/>
          <w:bCs/>
        </w:rPr>
      </w:pPr>
      <w:r w:rsidRPr="001A3854">
        <w:rPr>
          <w:b/>
          <w:bCs/>
        </w:rPr>
        <w:t>Sausio mėnesio kriptovaliutų rinkos apžvalga: naujas bitkoino rekordas, apsnūdęs eteris ir „Ripple“ spurtas</w:t>
      </w:r>
    </w:p>
    <w:p w14:paraId="2931B110" w14:textId="0EB24B24" w:rsidR="001A3854" w:rsidRPr="001A3854" w:rsidRDefault="001A3854" w:rsidP="001A3854">
      <w:pPr>
        <w:jc w:val="both"/>
        <w:rPr>
          <w:b/>
          <w:bCs/>
        </w:rPr>
      </w:pPr>
      <w:r w:rsidRPr="001A3854">
        <w:rPr>
          <w:b/>
          <w:bCs/>
        </w:rPr>
        <w:t xml:space="preserve"> Pirmasis metų mėnuo kriptovaliutų rinkoje prasidėjo pozityviomis nuotaikomis – investuotojai stebėjo, kaip bitkoinas (BTC) ir toliau siekia vieno po kito savo kainos rekordų, įspūdingai stiprėjo „Ripple“ (XRP) kriptovaliuta.</w:t>
      </w:r>
    </w:p>
    <w:p w14:paraId="458A8494" w14:textId="3495C52C" w:rsidR="001A3854" w:rsidRDefault="001A3854" w:rsidP="001A3854">
      <w:pPr>
        <w:jc w:val="both"/>
      </w:pPr>
      <w:r>
        <w:t xml:space="preserve">Bitkoinas metus pradėjo nuo 90 539 Eur kainos ir sausio mėnesį baigė ties 97 939 Eur, fiksuodamas solidų 8,17 proc. mėnesinį augimą. Sausio 20-ąją, įpusėjus mėnesiui, didžiausia pagal rinkos kapitalizaciją kriptovaliuta pasiekė naują visų laikų kainos rekordą – 104 950 Eur. </w:t>
      </w:r>
    </w:p>
    <w:p w14:paraId="0373771B" w14:textId="28BB04F8" w:rsidR="001A3854" w:rsidRDefault="001A3854" w:rsidP="001A3854">
      <w:pPr>
        <w:jc w:val="both"/>
      </w:pPr>
      <w:r>
        <w:t>„Naujos kainos aukštumos dar kartą įrodė, kad investuotojų susidomėjimas ir pasitikėjimas bitkoinu išlieka labai stiprus“, – sako Jonas Juengeris, „Bifinity“ generalinis direktorius.</w:t>
      </w:r>
    </w:p>
    <w:p w14:paraId="28B1A3B6" w14:textId="6C8497F3" w:rsidR="001A3854" w:rsidRDefault="001A3854" w:rsidP="001A3854">
      <w:pPr>
        <w:jc w:val="both"/>
      </w:pPr>
      <w:r>
        <w:t>Tuo tarpu antroji pagal dydį kriptovaliuta eteris (ETH) per mėnesį šiek tiek atpigo – mėnesio pradžioje jo kaina siekė 3 219 Eur, vėliau gana žymiai krito ir mėnesio pabaigoje vėl atsitiesė iki 3 195 Eur, fiksuodama 0,7  proc. kainos mažėjimą. Kuklesni eterio rezultatai, palyginti su kitomis didžiausiomis kriptovaliutomis, greičiausiai reiškia, kad investuotojai nukreipė dėmesį į kitus aktyvus.</w:t>
      </w:r>
    </w:p>
    <w:p w14:paraId="227C8EB2" w14:textId="41E585A5" w:rsidR="001A3854" w:rsidRDefault="001A3854" w:rsidP="001A3854">
      <w:pPr>
        <w:jc w:val="both"/>
      </w:pPr>
      <w:r>
        <w:t xml:space="preserve">Be to, „Solana“ (SOL) kriptovaliuta pastaruoju metu tampa vis rimtesne eterio konkurente DeFi (decentralizuotų finansų) paslaugų rinkoje. </w:t>
      </w:r>
    </w:p>
    <w:p w14:paraId="4EFBE9D0" w14:textId="762C4848" w:rsidR="001A3854" w:rsidRDefault="001A3854" w:rsidP="001A3854">
      <w:pPr>
        <w:jc w:val="both"/>
      </w:pPr>
      <w:r>
        <w:t>Pastaruoju metu rinkoje nemažai kritikos sulaukė eterio pardavimo sandoriai, kuriuos atliko „Ethereum“ fondas – nepriklausoma ne pelno organizacija, atsakinga už „Ethereum“ blokų grandinės plėtrą, mokslinius tyrimus ir ekosistemos palaikymą.</w:t>
      </w:r>
    </w:p>
    <w:p w14:paraId="5A842D9F" w14:textId="2E25D3E5" w:rsidR="001A3854" w:rsidRDefault="001A3854" w:rsidP="001A3854">
      <w:pPr>
        <w:jc w:val="both"/>
      </w:pPr>
      <w:r>
        <w:t>Nepaisant to, bendra eterio ekosistemos situacija išlieka stipri – sausį aktyvių šios kriptovaliutos piniginių skaičius išaugo 37 proc. Tai, kaip manoma, buvo paskatinta institucinių investuotojų susidomėjimo.</w:t>
      </w:r>
    </w:p>
    <w:p w14:paraId="240B0946" w14:textId="0F54825E" w:rsidR="001A3854" w:rsidRDefault="001A3854" w:rsidP="001A3854">
      <w:pPr>
        <w:jc w:val="both"/>
      </w:pPr>
      <w:r>
        <w:t>„Ripple”, pagal rinkos kapitalizaciją trečiąją vietą užimanti kriptovaliuta, sausį patyrė įspūdingą šuolį – mėnesio pradžioje kainavusi 2,02 Eur jį baigė pasiekusi 2,90 Eur kainą. Užfiksuotas įspūdingas 43,5 proc. augimas.</w:t>
      </w:r>
    </w:p>
    <w:p w14:paraId="0F4FBCD5" w14:textId="5B7C869A" w:rsidR="001A3854" w:rsidRDefault="001A3854" w:rsidP="001A3854">
      <w:pPr>
        <w:jc w:val="both"/>
      </w:pPr>
      <w:r>
        <w:t>„Ripple“ stiprėjimas taip padidino jos rinkos kapitalizaciją, kad buvo aplenkta stabiliosios vertės kriptovaliuta „Tether“. Tai svarbus etapas „Ripple“, kurios vertė pastaraisiais mėnesiais demonstruoja stabilumą.</w:t>
      </w:r>
    </w:p>
    <w:p w14:paraId="010BF5F3" w14:textId="77777777" w:rsidR="001A3854" w:rsidRDefault="001A3854" w:rsidP="001A3854">
      <w:pPr>
        <w:jc w:val="both"/>
      </w:pPr>
      <w:r>
        <w:t xml:space="preserve">„Bendra nuotaika kriptovaliutų rinkose išlieka optimistinė – ją palaiko naujas „Bitcoin“ visų laikų kainos rekordas ir reikšmingas „Ripple“ augimas. Tačiau kuklesni eterio rezultatai rodo, kad rinka gali pereiti į naują etapą, kuriame investuotojai aktyviau ieško </w:t>
      </w:r>
      <w:r>
        <w:lastRenderedPageBreak/>
        <w:t>galimybių už dviejų didžiausių valiutų ribų. Pozityvi metų pradžia leidžia tikėtis tolesnio aktyvumo kriptovaliutų rinkose“, – komentuoja J. Juengeris.</w:t>
      </w:r>
    </w:p>
    <w:p w14:paraId="3A13FE08" w14:textId="182FD2F0" w:rsidR="001A3854" w:rsidRPr="001A3854" w:rsidRDefault="001A3854" w:rsidP="001A3854">
      <w:pPr>
        <w:jc w:val="both"/>
        <w:rPr>
          <w:rFonts w:ascii="Aptos" w:hAnsi="Aptos" w:cs="Times New Roman"/>
          <w:b/>
          <w:bCs/>
          <w:color w:val="000000" w:themeColor="text1"/>
          <w:lang w:val="lt-LT"/>
        </w:rPr>
      </w:pPr>
      <w:r w:rsidRPr="00975EF8">
        <w:rPr>
          <w:rFonts w:ascii="Aptos" w:hAnsi="Aptos" w:cs="Times New Roman"/>
          <w:b/>
          <w:bCs/>
          <w:color w:val="000000" w:themeColor="text1"/>
          <w:lang w:val="lt-LT"/>
        </w:rPr>
        <w:t>Apie „Bifinity“</w:t>
      </w:r>
    </w:p>
    <w:p w14:paraId="2C054D6D" w14:textId="77777777" w:rsidR="001A3854" w:rsidRPr="00975EF8" w:rsidRDefault="001A3854" w:rsidP="001A3854">
      <w:pPr>
        <w:jc w:val="both"/>
        <w:rPr>
          <w:rFonts w:ascii="Aptos" w:hAnsi="Aptos" w:cs="Times New Roman"/>
          <w:color w:val="000000" w:themeColor="text1"/>
          <w:lang w:val="lt-LT"/>
        </w:rPr>
      </w:pPr>
      <w:r w:rsidRPr="00975EF8">
        <w:rPr>
          <w:rFonts w:ascii="Aptos" w:hAnsi="Aptos" w:cs="Times New Roman"/>
          <w:color w:val="000000" w:themeColor="text1"/>
          <w:lang w:val="lt-LT"/>
        </w:rPr>
        <w:t>UAB „Bifinity“ suteikia galimybę atlikti fiat sandorius kriptovaliutų biržose Europos Ekonominėje Erdvėje (EEE). Įmonė vartotojams užtikrina saugų ir reikalavimus atitinkantį naudojimąsi fiat paslaugomis, tokiomis kaip sandoriai su kreditinėmis kortelėmis ar SEPA (Bendros mokėjimų eurais erdvės) pervedimai. „Bifinity“ atitikties priemonės yra sukurtos taip, kad atitiktų ES Penktąją kovos su pinigų plovimu direktyvą (AMLD5) ir visus galiojančius Lietuvos įstatymus bei reguliavimus.</w:t>
      </w:r>
    </w:p>
    <w:p w14:paraId="42E71217" w14:textId="77777777" w:rsidR="001A3854" w:rsidRDefault="001A3854" w:rsidP="001A3854">
      <w:pPr>
        <w:jc w:val="both"/>
      </w:pPr>
    </w:p>
    <w:p w14:paraId="1F2F5DFF" w14:textId="364EF8F9" w:rsidR="001A3854" w:rsidRDefault="001A3854" w:rsidP="001A3854">
      <w:pPr>
        <w:jc w:val="both"/>
      </w:pPr>
    </w:p>
    <w:sectPr w:rsidR="001A3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854"/>
    <w:rsid w:val="001A3854"/>
    <w:rsid w:val="0050201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13AF62CA"/>
  <w15:chartTrackingRefBased/>
  <w15:docId w15:val="{2CFE1E2F-8AE9-6340-97E5-5B840938C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38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38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38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38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8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8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8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8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8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8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38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38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38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8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8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8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8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854"/>
    <w:rPr>
      <w:rFonts w:eastAsiaTheme="majorEastAsia" w:cstheme="majorBidi"/>
      <w:color w:val="272727" w:themeColor="text1" w:themeTint="D8"/>
    </w:rPr>
  </w:style>
  <w:style w:type="paragraph" w:styleId="Title">
    <w:name w:val="Title"/>
    <w:basedOn w:val="Normal"/>
    <w:next w:val="Normal"/>
    <w:link w:val="TitleChar"/>
    <w:uiPriority w:val="10"/>
    <w:qFormat/>
    <w:rsid w:val="001A38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38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38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38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3854"/>
    <w:pPr>
      <w:spacing w:before="160"/>
      <w:jc w:val="center"/>
    </w:pPr>
    <w:rPr>
      <w:i/>
      <w:iCs/>
      <w:color w:val="404040" w:themeColor="text1" w:themeTint="BF"/>
    </w:rPr>
  </w:style>
  <w:style w:type="character" w:customStyle="1" w:styleId="QuoteChar">
    <w:name w:val="Quote Char"/>
    <w:basedOn w:val="DefaultParagraphFont"/>
    <w:link w:val="Quote"/>
    <w:uiPriority w:val="29"/>
    <w:rsid w:val="001A3854"/>
    <w:rPr>
      <w:i/>
      <w:iCs/>
      <w:color w:val="404040" w:themeColor="text1" w:themeTint="BF"/>
    </w:rPr>
  </w:style>
  <w:style w:type="paragraph" w:styleId="ListParagraph">
    <w:name w:val="List Paragraph"/>
    <w:basedOn w:val="Normal"/>
    <w:uiPriority w:val="34"/>
    <w:qFormat/>
    <w:rsid w:val="001A3854"/>
    <w:pPr>
      <w:ind w:left="720"/>
      <w:contextualSpacing/>
    </w:pPr>
  </w:style>
  <w:style w:type="character" w:styleId="IntenseEmphasis">
    <w:name w:val="Intense Emphasis"/>
    <w:basedOn w:val="DefaultParagraphFont"/>
    <w:uiPriority w:val="21"/>
    <w:qFormat/>
    <w:rsid w:val="001A3854"/>
    <w:rPr>
      <w:i/>
      <w:iCs/>
      <w:color w:val="0F4761" w:themeColor="accent1" w:themeShade="BF"/>
    </w:rPr>
  </w:style>
  <w:style w:type="paragraph" w:styleId="IntenseQuote">
    <w:name w:val="Intense Quote"/>
    <w:basedOn w:val="Normal"/>
    <w:next w:val="Normal"/>
    <w:link w:val="IntenseQuoteChar"/>
    <w:uiPriority w:val="30"/>
    <w:qFormat/>
    <w:rsid w:val="001A38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854"/>
    <w:rPr>
      <w:i/>
      <w:iCs/>
      <w:color w:val="0F4761" w:themeColor="accent1" w:themeShade="BF"/>
    </w:rPr>
  </w:style>
  <w:style w:type="character" w:styleId="IntenseReference">
    <w:name w:val="Intense Reference"/>
    <w:basedOn w:val="DefaultParagraphFont"/>
    <w:uiPriority w:val="32"/>
    <w:qFormat/>
    <w:rsid w:val="001A3854"/>
    <w:rPr>
      <w:b/>
      <w:bCs/>
      <w:smallCaps/>
      <w:color w:val="0F4761" w:themeColor="accent1" w:themeShade="BF"/>
      <w:spacing w:val="5"/>
    </w:rPr>
  </w:style>
  <w:style w:type="paragraph" w:styleId="NoSpacing">
    <w:name w:val="No Spacing"/>
    <w:uiPriority w:val="1"/>
    <w:qFormat/>
    <w:rsid w:val="001A38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404</Words>
  <Characters>2782</Characters>
  <Application>Microsoft Office Word</Application>
  <DocSecurity>0</DocSecurity>
  <Lines>40</Lines>
  <Paragraphs>13</Paragraphs>
  <ScaleCrop>false</ScaleCrop>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2025-02-06T14:36:00Z</dcterms:created>
  <dcterms:modified xsi:type="dcterms:W3CDTF">2025-02-06T14:46:00Z</dcterms:modified>
</cp:coreProperties>
</file>