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A3FB7" w14:textId="44510413" w:rsidR="00FD4363" w:rsidRDefault="00FD4363" w:rsidP="00795118">
      <w:pPr>
        <w:pStyle w:val="pagrindinistekstas"/>
        <w:ind w:left="5192" w:firstLine="1298"/>
        <w:jc w:val="right"/>
        <w:rPr>
          <w:i/>
          <w:iCs/>
          <w:lang w:val="lt-LT"/>
        </w:rPr>
      </w:pPr>
      <w:r w:rsidRPr="00FD4363">
        <w:rPr>
          <w:i/>
          <w:iCs/>
          <w:lang w:val="lt-LT"/>
        </w:rPr>
        <w:t>Pranešimas žiniasklaidai</w:t>
      </w:r>
      <w:r w:rsidRPr="00FD4363">
        <w:rPr>
          <w:i/>
          <w:iCs/>
          <w:lang w:val="lt-LT"/>
        </w:rPr>
        <w:br/>
      </w:r>
      <w:r w:rsidRPr="00FD4363">
        <w:rPr>
          <w:i/>
          <w:iCs/>
          <w:lang w:val="lt-LT"/>
        </w:rPr>
        <w:tab/>
        <w:t>2025</w:t>
      </w:r>
      <w:r>
        <w:rPr>
          <w:i/>
          <w:iCs/>
          <w:lang w:val="lt-LT"/>
        </w:rPr>
        <w:t xml:space="preserve"> m. vasario </w:t>
      </w:r>
      <w:r w:rsidR="00D45630">
        <w:rPr>
          <w:i/>
          <w:iCs/>
          <w:lang w:val="lt-LT"/>
        </w:rPr>
        <w:t>27</w:t>
      </w:r>
      <w:r>
        <w:rPr>
          <w:i/>
          <w:iCs/>
          <w:lang w:val="lt-LT"/>
        </w:rPr>
        <w:t xml:space="preserve"> d.</w:t>
      </w:r>
    </w:p>
    <w:p w14:paraId="75368E01" w14:textId="69E9DCE6" w:rsidR="00F57CEC" w:rsidRPr="003413CA" w:rsidRDefault="00F03D85" w:rsidP="003413CA">
      <w:pPr>
        <w:pStyle w:val="pagrindinistekstas"/>
        <w:jc w:val="left"/>
        <w:rPr>
          <w:b/>
          <w:bCs/>
          <w:caps/>
          <w:sz w:val="24"/>
          <w:szCs w:val="24"/>
        </w:rPr>
      </w:pPr>
      <w:r>
        <w:rPr>
          <w:b/>
          <w:bCs/>
          <w:caps/>
          <w:sz w:val="24"/>
          <w:szCs w:val="24"/>
        </w:rPr>
        <w:t xml:space="preserve">PADVIGUBĖJUS IŠLAIDOMS LOŠIMAMS IR LOTERIJOMS </w:t>
      </w:r>
      <w:r w:rsidR="00C001E3">
        <w:rPr>
          <w:b/>
          <w:bCs/>
          <w:caps/>
          <w:sz w:val="24"/>
          <w:szCs w:val="24"/>
        </w:rPr>
        <w:t>SEIMO VADOVAI RAGINAMI ATLIKTI TYRIMĄ DĖL RINKOS REGULIAVIMO</w:t>
      </w:r>
      <w:r w:rsidR="00B82111">
        <w:rPr>
          <w:b/>
          <w:bCs/>
          <w:caps/>
          <w:sz w:val="24"/>
          <w:szCs w:val="24"/>
        </w:rPr>
        <w:t xml:space="preserve"> </w:t>
      </w:r>
      <w:r w:rsidR="00A2516D">
        <w:rPr>
          <w:b/>
          <w:bCs/>
          <w:caps/>
          <w:sz w:val="24"/>
          <w:szCs w:val="24"/>
        </w:rPr>
        <w:t xml:space="preserve">IR PRIEŽIŪROS </w:t>
      </w:r>
      <w:r w:rsidR="00B82111">
        <w:rPr>
          <w:b/>
          <w:bCs/>
          <w:caps/>
          <w:sz w:val="24"/>
          <w:szCs w:val="24"/>
        </w:rPr>
        <w:t>KLAIDŲ</w:t>
      </w:r>
    </w:p>
    <w:p w14:paraId="48F2C3E9" w14:textId="25A5EC5F" w:rsidR="00F57CEC" w:rsidRPr="00B769DB" w:rsidRDefault="00E873B3">
      <w:pPr>
        <w:pStyle w:val="pagrindinistekstas"/>
        <w:rPr>
          <w:i/>
          <w:iCs/>
          <w:lang w:val="lt-LT"/>
        </w:rPr>
      </w:pPr>
      <w:r w:rsidRPr="00E873B3">
        <w:rPr>
          <w:i/>
          <w:iCs/>
          <w:lang w:val="lt-LT"/>
        </w:rPr>
        <w:t>Nacionalinė lošimų ir žaidimų verslo asociacija (NLŽVA) kreipėsi į Lietuvos Respublikos Seimo valdybą, ragindama atlikti parlamentinį tyrimą dėl 2020-2024 m</w:t>
      </w:r>
      <w:r>
        <w:rPr>
          <w:i/>
          <w:iCs/>
          <w:lang w:val="lt-LT"/>
        </w:rPr>
        <w:t>etais</w:t>
      </w:r>
      <w:r w:rsidRPr="00E873B3">
        <w:rPr>
          <w:i/>
          <w:iCs/>
          <w:lang w:val="lt-LT"/>
        </w:rPr>
        <w:t xml:space="preserve"> </w:t>
      </w:r>
      <w:r>
        <w:rPr>
          <w:i/>
          <w:iCs/>
          <w:lang w:val="lt-LT"/>
        </w:rPr>
        <w:t xml:space="preserve">Seime </w:t>
      </w:r>
      <w:r w:rsidRPr="00E873B3">
        <w:rPr>
          <w:i/>
          <w:iCs/>
          <w:lang w:val="lt-LT"/>
        </w:rPr>
        <w:t>priimtų įstatymų, kurie</w:t>
      </w:r>
      <w:r>
        <w:rPr>
          <w:i/>
          <w:iCs/>
          <w:lang w:val="lt-LT"/>
        </w:rPr>
        <w:t xml:space="preserve"> </w:t>
      </w:r>
      <w:r w:rsidRPr="00E873B3">
        <w:rPr>
          <w:i/>
          <w:iCs/>
          <w:lang w:val="lt-LT"/>
        </w:rPr>
        <w:t>padarė didelę žalą valstybei, vartotojams ir lošimo paslaugų rinkai</w:t>
      </w:r>
      <w:r w:rsidR="00B769DB" w:rsidRPr="00B769DB">
        <w:rPr>
          <w:i/>
          <w:iCs/>
          <w:lang w:val="lt-LT"/>
        </w:rPr>
        <w:t>.</w:t>
      </w:r>
    </w:p>
    <w:p w14:paraId="21A86381" w14:textId="1D8C7769" w:rsidR="00E873B3" w:rsidRDefault="00E873B3" w:rsidP="00E873B3">
      <w:pPr>
        <w:pStyle w:val="pagrindinistekstas"/>
        <w:rPr>
          <w:lang w:val="lt-LT"/>
        </w:rPr>
      </w:pPr>
      <w:r w:rsidRPr="00E873B3">
        <w:rPr>
          <w:lang w:val="lt-LT"/>
        </w:rPr>
        <w:t>Pasak NLŽVA prezidento Liutauro Ulevičiaus, konservatorių vadovaujama</w:t>
      </w:r>
      <w:r w:rsidR="00A55BC5">
        <w:rPr>
          <w:lang w:val="lt-LT"/>
        </w:rPr>
        <w:t>s Seimas ir</w:t>
      </w:r>
      <w:r w:rsidRPr="00E873B3">
        <w:rPr>
          <w:lang w:val="lt-LT"/>
        </w:rPr>
        <w:t xml:space="preserve"> Vyriausybė</w:t>
      </w:r>
      <w:r w:rsidR="00A55BC5">
        <w:rPr>
          <w:lang w:val="lt-LT"/>
        </w:rPr>
        <w:t xml:space="preserve">, kitos </w:t>
      </w:r>
      <w:r w:rsidRPr="00E873B3">
        <w:rPr>
          <w:lang w:val="lt-LT"/>
        </w:rPr>
        <w:t>atsakingos institucijos ignoravo teik</w:t>
      </w:r>
      <w:r w:rsidR="00A55BC5">
        <w:rPr>
          <w:lang w:val="lt-LT"/>
        </w:rPr>
        <w:t>iamus</w:t>
      </w:r>
      <w:r w:rsidRPr="00E873B3">
        <w:rPr>
          <w:lang w:val="lt-LT"/>
        </w:rPr>
        <w:t xml:space="preserve"> argumentus ir pri</w:t>
      </w:r>
      <w:r w:rsidR="00A55BC5">
        <w:rPr>
          <w:lang w:val="lt-LT"/>
        </w:rPr>
        <w:t>iminėjo</w:t>
      </w:r>
      <w:r w:rsidRPr="00E873B3">
        <w:rPr>
          <w:lang w:val="lt-LT"/>
        </w:rPr>
        <w:t xml:space="preserve"> sprendimus, kurie skatino </w:t>
      </w:r>
      <w:r w:rsidR="00A55BC5">
        <w:rPr>
          <w:lang w:val="lt-LT"/>
        </w:rPr>
        <w:t xml:space="preserve">didžiausios socialinės </w:t>
      </w:r>
      <w:r w:rsidRPr="00E873B3">
        <w:rPr>
          <w:lang w:val="lt-LT"/>
        </w:rPr>
        <w:t>rizik</w:t>
      </w:r>
      <w:r w:rsidR="00A55BC5">
        <w:rPr>
          <w:lang w:val="lt-LT"/>
        </w:rPr>
        <w:t>os</w:t>
      </w:r>
      <w:r w:rsidRPr="00E873B3">
        <w:rPr>
          <w:lang w:val="lt-LT"/>
        </w:rPr>
        <w:t xml:space="preserve"> lošimų dominavimą, tuo pačiu sugriaudami </w:t>
      </w:r>
      <w:r w:rsidR="00756072">
        <w:rPr>
          <w:lang w:val="lt-LT"/>
        </w:rPr>
        <w:t>nuo 2002 metų kurtą</w:t>
      </w:r>
      <w:r w:rsidRPr="00E873B3">
        <w:rPr>
          <w:lang w:val="lt-LT"/>
        </w:rPr>
        <w:t xml:space="preserve"> nuosaikių lošimo paslaugų rinką.</w:t>
      </w:r>
      <w:r w:rsidR="00A55BC5">
        <w:rPr>
          <w:lang w:val="lt-LT"/>
        </w:rPr>
        <w:t xml:space="preserve"> To pasekmė –</w:t>
      </w:r>
      <w:r w:rsidR="00964929">
        <w:rPr>
          <w:lang w:val="lt-LT"/>
        </w:rPr>
        <w:t xml:space="preserve"> Seimo kadencijos metu</w:t>
      </w:r>
      <w:r w:rsidR="00A55BC5">
        <w:rPr>
          <w:lang w:val="lt-LT"/>
        </w:rPr>
        <w:t xml:space="preserve"> daugiau nei dvigubai (nuo 150,4 iki 315,9 mln. eurų atitinkamai 2020 ir 2024 metais) išaugusios Lietuvos gyventojų išlaidos lošimo paslaugos (apima azartinius lošimus ir loterijas)</w:t>
      </w:r>
      <w:r w:rsidR="00964929">
        <w:rPr>
          <w:lang w:val="lt-LT"/>
        </w:rPr>
        <w:t xml:space="preserve">, </w:t>
      </w:r>
      <w:r w:rsidR="003D5DEB">
        <w:rPr>
          <w:lang w:val="lt-LT"/>
        </w:rPr>
        <w:t xml:space="preserve">beveik 4 kartus </w:t>
      </w:r>
      <w:r w:rsidR="006B1CD8">
        <w:rPr>
          <w:lang w:val="lt-LT"/>
        </w:rPr>
        <w:t>nuo 17,3 iki 66,5 tūkst.</w:t>
      </w:r>
      <w:r w:rsidR="00641811">
        <w:rPr>
          <w:lang w:val="lt-LT"/>
        </w:rPr>
        <w:t xml:space="preserve"> (atitinkamai 2020 ir 2024 metų pabaigoje)</w:t>
      </w:r>
      <w:r w:rsidR="00964929">
        <w:rPr>
          <w:lang w:val="lt-LT"/>
        </w:rPr>
        <w:t xml:space="preserve"> išaugęs prašymų neleisti lošti skaičius</w:t>
      </w:r>
      <w:r w:rsidR="00641811">
        <w:rPr>
          <w:lang w:val="lt-LT"/>
        </w:rPr>
        <w:t>.</w:t>
      </w:r>
    </w:p>
    <w:p w14:paraId="2B1419B8" w14:textId="49DF7874" w:rsidR="00313617" w:rsidRDefault="002D148C" w:rsidP="00722D11">
      <w:pPr>
        <w:pStyle w:val="pagrindinistekstas"/>
        <w:rPr>
          <w:lang w:val="lt-LT"/>
        </w:rPr>
      </w:pPr>
      <w:r>
        <w:rPr>
          <w:lang w:val="lt-LT"/>
        </w:rPr>
        <w:t>Asociacijos vertinimu, pagrindinė rinkos problema –</w:t>
      </w:r>
      <w:r w:rsidR="009C40C6">
        <w:rPr>
          <w:lang w:val="lt-LT"/>
        </w:rPr>
        <w:t xml:space="preserve"> </w:t>
      </w:r>
      <w:r>
        <w:rPr>
          <w:lang w:val="lt-LT"/>
        </w:rPr>
        <w:t>jos struktūros pokyčiai</w:t>
      </w:r>
      <w:r w:rsidR="009C40C6">
        <w:rPr>
          <w:lang w:val="lt-LT"/>
        </w:rPr>
        <w:t xml:space="preserve"> dėl netinkamų sprendimų</w:t>
      </w:r>
      <w:r>
        <w:rPr>
          <w:lang w:val="lt-LT"/>
        </w:rPr>
        <w:t xml:space="preserve">, kai </w:t>
      </w:r>
      <w:r w:rsidRPr="00E873B3">
        <w:rPr>
          <w:lang w:val="lt-LT"/>
        </w:rPr>
        <w:t>rink</w:t>
      </w:r>
      <w:r>
        <w:rPr>
          <w:lang w:val="lt-LT"/>
        </w:rPr>
        <w:t>a</w:t>
      </w:r>
      <w:r w:rsidRPr="00E873B3">
        <w:rPr>
          <w:lang w:val="lt-LT"/>
        </w:rPr>
        <w:t xml:space="preserve"> radikaliz</w:t>
      </w:r>
      <w:r>
        <w:rPr>
          <w:lang w:val="lt-LT"/>
        </w:rPr>
        <w:t>uota, nes v</w:t>
      </w:r>
      <w:r w:rsidRPr="00E873B3">
        <w:rPr>
          <w:lang w:val="lt-LT"/>
        </w:rPr>
        <w:t>alstyb</w:t>
      </w:r>
      <w:r>
        <w:rPr>
          <w:lang w:val="lt-LT"/>
        </w:rPr>
        <w:t>ės</w:t>
      </w:r>
      <w:r w:rsidRPr="00E873B3">
        <w:rPr>
          <w:lang w:val="lt-LT"/>
        </w:rPr>
        <w:t xml:space="preserve"> reguliavimo klaidos skatino didžiausios socialinės rizikos nuotolinius lošimus, kurie nuo 2020 iki 2024 m</w:t>
      </w:r>
      <w:r>
        <w:rPr>
          <w:lang w:val="lt-LT"/>
        </w:rPr>
        <w:t>etų</w:t>
      </w:r>
      <w:r w:rsidRPr="00E873B3">
        <w:rPr>
          <w:lang w:val="lt-LT"/>
        </w:rPr>
        <w:t xml:space="preserve"> paaugo net 141%, kai nuosaikūs lošimai buvo sistemingai ribojami.</w:t>
      </w:r>
      <w:r w:rsidR="00E95ADA">
        <w:rPr>
          <w:lang w:val="lt-LT"/>
        </w:rPr>
        <w:t xml:space="preserve"> Prie to reikšmingai prisidėjo klaidingas aiškinimas, neva visos lošimo paslaugos vienodos (tuo pagrindu suvienodinta mokestinė našta, ignoruoti socialinių rizikų skirtumai).</w:t>
      </w:r>
    </w:p>
    <w:p w14:paraId="5168607E" w14:textId="024D36A2" w:rsidR="00E873B3" w:rsidRDefault="008B0E8A" w:rsidP="00E95ADA">
      <w:pPr>
        <w:pStyle w:val="pagrindinistekstas"/>
        <w:rPr>
          <w:lang w:val="lt-LT"/>
        </w:rPr>
      </w:pPr>
      <w:r>
        <w:rPr>
          <w:lang w:val="lt-LT"/>
        </w:rPr>
        <w:t>I</w:t>
      </w:r>
      <w:r w:rsidR="00E95ADA">
        <w:rPr>
          <w:lang w:val="lt-LT"/>
        </w:rPr>
        <w:t xml:space="preserve">ki šiol aiškiai nesuformuluotos valstybės politikos problema – faktinis monopolis loterijų sektoriuje. </w:t>
      </w:r>
      <w:r w:rsidR="00E873B3" w:rsidRPr="00E873B3">
        <w:rPr>
          <w:lang w:val="lt-LT"/>
        </w:rPr>
        <w:t xml:space="preserve">Dvi </w:t>
      </w:r>
      <w:r w:rsidR="00E95ADA">
        <w:rPr>
          <w:lang w:val="lt-LT"/>
        </w:rPr>
        <w:t xml:space="preserve">susijusių </w:t>
      </w:r>
      <w:r w:rsidR="00E873B3" w:rsidRPr="00E873B3">
        <w:rPr>
          <w:lang w:val="lt-LT"/>
        </w:rPr>
        <w:t>privač</w:t>
      </w:r>
      <w:r w:rsidR="00E95ADA">
        <w:rPr>
          <w:lang w:val="lt-LT"/>
        </w:rPr>
        <w:t>ių</w:t>
      </w:r>
      <w:r w:rsidR="00E873B3" w:rsidRPr="00E873B3">
        <w:rPr>
          <w:lang w:val="lt-LT"/>
        </w:rPr>
        <w:t xml:space="preserve"> asmen</w:t>
      </w:r>
      <w:r w:rsidR="00E95ADA">
        <w:rPr>
          <w:lang w:val="lt-LT"/>
        </w:rPr>
        <w:t>ų</w:t>
      </w:r>
      <w:r w:rsidR="00E873B3" w:rsidRPr="00E873B3">
        <w:rPr>
          <w:lang w:val="lt-LT"/>
        </w:rPr>
        <w:t xml:space="preserve"> </w:t>
      </w:r>
      <w:r w:rsidR="00E95ADA">
        <w:rPr>
          <w:lang w:val="lt-LT"/>
        </w:rPr>
        <w:t xml:space="preserve">valdomos </w:t>
      </w:r>
      <w:r w:rsidR="00E873B3" w:rsidRPr="00E873B3">
        <w:rPr>
          <w:lang w:val="lt-LT"/>
        </w:rPr>
        <w:t>bendrovės dominuoja (</w:t>
      </w:r>
      <w:r w:rsidR="00E95ADA">
        <w:rPr>
          <w:lang w:val="lt-LT"/>
        </w:rPr>
        <w:t xml:space="preserve">gauna </w:t>
      </w:r>
      <w:r w:rsidR="00E873B3" w:rsidRPr="00E873B3">
        <w:rPr>
          <w:lang w:val="lt-LT"/>
        </w:rPr>
        <w:t xml:space="preserve">99,7% </w:t>
      </w:r>
      <w:r w:rsidR="00E95ADA">
        <w:rPr>
          <w:lang w:val="lt-LT"/>
        </w:rPr>
        <w:t>sektoriaus pajamų</w:t>
      </w:r>
      <w:r w:rsidR="00E873B3" w:rsidRPr="00E873B3">
        <w:rPr>
          <w:lang w:val="lt-LT"/>
        </w:rPr>
        <w:t xml:space="preserve">), </w:t>
      </w:r>
      <w:r w:rsidR="00E95ADA">
        <w:rPr>
          <w:lang w:val="lt-LT"/>
        </w:rPr>
        <w:t xml:space="preserve">tačiau </w:t>
      </w:r>
      <w:r w:rsidR="00E873B3" w:rsidRPr="00E873B3">
        <w:rPr>
          <w:lang w:val="lt-LT"/>
        </w:rPr>
        <w:t>valstyb</w:t>
      </w:r>
      <w:r w:rsidR="00E95ADA">
        <w:rPr>
          <w:lang w:val="lt-LT"/>
        </w:rPr>
        <w:t xml:space="preserve">ė ignoruoja jų kaupiamą </w:t>
      </w:r>
      <w:r w:rsidR="00E873B3" w:rsidRPr="00E873B3">
        <w:rPr>
          <w:lang w:val="lt-LT"/>
        </w:rPr>
        <w:t>viršpelnį</w:t>
      </w:r>
      <w:r w:rsidR="00895903">
        <w:rPr>
          <w:lang w:val="lt-LT"/>
        </w:rPr>
        <w:t xml:space="preserve">, nors daugelyje Europos valstybių loterijos yra </w:t>
      </w:r>
      <w:r w:rsidR="00A005A7">
        <w:rPr>
          <w:lang w:val="lt-LT"/>
        </w:rPr>
        <w:t xml:space="preserve">išskirtinai </w:t>
      </w:r>
      <w:r w:rsidR="00895903">
        <w:rPr>
          <w:lang w:val="lt-LT"/>
        </w:rPr>
        <w:t>valstybės valdoma</w:t>
      </w:r>
      <w:r w:rsidR="00A005A7">
        <w:rPr>
          <w:lang w:val="lt-LT"/>
        </w:rPr>
        <w:t>s</w:t>
      </w:r>
      <w:r w:rsidR="00895903">
        <w:rPr>
          <w:lang w:val="lt-LT"/>
        </w:rPr>
        <w:t xml:space="preserve"> </w:t>
      </w:r>
      <w:r w:rsidR="00A005A7">
        <w:rPr>
          <w:lang w:val="lt-LT"/>
        </w:rPr>
        <w:t>mechanizmas kaupti finansines lėšas visuomeninių veiklų finansavimui</w:t>
      </w:r>
      <w:r w:rsidR="00E873B3" w:rsidRPr="00E873B3">
        <w:rPr>
          <w:lang w:val="lt-LT"/>
        </w:rPr>
        <w:t>.</w:t>
      </w:r>
    </w:p>
    <w:p w14:paraId="6317CC7E" w14:textId="1BD7642F" w:rsidR="00913515" w:rsidRDefault="00913515" w:rsidP="00913515">
      <w:pPr>
        <w:pStyle w:val="pagrindinistekstas"/>
        <w:rPr>
          <w:lang w:val="lt-LT"/>
        </w:rPr>
      </w:pPr>
      <w:r>
        <w:rPr>
          <w:lang w:val="lt-LT"/>
        </w:rPr>
        <w:t xml:space="preserve">Todėl </w:t>
      </w:r>
      <w:r w:rsidRPr="00E873B3">
        <w:rPr>
          <w:lang w:val="lt-LT"/>
        </w:rPr>
        <w:t xml:space="preserve">NLŽVA ragina Seimo narius atkreipti dėmesį į </w:t>
      </w:r>
      <w:r>
        <w:rPr>
          <w:lang w:val="lt-LT"/>
        </w:rPr>
        <w:t xml:space="preserve">ankstesnės kadencijos metu </w:t>
      </w:r>
      <w:r w:rsidRPr="00E873B3">
        <w:rPr>
          <w:lang w:val="lt-LT"/>
        </w:rPr>
        <w:t>priimtų įstatymų neigiamas pasekmes ir imtis skubių veiksmų padėčiai stabilizuoti.</w:t>
      </w:r>
    </w:p>
    <w:p w14:paraId="48F53D07" w14:textId="76E0AE06" w:rsidR="00E873B3" w:rsidRPr="00E873B3" w:rsidRDefault="00DC7A0C" w:rsidP="00E873B3">
      <w:pPr>
        <w:pStyle w:val="pagrindinistekstas"/>
        <w:rPr>
          <w:lang w:val="lt-LT"/>
        </w:rPr>
      </w:pPr>
      <w:r>
        <w:rPr>
          <w:lang w:val="lt-LT"/>
        </w:rPr>
        <w:t xml:space="preserve">Pirma, asociacijos vertinimu, būtina imtis skubių priemonių gelbstint rinkos struktūrą ir užtikrinant nuosaikių lošimo paslaugų </w:t>
      </w:r>
      <w:r w:rsidR="008B0E8A">
        <w:rPr>
          <w:lang w:val="lt-LT"/>
        </w:rPr>
        <w:t xml:space="preserve">tvarią </w:t>
      </w:r>
      <w:r>
        <w:rPr>
          <w:lang w:val="lt-LT"/>
        </w:rPr>
        <w:t>pasiūlą</w:t>
      </w:r>
      <w:r w:rsidR="008B0E8A">
        <w:rPr>
          <w:lang w:val="lt-LT"/>
        </w:rPr>
        <w:t xml:space="preserve"> ne tik šiandien, bet ir ateityje</w:t>
      </w:r>
      <w:r>
        <w:rPr>
          <w:lang w:val="lt-LT"/>
        </w:rPr>
        <w:t>. Būtina s</w:t>
      </w:r>
      <w:r w:rsidR="00E873B3" w:rsidRPr="00E873B3">
        <w:rPr>
          <w:lang w:val="lt-LT"/>
        </w:rPr>
        <w:t xml:space="preserve">kubiai atšaukti perteklinius ribojimus </w:t>
      </w:r>
      <w:r>
        <w:rPr>
          <w:lang w:val="lt-LT"/>
        </w:rPr>
        <w:t>antžemin</w:t>
      </w:r>
      <w:r w:rsidR="008B0E8A">
        <w:rPr>
          <w:lang w:val="lt-LT"/>
        </w:rPr>
        <w:t>iam</w:t>
      </w:r>
      <w:r>
        <w:rPr>
          <w:lang w:val="lt-LT"/>
        </w:rPr>
        <w:t xml:space="preserve">s </w:t>
      </w:r>
      <w:r w:rsidR="00E873B3" w:rsidRPr="00E873B3">
        <w:rPr>
          <w:lang w:val="lt-LT"/>
        </w:rPr>
        <w:t>lažy</w:t>
      </w:r>
      <w:r>
        <w:rPr>
          <w:lang w:val="lt-LT"/>
        </w:rPr>
        <w:t>b</w:t>
      </w:r>
      <w:r w:rsidR="00E873B3" w:rsidRPr="00E873B3">
        <w:rPr>
          <w:lang w:val="lt-LT"/>
        </w:rPr>
        <w:t>ų</w:t>
      </w:r>
      <w:r>
        <w:rPr>
          <w:lang w:val="lt-LT"/>
        </w:rPr>
        <w:t xml:space="preserve"> ir totalizatoriaus punkt</w:t>
      </w:r>
      <w:r w:rsidR="008B0E8A">
        <w:rPr>
          <w:lang w:val="lt-LT"/>
        </w:rPr>
        <w:t>ams</w:t>
      </w:r>
      <w:r w:rsidR="00E873B3" w:rsidRPr="00E873B3">
        <w:rPr>
          <w:lang w:val="lt-LT"/>
        </w:rPr>
        <w:t>, bingo ir B kategorijos lošimo automatų salonams.</w:t>
      </w:r>
      <w:r w:rsidR="00437C96">
        <w:rPr>
          <w:lang w:val="lt-LT"/>
        </w:rPr>
        <w:t xml:space="preserve"> Ir priešingai, turi būti nustatyti (pavyzdžiui, naujausios praktikos Vokietijos pavyzdžiu) papildomi barjerai nuotolinių lošimų paslaugoms, dalį jų (pavyzdžiui, </w:t>
      </w:r>
      <w:r w:rsidR="008B0E8A">
        <w:rPr>
          <w:lang w:val="lt-LT"/>
        </w:rPr>
        <w:t xml:space="preserve">gyvus stalo lošimus) </w:t>
      </w:r>
      <w:r w:rsidR="00437C96">
        <w:rPr>
          <w:lang w:val="lt-LT"/>
        </w:rPr>
        <w:t>visiškai uždraudžiant</w:t>
      </w:r>
      <w:r w:rsidR="008B0E8A">
        <w:rPr>
          <w:lang w:val="lt-LT"/>
        </w:rPr>
        <w:t xml:space="preserve">, o kitoms (pavyzdžiui, A kategorijos lošimų automatams) nustatant </w:t>
      </w:r>
      <w:r w:rsidR="00437C96">
        <w:rPr>
          <w:lang w:val="lt-LT"/>
        </w:rPr>
        <w:t xml:space="preserve"> </w:t>
      </w:r>
      <w:r w:rsidR="008B0E8A">
        <w:rPr>
          <w:lang w:val="lt-LT"/>
        </w:rPr>
        <w:t>pagrindinius parametrus – didžiausio statymo dydį, trumpiausią vieno lošimo ciklo trukmę ir kitus. T</w:t>
      </w:r>
      <w:r w:rsidR="00437C96">
        <w:rPr>
          <w:lang w:val="lt-LT"/>
        </w:rPr>
        <w:t>aip mažinant socialinę riziką.</w:t>
      </w:r>
    </w:p>
    <w:p w14:paraId="25ECBFC7" w14:textId="1340DC47" w:rsidR="008B0E8A" w:rsidRDefault="008A48CE" w:rsidP="00E873B3">
      <w:pPr>
        <w:pStyle w:val="pagrindinistekstas"/>
        <w:rPr>
          <w:lang w:val="lt-LT"/>
        </w:rPr>
      </w:pPr>
      <w:r>
        <w:rPr>
          <w:lang w:val="lt-LT"/>
        </w:rPr>
        <w:t xml:space="preserve">Antra, </w:t>
      </w:r>
      <w:r w:rsidR="008B0E8A">
        <w:rPr>
          <w:lang w:val="lt-LT"/>
        </w:rPr>
        <w:t xml:space="preserve">dominuojančių rinkoje </w:t>
      </w:r>
      <w:r>
        <w:rPr>
          <w:lang w:val="lt-LT"/>
        </w:rPr>
        <w:t xml:space="preserve">nuotolinių lošimų ir loterijų </w:t>
      </w:r>
      <w:r w:rsidR="008B0E8A">
        <w:rPr>
          <w:lang w:val="lt-LT"/>
        </w:rPr>
        <w:t xml:space="preserve">organizatorių </w:t>
      </w:r>
      <w:r>
        <w:rPr>
          <w:lang w:val="lt-LT"/>
        </w:rPr>
        <w:t>uždirbamas viršpelnis tur</w:t>
      </w:r>
      <w:r w:rsidR="00DF7AB1">
        <w:rPr>
          <w:lang w:val="lt-LT"/>
        </w:rPr>
        <w:t>ėtų</w:t>
      </w:r>
      <w:r>
        <w:rPr>
          <w:lang w:val="lt-LT"/>
        </w:rPr>
        <w:t xml:space="preserve"> būti grąžinamas valstybei per </w:t>
      </w:r>
      <w:r w:rsidR="008B0E8A">
        <w:rPr>
          <w:lang w:val="lt-LT"/>
        </w:rPr>
        <w:t xml:space="preserve">nustatytą </w:t>
      </w:r>
      <w:r>
        <w:rPr>
          <w:lang w:val="lt-LT"/>
        </w:rPr>
        <w:t>progresinio lošimų ir loterijų mokesčio modelį.</w:t>
      </w:r>
    </w:p>
    <w:p w14:paraId="3E9BA07D" w14:textId="15E8F5CF" w:rsidR="008A48CE" w:rsidRDefault="00BC2907" w:rsidP="00E873B3">
      <w:pPr>
        <w:pStyle w:val="pagrindinistekstas"/>
        <w:rPr>
          <w:lang w:val="lt-LT"/>
        </w:rPr>
      </w:pPr>
      <w:r>
        <w:rPr>
          <w:lang w:val="lt-LT"/>
        </w:rPr>
        <w:t>Trečia, k</w:t>
      </w:r>
      <w:r w:rsidR="008A48CE">
        <w:rPr>
          <w:lang w:val="lt-LT"/>
        </w:rPr>
        <w:t>artu tur</w:t>
      </w:r>
      <w:r w:rsidR="00123083">
        <w:rPr>
          <w:lang w:val="lt-LT"/>
        </w:rPr>
        <w:t>ėtų</w:t>
      </w:r>
      <w:r w:rsidR="008A48CE">
        <w:rPr>
          <w:lang w:val="lt-LT"/>
        </w:rPr>
        <w:t xml:space="preserve"> būti imamasi priemonių atkuria</w:t>
      </w:r>
      <w:r w:rsidR="00097D49">
        <w:rPr>
          <w:lang w:val="lt-LT"/>
        </w:rPr>
        <w:t>nt</w:t>
      </w:r>
      <w:r w:rsidR="008A48CE">
        <w:rPr>
          <w:lang w:val="lt-LT"/>
        </w:rPr>
        <w:t xml:space="preserve"> Nacionalinės loterijos model</w:t>
      </w:r>
      <w:r w:rsidR="00097D49">
        <w:rPr>
          <w:lang w:val="lt-LT"/>
        </w:rPr>
        <w:t>į</w:t>
      </w:r>
      <w:r w:rsidR="008A48CE">
        <w:rPr>
          <w:lang w:val="lt-LT"/>
        </w:rPr>
        <w:t>, kurio kontrolę 100% vykdytų valstybė.</w:t>
      </w:r>
    </w:p>
    <w:p w14:paraId="534F24A5" w14:textId="119AA649" w:rsidR="00E873B3" w:rsidRPr="00E873B3" w:rsidRDefault="00BC2907" w:rsidP="00BC2907">
      <w:pPr>
        <w:pStyle w:val="pagrindinistekstas"/>
        <w:rPr>
          <w:lang w:val="lt-LT"/>
        </w:rPr>
      </w:pPr>
      <w:r>
        <w:rPr>
          <w:lang w:val="lt-LT"/>
        </w:rPr>
        <w:t xml:space="preserve">Ketvirta, dėl padarytų rinkos priežiūros klaidų turėtų būti reorganizuojama Lošimų priežiūros tarnyba ir grįžtama prie pasaulyje </w:t>
      </w:r>
      <w:r w:rsidR="00097D49">
        <w:rPr>
          <w:lang w:val="lt-LT"/>
        </w:rPr>
        <w:t xml:space="preserve">pažangiausio ir </w:t>
      </w:r>
      <w:r>
        <w:rPr>
          <w:lang w:val="lt-LT"/>
        </w:rPr>
        <w:t>pasiteisinusio nepriklausomos priežiūros institucijos model</w:t>
      </w:r>
      <w:r w:rsidR="00097D49">
        <w:rPr>
          <w:lang w:val="lt-LT"/>
        </w:rPr>
        <w:t>io</w:t>
      </w:r>
      <w:r>
        <w:rPr>
          <w:lang w:val="lt-LT"/>
        </w:rPr>
        <w:t>, kokį 2001-2011 metais turėjo ir Lietuva, kai veikė Valstybinė lošimų priežiūros komisija</w:t>
      </w:r>
      <w:r w:rsidR="00097D49">
        <w:rPr>
          <w:lang w:val="lt-LT"/>
        </w:rPr>
        <w:t>, kol savo sprendimais jos nesunaikino TS-LKD</w:t>
      </w:r>
      <w:r>
        <w:rPr>
          <w:lang w:val="lt-LT"/>
        </w:rPr>
        <w:t>.</w:t>
      </w:r>
    </w:p>
    <w:p w14:paraId="463417CD" w14:textId="77777777" w:rsidR="00A24B3E" w:rsidRDefault="00A24B3E" w:rsidP="00722D11">
      <w:pPr>
        <w:pStyle w:val="pagrindinistekstas"/>
        <w:rPr>
          <w:lang w:val="lt-LT"/>
        </w:rPr>
      </w:pPr>
    </w:p>
    <w:p w14:paraId="144339E1" w14:textId="139C69E6" w:rsidR="008E2819" w:rsidRPr="003413CA" w:rsidRDefault="008E2819" w:rsidP="008E2819">
      <w:pPr>
        <w:pStyle w:val="pagrindinistekstas"/>
        <w:jc w:val="center"/>
        <w:rPr>
          <w:lang w:val="lt-LT"/>
        </w:rPr>
      </w:pPr>
      <w:r>
        <w:rPr>
          <w:lang w:val="lt-LT"/>
        </w:rPr>
        <w:t>***</w:t>
      </w:r>
    </w:p>
    <w:p w14:paraId="203789AC" w14:textId="506B3F04" w:rsidR="003413CA" w:rsidRPr="008E2819" w:rsidRDefault="003413CA" w:rsidP="003413CA">
      <w:pPr>
        <w:pStyle w:val="pagrindinistekstas"/>
        <w:rPr>
          <w:b/>
          <w:bCs/>
          <w:lang w:val="lt-LT"/>
        </w:rPr>
      </w:pPr>
      <w:r w:rsidRPr="008E2819">
        <w:rPr>
          <w:b/>
          <w:bCs/>
          <w:lang w:val="lt-LT"/>
        </w:rPr>
        <w:t xml:space="preserve">Apie </w:t>
      </w:r>
      <w:r w:rsidR="00EB302C">
        <w:rPr>
          <w:b/>
          <w:bCs/>
          <w:lang w:val="lt-LT"/>
        </w:rPr>
        <w:t>asociaciją</w:t>
      </w:r>
      <w:r w:rsidRPr="008E2819">
        <w:rPr>
          <w:b/>
          <w:bCs/>
          <w:lang w:val="lt-LT"/>
        </w:rPr>
        <w:t>:</w:t>
      </w:r>
    </w:p>
    <w:p w14:paraId="0DA94422" w14:textId="57C87E92" w:rsidR="003413CA" w:rsidRPr="0021484C" w:rsidRDefault="001D3033" w:rsidP="003413CA">
      <w:pPr>
        <w:pStyle w:val="pagrindinistekstas"/>
        <w:rPr>
          <w:i/>
          <w:iCs/>
          <w:lang w:val="lt-LT"/>
        </w:rPr>
      </w:pPr>
      <w:r w:rsidRPr="0021484C">
        <w:rPr>
          <w:i/>
          <w:iCs/>
          <w:lang w:val="lt-LT"/>
        </w:rPr>
        <w:t>Nacionalinė lošimų ir žaidimų verslo asociacija (</w:t>
      </w:r>
      <w:r w:rsidR="00724E7E" w:rsidRPr="0021484C">
        <w:rPr>
          <w:i/>
          <w:iCs/>
          <w:lang w:val="lt-LT"/>
        </w:rPr>
        <w:t>NLŽVA</w:t>
      </w:r>
      <w:r w:rsidRPr="0021484C">
        <w:rPr>
          <w:i/>
          <w:iCs/>
          <w:lang w:val="lt-LT"/>
        </w:rPr>
        <w:t>)</w:t>
      </w:r>
      <w:r w:rsidR="00724E7E" w:rsidRPr="0021484C">
        <w:rPr>
          <w:i/>
          <w:iCs/>
          <w:lang w:val="lt-LT"/>
        </w:rPr>
        <w:t xml:space="preserve"> veikia nuo 1994 metų, aktyviai dalyva</w:t>
      </w:r>
      <w:r w:rsidRPr="0021484C">
        <w:rPr>
          <w:i/>
          <w:iCs/>
          <w:lang w:val="lt-LT"/>
        </w:rPr>
        <w:t>vo</w:t>
      </w:r>
      <w:r w:rsidR="00724E7E" w:rsidRPr="0021484C">
        <w:rPr>
          <w:i/>
          <w:iCs/>
          <w:lang w:val="lt-LT"/>
        </w:rPr>
        <w:t xml:space="preserve"> legalizuojant azartinius lošimus Lietuvoje, koncentruojasi išimtinai į klausimus susijusius su lošimo paslaugų (lošimų ir loterijų) teisiniu reguliavimu, atlieka teisės aktų analizę ir vertinimą, teikia siūlymus </w:t>
      </w:r>
      <w:r w:rsidR="00724E7E" w:rsidRPr="0021484C">
        <w:rPr>
          <w:i/>
          <w:iCs/>
          <w:lang w:val="lt-LT"/>
        </w:rPr>
        <w:lastRenderedPageBreak/>
        <w:t>valstybės institucijoms. Ilgametė asociacijos ekspertinė patirtis, įžvalgos ir analizė turėtų padėti valstybei ištaisyti padarytas teisinio reguliavimo klaidas, užtikrinti efektyvesnį valstybės reguliavimą, didinti biudžeto pajamas ir neutralizuoti neigiamas socialines pasekmes visuomenei, tuo pat metu užtikrinti tvarų lošimo paslaugų rinkos funkcionavimą.</w:t>
      </w:r>
    </w:p>
    <w:p w14:paraId="2D06B3B4" w14:textId="77777777" w:rsidR="002A5995" w:rsidRDefault="003413CA" w:rsidP="001D3033">
      <w:pPr>
        <w:pStyle w:val="pagrindinistekstas"/>
        <w:rPr>
          <w:b/>
          <w:bCs/>
          <w:lang w:val="lt-LT"/>
        </w:rPr>
      </w:pPr>
      <w:r w:rsidRPr="001D3033">
        <w:rPr>
          <w:b/>
          <w:bCs/>
          <w:lang w:val="lt-LT"/>
        </w:rPr>
        <w:t>Kontaktai:</w:t>
      </w:r>
    </w:p>
    <w:p w14:paraId="25F34F63" w14:textId="562FDCC5" w:rsidR="001D3033" w:rsidRDefault="003413CA" w:rsidP="001D3033">
      <w:pPr>
        <w:pStyle w:val="pagrindinistekstas"/>
        <w:rPr>
          <w:rStyle w:val="a0"/>
          <w:lang w:val="lt-LT"/>
        </w:rPr>
      </w:pPr>
      <w:r w:rsidRPr="002A5995">
        <w:rPr>
          <w:i/>
          <w:iCs/>
          <w:lang w:val="lt-LT"/>
        </w:rPr>
        <w:t>Liutauras Ulevičiu</w:t>
      </w:r>
      <w:r w:rsidR="001D3033" w:rsidRPr="002A5995">
        <w:rPr>
          <w:i/>
          <w:iCs/>
          <w:lang w:val="lt-LT"/>
        </w:rPr>
        <w:t>s,</w:t>
      </w:r>
      <w:r w:rsidR="00A866ED">
        <w:rPr>
          <w:i/>
          <w:iCs/>
          <w:lang w:val="lt-LT"/>
        </w:rPr>
        <w:tab/>
      </w:r>
      <w:r w:rsidR="00A866ED">
        <w:rPr>
          <w:i/>
          <w:iCs/>
          <w:lang w:val="lt-LT"/>
        </w:rPr>
        <w:br/>
      </w:r>
      <w:r w:rsidRPr="002A5995">
        <w:rPr>
          <w:rStyle w:val="a0"/>
          <w:i/>
          <w:iCs/>
          <w:lang w:val="lt-LT"/>
        </w:rPr>
        <w:t>Nacionalinės lošimų ir žaidimų verslo asociacijos prezidentas</w:t>
      </w:r>
      <w:r w:rsidR="001D3033" w:rsidRPr="002A5995">
        <w:rPr>
          <w:rStyle w:val="a0"/>
          <w:i/>
          <w:iCs/>
          <w:lang w:val="lt-LT"/>
        </w:rPr>
        <w:tab/>
      </w:r>
      <w:r w:rsidR="001D3033" w:rsidRPr="002A5995">
        <w:rPr>
          <w:rStyle w:val="a0"/>
          <w:i/>
          <w:iCs/>
          <w:lang w:val="lt-LT"/>
        </w:rPr>
        <w:br/>
        <w:t>Tel. +370 686 08820</w:t>
      </w:r>
      <w:r w:rsidR="001D3033" w:rsidRPr="002A5995">
        <w:rPr>
          <w:rStyle w:val="a0"/>
          <w:i/>
          <w:iCs/>
          <w:lang w:val="lt-LT"/>
        </w:rPr>
        <w:tab/>
      </w:r>
      <w:r w:rsidR="001D3033" w:rsidRPr="002A5995">
        <w:rPr>
          <w:rStyle w:val="a0"/>
          <w:i/>
          <w:iCs/>
          <w:lang w:val="lt-LT"/>
        </w:rPr>
        <w:br/>
        <w:t>El. paštas info@nlzva.lt</w:t>
      </w:r>
    </w:p>
    <w:p w14:paraId="5ACDA03D" w14:textId="39D2862C" w:rsidR="00BD79E7" w:rsidRPr="00BD79E7" w:rsidRDefault="00BD79E7" w:rsidP="001D3033">
      <w:pPr>
        <w:pStyle w:val="pagrindinistekstas"/>
        <w:rPr>
          <w:rStyle w:val="a0"/>
          <w:b/>
          <w:bCs/>
          <w:lang w:val="lt-LT"/>
        </w:rPr>
      </w:pPr>
      <w:r w:rsidRPr="00BD79E7">
        <w:rPr>
          <w:rStyle w:val="a0"/>
          <w:b/>
          <w:bCs/>
          <w:lang w:val="lt-LT"/>
        </w:rPr>
        <w:t>Priedai:</w:t>
      </w:r>
    </w:p>
    <w:p w14:paraId="1DE8D99B" w14:textId="1DE0E650" w:rsidR="00BD79E7" w:rsidRPr="00BD79E7" w:rsidRDefault="00AE3725" w:rsidP="001D3033">
      <w:pPr>
        <w:pStyle w:val="pagrindinistekstas"/>
        <w:rPr>
          <w:rStyle w:val="a0"/>
          <w:lang w:val="lt-LT"/>
        </w:rPr>
      </w:pPr>
      <w:r>
        <w:rPr>
          <w:rStyle w:val="a0"/>
          <w:lang w:val="lt-LT"/>
        </w:rPr>
        <w:t>Asociacijos raštas Seimo valdybai (2025-02-19)</w:t>
      </w:r>
    </w:p>
    <w:sectPr w:rsidR="00BD79E7" w:rsidRPr="00BD79E7">
      <w:headerReference w:type="first" r:id="rId7"/>
      <w:pgSz w:w="11900" w:h="16840"/>
      <w:pgMar w:top="1701" w:right="1134" w:bottom="1134" w:left="1134"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92391" w14:textId="77777777" w:rsidR="00671ACA" w:rsidRDefault="00671ACA">
      <w:r>
        <w:separator/>
      </w:r>
    </w:p>
  </w:endnote>
  <w:endnote w:type="continuationSeparator" w:id="0">
    <w:p w14:paraId="379214BF" w14:textId="77777777" w:rsidR="00671ACA" w:rsidRDefault="00671ACA">
      <w:r>
        <w:continuationSeparator/>
      </w:r>
    </w:p>
  </w:endnote>
  <w:endnote w:type="continuationNotice" w:id="1">
    <w:p w14:paraId="06393B44" w14:textId="77777777" w:rsidR="00671ACA" w:rsidRDefault="00671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ambria">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671C1" w14:textId="77777777" w:rsidR="00671ACA" w:rsidRDefault="00671ACA">
      <w:r>
        <w:separator/>
      </w:r>
    </w:p>
  </w:footnote>
  <w:footnote w:type="continuationSeparator" w:id="0">
    <w:p w14:paraId="6941A01A" w14:textId="77777777" w:rsidR="00671ACA" w:rsidRDefault="00671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DCE15" w14:textId="77777777" w:rsidR="00F57CEC" w:rsidRDefault="00000000">
    <w:pPr>
      <w:pStyle w:val="Antrats"/>
      <w:tabs>
        <w:tab w:val="clear" w:pos="9638"/>
        <w:tab w:val="right" w:pos="9612"/>
      </w:tabs>
      <w:jc w:val="center"/>
    </w:pPr>
    <w:r>
      <w:rPr>
        <w:noProof/>
      </w:rPr>
      <mc:AlternateContent>
        <mc:Choice Requires="wpg">
          <w:drawing>
            <wp:inline distT="0" distB="0" distL="0" distR="0" wp14:anchorId="7C071713" wp14:editId="370D3BF9">
              <wp:extent cx="4526282" cy="640083"/>
              <wp:effectExtent l="0" t="0" r="0" b="0"/>
              <wp:docPr id="1073741827" name="officeArt object" descr="officeArt object"/>
              <wp:cNvGraphicFramePr/>
              <a:graphic xmlns:a="http://schemas.openxmlformats.org/drawingml/2006/main">
                <a:graphicData uri="http://schemas.microsoft.com/office/word/2010/wordprocessingGroup">
                  <wpg:wgp>
                    <wpg:cNvGrpSpPr/>
                    <wpg:grpSpPr>
                      <a:xfrm>
                        <a:off x="0" y="0"/>
                        <a:ext cx="4526282" cy="640083"/>
                        <a:chOff x="0" y="0"/>
                        <a:chExt cx="4526281" cy="640082"/>
                      </a:xfrm>
                    </wpg:grpSpPr>
                    <wps:wsp>
                      <wps:cNvPr id="1073741825" name="Shape 1073741825"/>
                      <wps:cNvSpPr/>
                      <wps:spPr>
                        <a:xfrm>
                          <a:off x="-1" y="-1"/>
                          <a:ext cx="4526282" cy="640083"/>
                        </a:xfrm>
                        <a:prstGeom prst="rect">
                          <a:avLst/>
                        </a:prstGeom>
                        <a:solidFill>
                          <a:srgbClr val="FFFFFF"/>
                        </a:solidFill>
                        <a:ln w="12700" cap="flat">
                          <a:noFill/>
                          <a:miter lim="400000"/>
                        </a:ln>
                        <a:effectLst/>
                      </wps:spPr>
                      <wps:bodyPr/>
                    </wps:wsp>
                    <pic:pic xmlns:pic="http://schemas.openxmlformats.org/drawingml/2006/picture">
                      <pic:nvPicPr>
                        <pic:cNvPr id="1073741826" name="image.jpeg" descr="image.jpeg"/>
                        <pic:cNvPicPr>
                          <a:picLocks noChangeAspect="1"/>
                        </pic:cNvPicPr>
                      </pic:nvPicPr>
                      <pic:blipFill>
                        <a:blip r:embed="rId1"/>
                        <a:stretch>
                          <a:fillRect/>
                        </a:stretch>
                      </pic:blipFill>
                      <pic:spPr>
                        <a:xfrm>
                          <a:off x="-1" y="-1"/>
                          <a:ext cx="4526283" cy="640083"/>
                        </a:xfrm>
                        <a:prstGeom prst="rect">
                          <a:avLst/>
                        </a:prstGeom>
                        <a:ln w="12700" cap="flat">
                          <a:noFill/>
                          <a:miter lim="400000"/>
                        </a:ln>
                        <a:effectLst/>
                      </pic:spPr>
                    </pic:pic>
                  </wpg:wgp>
                </a:graphicData>
              </a:graphic>
            </wp:inline>
          </w:drawing>
        </mc:Choice>
        <mc:Fallback>
          <w:pict>
            <v:group id="_x0000_s1026" style="visibility:visible;width:356.4pt;height:50.4pt;" coordorigin="0,0" coordsize="4526281,640082">
              <v:rect id="_x0000_s1027" style="position:absolute;left:0;top:0;width:4526281;height:640082;">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4526281;height:640082;">
                <v:imagedata r:id="rId2" o:title="image6.jpe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53FA"/>
    <w:multiLevelType w:val="hybridMultilevel"/>
    <w:tmpl w:val="E6A27150"/>
    <w:styleLink w:val="7"/>
    <w:lvl w:ilvl="0" w:tplc="7E2858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0C8A2E4">
      <w:start w:val="1"/>
      <w:numFmt w:val="bullet"/>
      <w:lvlText w:val="o"/>
      <w:lvlJc w:val="left"/>
      <w:pPr>
        <w:ind w:left="1298"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FA4B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000D5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A5659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8EA7F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9A6C3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BC13E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0487D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6B4D84"/>
    <w:multiLevelType w:val="hybridMultilevel"/>
    <w:tmpl w:val="0C1A88DE"/>
    <w:styleLink w:val="3"/>
    <w:lvl w:ilvl="0" w:tplc="1B1A3C2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ADE5B7A">
      <w:start w:val="1"/>
      <w:numFmt w:val="bullet"/>
      <w:lvlText w:val="o"/>
      <w:lvlJc w:val="left"/>
      <w:pPr>
        <w:ind w:left="1298"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F442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EF038C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D251E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EE9EB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1E7F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2E27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C003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05B20B1"/>
    <w:multiLevelType w:val="hybridMultilevel"/>
    <w:tmpl w:val="2EAE56DC"/>
    <w:numStyleLink w:val="5"/>
  </w:abstractNum>
  <w:abstractNum w:abstractNumId="3" w15:restartNumberingAfterBreak="0">
    <w:nsid w:val="17A962B7"/>
    <w:multiLevelType w:val="hybridMultilevel"/>
    <w:tmpl w:val="81307AD0"/>
    <w:numStyleLink w:val="10"/>
  </w:abstractNum>
  <w:abstractNum w:abstractNumId="4" w15:restartNumberingAfterBreak="0">
    <w:nsid w:val="1F62298A"/>
    <w:multiLevelType w:val="hybridMultilevel"/>
    <w:tmpl w:val="86F4D67E"/>
    <w:styleLink w:val="4"/>
    <w:lvl w:ilvl="0" w:tplc="2D36B97E">
      <w:start w:val="1"/>
      <w:numFmt w:val="bullet"/>
      <w:lvlText w:val="•"/>
      <w:lvlJc w:val="left"/>
      <w:pPr>
        <w:ind w:left="720"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A628D23A">
      <w:start w:val="1"/>
      <w:numFmt w:val="bullet"/>
      <w:lvlText w:val="o"/>
      <w:lvlJc w:val="left"/>
      <w:pPr>
        <w:ind w:left="1298" w:hanging="21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B92C45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3F4F578">
      <w:start w:val="1"/>
      <w:numFmt w:val="bullet"/>
      <w:lvlText w:val="•"/>
      <w:lvlJc w:val="left"/>
      <w:pPr>
        <w:ind w:left="2880"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91ECA8FC">
      <w:start w:val="1"/>
      <w:numFmt w:val="bullet"/>
      <w:lvlText w:val="o"/>
      <w:lvlJc w:val="left"/>
      <w:pPr>
        <w:ind w:left="3600"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4D7277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E8D434">
      <w:start w:val="1"/>
      <w:numFmt w:val="bullet"/>
      <w:lvlText w:val="•"/>
      <w:lvlJc w:val="left"/>
      <w:pPr>
        <w:ind w:left="5040"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569AE74E">
      <w:start w:val="1"/>
      <w:numFmt w:val="bullet"/>
      <w:lvlText w:val="o"/>
      <w:lvlJc w:val="left"/>
      <w:pPr>
        <w:ind w:left="5760"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5F3266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8A20ED6"/>
    <w:multiLevelType w:val="hybridMultilevel"/>
    <w:tmpl w:val="91F4E61C"/>
    <w:numStyleLink w:val="1"/>
  </w:abstractNum>
  <w:abstractNum w:abstractNumId="6" w15:restartNumberingAfterBreak="0">
    <w:nsid w:val="3881716A"/>
    <w:multiLevelType w:val="hybridMultilevel"/>
    <w:tmpl w:val="81307AD0"/>
    <w:styleLink w:val="10"/>
    <w:lvl w:ilvl="0" w:tplc="F2E4CD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6AD3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6863F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A604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052E2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6C556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5126E1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305ED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0A69B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C472EE9"/>
    <w:multiLevelType w:val="hybridMultilevel"/>
    <w:tmpl w:val="E6A27150"/>
    <w:numStyleLink w:val="7"/>
  </w:abstractNum>
  <w:abstractNum w:abstractNumId="8" w15:restartNumberingAfterBreak="0">
    <w:nsid w:val="51894E43"/>
    <w:multiLevelType w:val="hybridMultilevel"/>
    <w:tmpl w:val="0C1A88DE"/>
    <w:numStyleLink w:val="3"/>
  </w:abstractNum>
  <w:abstractNum w:abstractNumId="9" w15:restartNumberingAfterBreak="0">
    <w:nsid w:val="51F61869"/>
    <w:multiLevelType w:val="hybridMultilevel"/>
    <w:tmpl w:val="86F4D67E"/>
    <w:numStyleLink w:val="4"/>
  </w:abstractNum>
  <w:abstractNum w:abstractNumId="10" w15:restartNumberingAfterBreak="0">
    <w:nsid w:val="55B43429"/>
    <w:multiLevelType w:val="hybridMultilevel"/>
    <w:tmpl w:val="91F4E61C"/>
    <w:styleLink w:val="1"/>
    <w:lvl w:ilvl="0" w:tplc="8488FA2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E60C4FA">
      <w:start w:val="1"/>
      <w:numFmt w:val="bullet"/>
      <w:lvlText w:val="o"/>
      <w:lvlJc w:val="left"/>
      <w:pPr>
        <w:ind w:left="1298"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9875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5240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8DEE9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624BEE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8E1BB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B25EE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9656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F563078"/>
    <w:multiLevelType w:val="hybridMultilevel"/>
    <w:tmpl w:val="2EAE56DC"/>
    <w:styleLink w:val="5"/>
    <w:lvl w:ilvl="0" w:tplc="B7EC70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42E46A2">
      <w:start w:val="1"/>
      <w:numFmt w:val="bullet"/>
      <w:lvlText w:val="o"/>
      <w:lvlJc w:val="left"/>
      <w:pPr>
        <w:ind w:left="1298" w:hanging="21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EA57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545DE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5E16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58944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064EF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8022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2E851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62A163F"/>
    <w:multiLevelType w:val="hybridMultilevel"/>
    <w:tmpl w:val="52863206"/>
    <w:styleLink w:val="2"/>
    <w:lvl w:ilvl="0" w:tplc="8F0C3E60">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4956F078">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E1B681BC">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3" w:tplc="7E8077B4">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B84AA2CA">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A7AC15C8">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6" w:tplc="DC4602AC">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E3B2D3EE">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D1CC1320">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35D0C1E"/>
    <w:multiLevelType w:val="hybridMultilevel"/>
    <w:tmpl w:val="52863206"/>
    <w:numStyleLink w:val="2"/>
  </w:abstractNum>
  <w:num w:numId="1" w16cid:durableId="1698578628">
    <w:abstractNumId w:val="10"/>
  </w:num>
  <w:num w:numId="2" w16cid:durableId="1086340295">
    <w:abstractNumId w:val="5"/>
  </w:num>
  <w:num w:numId="3" w16cid:durableId="770007012">
    <w:abstractNumId w:val="12"/>
  </w:num>
  <w:num w:numId="4" w16cid:durableId="1331522874">
    <w:abstractNumId w:val="13"/>
  </w:num>
  <w:num w:numId="5" w16cid:durableId="1311055196">
    <w:abstractNumId w:val="6"/>
  </w:num>
  <w:num w:numId="6" w16cid:durableId="861672151">
    <w:abstractNumId w:val="3"/>
  </w:num>
  <w:num w:numId="7" w16cid:durableId="2143960365">
    <w:abstractNumId w:val="1"/>
  </w:num>
  <w:num w:numId="8" w16cid:durableId="1554081342">
    <w:abstractNumId w:val="8"/>
  </w:num>
  <w:num w:numId="9" w16cid:durableId="1696273611">
    <w:abstractNumId w:val="4"/>
  </w:num>
  <w:num w:numId="10" w16cid:durableId="1632006985">
    <w:abstractNumId w:val="9"/>
  </w:num>
  <w:num w:numId="11" w16cid:durableId="247934033">
    <w:abstractNumId w:val="11"/>
  </w:num>
  <w:num w:numId="12" w16cid:durableId="843009873">
    <w:abstractNumId w:val="2"/>
  </w:num>
  <w:num w:numId="13" w16cid:durableId="1406761492">
    <w:abstractNumId w:val="0"/>
  </w:num>
  <w:num w:numId="14" w16cid:durableId="8027741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1298"/>
  <w:hyphenationZone w:val="396"/>
  <w:characterSpacingControl w:val="doNotCompres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CEC"/>
    <w:rsid w:val="000262B4"/>
    <w:rsid w:val="000277D6"/>
    <w:rsid w:val="0003420E"/>
    <w:rsid w:val="00073E66"/>
    <w:rsid w:val="00097D49"/>
    <w:rsid w:val="000C0285"/>
    <w:rsid w:val="000C1D03"/>
    <w:rsid w:val="000D214C"/>
    <w:rsid w:val="000F7BC9"/>
    <w:rsid w:val="00123083"/>
    <w:rsid w:val="00130C75"/>
    <w:rsid w:val="00194861"/>
    <w:rsid w:val="001B4EDB"/>
    <w:rsid w:val="001C034C"/>
    <w:rsid w:val="001D3033"/>
    <w:rsid w:val="001E551C"/>
    <w:rsid w:val="001F74B3"/>
    <w:rsid w:val="0021484C"/>
    <w:rsid w:val="0026326E"/>
    <w:rsid w:val="002A5995"/>
    <w:rsid w:val="002B1B67"/>
    <w:rsid w:val="002D148C"/>
    <w:rsid w:val="002E7B8E"/>
    <w:rsid w:val="002F7BE5"/>
    <w:rsid w:val="00313617"/>
    <w:rsid w:val="00313EBB"/>
    <w:rsid w:val="00334871"/>
    <w:rsid w:val="003413CA"/>
    <w:rsid w:val="003515A4"/>
    <w:rsid w:val="003540AF"/>
    <w:rsid w:val="003A01DC"/>
    <w:rsid w:val="003A4BF5"/>
    <w:rsid w:val="003A619A"/>
    <w:rsid w:val="003C2694"/>
    <w:rsid w:val="003D5DEB"/>
    <w:rsid w:val="003D69A2"/>
    <w:rsid w:val="00437C96"/>
    <w:rsid w:val="00467703"/>
    <w:rsid w:val="004B238D"/>
    <w:rsid w:val="004E47D9"/>
    <w:rsid w:val="004F0A12"/>
    <w:rsid w:val="004F5B68"/>
    <w:rsid w:val="00524BCF"/>
    <w:rsid w:val="0052712D"/>
    <w:rsid w:val="005323E3"/>
    <w:rsid w:val="00567621"/>
    <w:rsid w:val="005B2184"/>
    <w:rsid w:val="005D0E28"/>
    <w:rsid w:val="005F6E76"/>
    <w:rsid w:val="00641811"/>
    <w:rsid w:val="006440B1"/>
    <w:rsid w:val="006515A5"/>
    <w:rsid w:val="00656AF1"/>
    <w:rsid w:val="00665DE2"/>
    <w:rsid w:val="00671ACA"/>
    <w:rsid w:val="006966BF"/>
    <w:rsid w:val="006B1CD8"/>
    <w:rsid w:val="006C115C"/>
    <w:rsid w:val="006C2C0D"/>
    <w:rsid w:val="00722D11"/>
    <w:rsid w:val="00724297"/>
    <w:rsid w:val="00724E7E"/>
    <w:rsid w:val="00756072"/>
    <w:rsid w:val="00773AA6"/>
    <w:rsid w:val="00781D3C"/>
    <w:rsid w:val="00791D33"/>
    <w:rsid w:val="00795118"/>
    <w:rsid w:val="00797050"/>
    <w:rsid w:val="007A23E5"/>
    <w:rsid w:val="007B47B8"/>
    <w:rsid w:val="007C2E92"/>
    <w:rsid w:val="007C36A4"/>
    <w:rsid w:val="007E28B7"/>
    <w:rsid w:val="007F7DF9"/>
    <w:rsid w:val="00842FFF"/>
    <w:rsid w:val="00845492"/>
    <w:rsid w:val="008947A8"/>
    <w:rsid w:val="00895903"/>
    <w:rsid w:val="008A48CE"/>
    <w:rsid w:val="008B0E8A"/>
    <w:rsid w:val="008B336B"/>
    <w:rsid w:val="008E2819"/>
    <w:rsid w:val="00913515"/>
    <w:rsid w:val="00964929"/>
    <w:rsid w:val="00980D93"/>
    <w:rsid w:val="009A45EC"/>
    <w:rsid w:val="009C40C6"/>
    <w:rsid w:val="009D1EBC"/>
    <w:rsid w:val="009E63C1"/>
    <w:rsid w:val="00A005A7"/>
    <w:rsid w:val="00A1047E"/>
    <w:rsid w:val="00A23E53"/>
    <w:rsid w:val="00A24B3E"/>
    <w:rsid w:val="00A2516D"/>
    <w:rsid w:val="00A3782B"/>
    <w:rsid w:val="00A50F21"/>
    <w:rsid w:val="00A55BC5"/>
    <w:rsid w:val="00A812C5"/>
    <w:rsid w:val="00A866ED"/>
    <w:rsid w:val="00AE3725"/>
    <w:rsid w:val="00B76814"/>
    <w:rsid w:val="00B769DB"/>
    <w:rsid w:val="00B76A6B"/>
    <w:rsid w:val="00B82111"/>
    <w:rsid w:val="00BB5BC9"/>
    <w:rsid w:val="00BC2907"/>
    <w:rsid w:val="00BD79E7"/>
    <w:rsid w:val="00BF3ED2"/>
    <w:rsid w:val="00C001E3"/>
    <w:rsid w:val="00C3306F"/>
    <w:rsid w:val="00C54BF4"/>
    <w:rsid w:val="00C64797"/>
    <w:rsid w:val="00C975A1"/>
    <w:rsid w:val="00CD3851"/>
    <w:rsid w:val="00CE1BAD"/>
    <w:rsid w:val="00CF6DBA"/>
    <w:rsid w:val="00D03096"/>
    <w:rsid w:val="00D2225F"/>
    <w:rsid w:val="00D26B7E"/>
    <w:rsid w:val="00D45630"/>
    <w:rsid w:val="00D6488D"/>
    <w:rsid w:val="00D66129"/>
    <w:rsid w:val="00D83B09"/>
    <w:rsid w:val="00D96229"/>
    <w:rsid w:val="00DA378B"/>
    <w:rsid w:val="00DA6D24"/>
    <w:rsid w:val="00DC7A0C"/>
    <w:rsid w:val="00DD5304"/>
    <w:rsid w:val="00DE4787"/>
    <w:rsid w:val="00DF51BD"/>
    <w:rsid w:val="00DF7AB1"/>
    <w:rsid w:val="00E071C2"/>
    <w:rsid w:val="00E71B6D"/>
    <w:rsid w:val="00E724D4"/>
    <w:rsid w:val="00E812E5"/>
    <w:rsid w:val="00E8464B"/>
    <w:rsid w:val="00E873B3"/>
    <w:rsid w:val="00E95330"/>
    <w:rsid w:val="00E95ADA"/>
    <w:rsid w:val="00EB302C"/>
    <w:rsid w:val="00ED5376"/>
    <w:rsid w:val="00F03D85"/>
    <w:rsid w:val="00F263F8"/>
    <w:rsid w:val="00F53376"/>
    <w:rsid w:val="00F57CEC"/>
    <w:rsid w:val="00F73F4A"/>
    <w:rsid w:val="00F96107"/>
    <w:rsid w:val="00FB3F5C"/>
    <w:rsid w:val="00FC0323"/>
    <w:rsid w:val="00FD4282"/>
    <w:rsid w:val="00FD4363"/>
    <w:rsid w:val="00FE3C2C"/>
    <w:rsid w:val="00FF1F33"/>
    <w:rsid w:val="00FF51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D5894"/>
  <w15:docId w15:val="{05B15F84-EAFD-4DA7-B87F-1E3C87932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cs="Arial Unicode MS"/>
      <w:color w:val="000000"/>
      <w:sz w:val="24"/>
      <w:szCs w:val="24"/>
      <w:u w:color="000000"/>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
    <w:name w:val="Верхн./нижн. кол."/>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ntrats">
    <w:name w:val="header"/>
    <w:pPr>
      <w:tabs>
        <w:tab w:val="center" w:pos="4819"/>
        <w:tab w:val="right" w:pos="9638"/>
      </w:tabs>
      <w:suppressAutoHyphens/>
    </w:pPr>
    <w:rPr>
      <w:rFonts w:cs="Arial Unicode MS"/>
      <w:color w:val="000000"/>
      <w:sz w:val="24"/>
      <w:szCs w:val="24"/>
      <w:u w:color="000000"/>
      <w:lang w:val="en-US"/>
    </w:rPr>
  </w:style>
  <w:style w:type="paragraph" w:styleId="Porat">
    <w:name w:val="footer"/>
    <w:pPr>
      <w:tabs>
        <w:tab w:val="center" w:pos="4819"/>
        <w:tab w:val="right" w:pos="9638"/>
      </w:tabs>
      <w:suppressAutoHyphens/>
    </w:pPr>
    <w:rPr>
      <w:rFonts w:cs="Arial Unicode MS"/>
      <w:color w:val="000000"/>
      <w:sz w:val="24"/>
      <w:szCs w:val="24"/>
      <w:u w:color="000000"/>
      <w:lang w:val="en-US"/>
    </w:rPr>
  </w:style>
  <w:style w:type="paragraph" w:customStyle="1" w:styleId="pagrindinistekstas">
    <w:name w:val="pagrindinis tekstas"/>
    <w:pPr>
      <w:suppressAutoHyphens/>
      <w:spacing w:before="120"/>
      <w:jc w:val="both"/>
    </w:pPr>
    <w:rPr>
      <w:rFonts w:ascii="Cambria" w:hAnsi="Cambria" w:cs="Arial Unicode MS"/>
      <w:color w:val="000000"/>
      <w:sz w:val="22"/>
      <w:szCs w:val="22"/>
      <w:u w:color="000000"/>
      <w:lang w:val="es-ES_tradnl"/>
    </w:rPr>
  </w:style>
  <w:style w:type="paragraph" w:customStyle="1" w:styleId="PAGRINDINISPAVADINIMAS">
    <w:name w:val="PAGRINDINIS PAVADINIMAS"/>
    <w:pPr>
      <w:suppressAutoHyphens/>
      <w:spacing w:before="120" w:after="120"/>
    </w:pPr>
    <w:rPr>
      <w:rFonts w:ascii="Cambria" w:hAnsi="Cambria" w:cs="Arial Unicode MS"/>
      <w:b/>
      <w:bCs/>
      <w:color w:val="000000"/>
      <w:sz w:val="24"/>
      <w:szCs w:val="24"/>
      <w:u w:color="000000"/>
    </w:rPr>
  </w:style>
  <w:style w:type="paragraph" w:styleId="Dokumentoinaostekstas">
    <w:name w:val="endnote text"/>
    <w:pPr>
      <w:suppressAutoHyphens/>
    </w:pPr>
    <w:rPr>
      <w:rFonts w:eastAsia="Times New Roman"/>
      <w:color w:val="000000"/>
      <w:u w:color="000000"/>
      <w:lang w:val="en-US"/>
    </w:rPr>
  </w:style>
  <w:style w:type="character" w:customStyle="1" w:styleId="a0">
    <w:name w:val="Нет"/>
  </w:style>
  <w:style w:type="character" w:customStyle="1" w:styleId="Hyperlink0">
    <w:name w:val="Hyperlink.0"/>
    <w:basedOn w:val="a0"/>
    <w:rPr>
      <w:rFonts w:ascii="Times New Roman" w:eastAsia="Times New Roman" w:hAnsi="Times New Roman" w:cs="Times New Roman"/>
      <w:i/>
      <w:iCs/>
      <w:outline w:val="0"/>
      <w:color w:val="0000FF"/>
      <w:u w:val="single" w:color="0000FF"/>
    </w:rPr>
  </w:style>
  <w:style w:type="numbering" w:customStyle="1" w:styleId="1">
    <w:name w:val="Импортированный стиль 1"/>
    <w:pPr>
      <w:numPr>
        <w:numId w:val="1"/>
      </w:numPr>
    </w:pPr>
  </w:style>
  <w:style w:type="numbering" w:customStyle="1" w:styleId="2">
    <w:name w:val="Импортированный стиль 2"/>
    <w:pPr>
      <w:numPr>
        <w:numId w:val="3"/>
      </w:numPr>
    </w:pPr>
  </w:style>
  <w:style w:type="paragraph" w:customStyle="1" w:styleId="autorius-paraas">
    <w:name w:val="autorius-parašas"/>
    <w:pPr>
      <w:suppressAutoHyphens/>
      <w:spacing w:before="120"/>
    </w:pPr>
    <w:rPr>
      <w:rFonts w:ascii="Cambria" w:hAnsi="Cambria" w:cs="Arial Unicode MS"/>
      <w:i/>
      <w:iCs/>
      <w:color w:val="000000"/>
      <w:sz w:val="22"/>
      <w:szCs w:val="22"/>
      <w:u w:color="000000"/>
      <w:lang w:val="pt-PT"/>
    </w:rPr>
  </w:style>
  <w:style w:type="numbering" w:customStyle="1" w:styleId="10">
    <w:name w:val="Импортированный стиль 1.0"/>
    <w:pPr>
      <w:numPr>
        <w:numId w:val="5"/>
      </w:numPr>
    </w:pPr>
  </w:style>
  <w:style w:type="numbering" w:customStyle="1" w:styleId="3">
    <w:name w:val="Импортированный стиль 3"/>
    <w:pPr>
      <w:numPr>
        <w:numId w:val="7"/>
      </w:numPr>
    </w:pPr>
  </w:style>
  <w:style w:type="numbering" w:customStyle="1" w:styleId="4">
    <w:name w:val="Импортированный стиль 4"/>
    <w:pPr>
      <w:numPr>
        <w:numId w:val="9"/>
      </w:numPr>
    </w:pPr>
  </w:style>
  <w:style w:type="numbering" w:customStyle="1" w:styleId="5">
    <w:name w:val="Импортированный стиль 5"/>
    <w:pPr>
      <w:numPr>
        <w:numId w:val="11"/>
      </w:numPr>
    </w:pPr>
  </w:style>
  <w:style w:type="character" w:customStyle="1" w:styleId="Hyperlink1">
    <w:name w:val="Hyperlink.1"/>
    <w:basedOn w:val="a0"/>
    <w:rPr>
      <w:outline w:val="0"/>
      <w:color w:val="0000FF"/>
      <w:u w:val="single" w:color="0000FF"/>
    </w:rPr>
  </w:style>
  <w:style w:type="numbering" w:customStyle="1" w:styleId="7">
    <w:name w:val="Импортированный стиль 7"/>
    <w:pPr>
      <w:numPr>
        <w:numId w:val="13"/>
      </w:numPr>
    </w:pPr>
  </w:style>
  <w:style w:type="character" w:customStyle="1" w:styleId="Hyperlink2">
    <w:name w:val="Hyperlink.2"/>
    <w:basedOn w:val="a0"/>
    <w:rPr>
      <w:outline w:val="0"/>
      <w:color w:val="0000FF"/>
      <w:u w:val="single" w:color="0000FF"/>
      <w:lang w:val="en-US"/>
    </w:rPr>
  </w:style>
  <w:style w:type="character" w:styleId="Neapdorotaspaminjimas">
    <w:name w:val="Unresolved Mention"/>
    <w:basedOn w:val="Numatytasispastraiposriftas"/>
    <w:uiPriority w:val="99"/>
    <w:semiHidden/>
    <w:unhideWhenUsed/>
    <w:rsid w:val="00BD7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2806</Words>
  <Characters>1600</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Liutauras Ulevičius</dc:creator>
  <cp:lastModifiedBy>Liutauras Ulevičius</cp:lastModifiedBy>
  <cp:revision>5</cp:revision>
  <cp:lastPrinted>2025-02-27T06:39:00Z</cp:lastPrinted>
  <dcterms:created xsi:type="dcterms:W3CDTF">2025-02-27T06:38:00Z</dcterms:created>
  <dcterms:modified xsi:type="dcterms:W3CDTF">2025-02-27T06:42:00Z</dcterms:modified>
</cp:coreProperties>
</file>