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CDAB97" w14:textId="1D6A9BF2" w:rsidR="00E25A22" w:rsidRPr="00E25A22" w:rsidRDefault="00E25A22" w:rsidP="00E25A22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E25A22">
        <w:rPr>
          <w:rFonts w:ascii="Times New Roman" w:hAnsi="Times New Roman" w:cs="Times New Roman"/>
          <w:b/>
          <w:bCs/>
        </w:rPr>
        <w:t>Pranešimas žiniasklaidai</w:t>
      </w:r>
      <w:r w:rsidRPr="00E25A22">
        <w:rPr>
          <w:rFonts w:ascii="Times New Roman" w:hAnsi="Times New Roman" w:cs="Times New Roman"/>
          <w:b/>
          <w:bCs/>
        </w:rPr>
        <w:br/>
        <w:t>2025 m. kovo 7 d.</w:t>
      </w:r>
    </w:p>
    <w:p w14:paraId="1B9A550D" w14:textId="77777777" w:rsidR="00E25A22" w:rsidRPr="00E25A22" w:rsidRDefault="00E25A22" w:rsidP="00E25A2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01A84738" w14:textId="5EB98F65" w:rsidR="00E12ED9" w:rsidRPr="00E12ED9" w:rsidRDefault="00E12ED9" w:rsidP="00E12ED9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12ED9">
        <w:rPr>
          <w:rFonts w:ascii="Times New Roman" w:hAnsi="Times New Roman" w:cs="Times New Roman"/>
          <w:b/>
          <w:bCs/>
          <w:sz w:val="28"/>
          <w:szCs w:val="28"/>
        </w:rPr>
        <w:t>Verslo centro „Hero“ statyboms obligacijų paklausa vėl viršijo pasiūlą - šįkart 1,5 karto</w:t>
      </w:r>
    </w:p>
    <w:p w14:paraId="72CD4BDB" w14:textId="2E899273" w:rsidR="004A4480" w:rsidRPr="00E25A22" w:rsidRDefault="009B3B98" w:rsidP="00E25A22">
      <w:pPr>
        <w:jc w:val="both"/>
        <w:rPr>
          <w:rFonts w:ascii="Times New Roman" w:hAnsi="Times New Roman" w:cs="Times New Roman"/>
          <w:b/>
          <w:bCs/>
        </w:rPr>
      </w:pPr>
      <w:r w:rsidRPr="00E25A22">
        <w:rPr>
          <w:rFonts w:ascii="Times New Roman" w:hAnsi="Times New Roman" w:cs="Times New Roman"/>
          <w:b/>
          <w:bCs/>
        </w:rPr>
        <w:t xml:space="preserve">Su Lietuvos nekilnojamojo turto (NT) plėtotoju „Realco“ susijusi UAB „Sostinės bokštai“ </w:t>
      </w:r>
      <w:r w:rsidR="00FD1859" w:rsidRPr="00E25A22">
        <w:rPr>
          <w:rFonts w:ascii="Times New Roman" w:hAnsi="Times New Roman" w:cs="Times New Roman"/>
          <w:b/>
          <w:bCs/>
        </w:rPr>
        <w:t xml:space="preserve">sėkmingai išplatino </w:t>
      </w:r>
      <w:r w:rsidRPr="00E25A22">
        <w:rPr>
          <w:rFonts w:ascii="Times New Roman" w:hAnsi="Times New Roman" w:cs="Times New Roman"/>
          <w:b/>
          <w:bCs/>
        </w:rPr>
        <w:t xml:space="preserve">penktąją obligacijų emisijos dalį, skirtą finansuoti Vilniaus centriniame verslo rajone plėtojamo verslo centro „Hero“ statyboms. </w:t>
      </w:r>
      <w:r w:rsidR="00F8193A" w:rsidRPr="00E25A22">
        <w:rPr>
          <w:rFonts w:ascii="Times New Roman" w:hAnsi="Times New Roman" w:cs="Times New Roman"/>
          <w:b/>
          <w:bCs/>
        </w:rPr>
        <w:t>Jos metu v</w:t>
      </w:r>
      <w:r w:rsidR="0026628A" w:rsidRPr="00E25A22">
        <w:rPr>
          <w:rFonts w:ascii="Times New Roman" w:hAnsi="Times New Roman" w:cs="Times New Roman"/>
          <w:b/>
          <w:bCs/>
        </w:rPr>
        <w:t xml:space="preserve">ietoje planuotų </w:t>
      </w:r>
      <w:r w:rsidRPr="00E25A22">
        <w:rPr>
          <w:rFonts w:ascii="Times New Roman" w:hAnsi="Times New Roman" w:cs="Times New Roman"/>
          <w:b/>
          <w:bCs/>
        </w:rPr>
        <w:t xml:space="preserve">5,5 mln. </w:t>
      </w:r>
      <w:r w:rsidR="00FC2A6C" w:rsidRPr="00E25A22">
        <w:rPr>
          <w:rFonts w:ascii="Times New Roman" w:hAnsi="Times New Roman" w:cs="Times New Roman"/>
          <w:b/>
          <w:bCs/>
        </w:rPr>
        <w:t xml:space="preserve">pritraukta </w:t>
      </w:r>
      <w:r w:rsidR="00C114A2" w:rsidRPr="00E25A22">
        <w:rPr>
          <w:rFonts w:ascii="Times New Roman" w:hAnsi="Times New Roman" w:cs="Times New Roman"/>
          <w:b/>
          <w:bCs/>
        </w:rPr>
        <w:t>7,36 mln. eurų</w:t>
      </w:r>
      <w:r w:rsidRPr="00E25A22">
        <w:rPr>
          <w:rFonts w:ascii="Times New Roman" w:hAnsi="Times New Roman" w:cs="Times New Roman"/>
          <w:b/>
          <w:bCs/>
        </w:rPr>
        <w:t xml:space="preserve">. </w:t>
      </w:r>
      <w:r w:rsidR="004A4480" w:rsidRPr="00E25A22">
        <w:rPr>
          <w:rFonts w:ascii="Times New Roman" w:hAnsi="Times New Roman" w:cs="Times New Roman"/>
          <w:b/>
          <w:bCs/>
        </w:rPr>
        <w:t>Obligacijos buvo siūlomos Lietuvos, Latvijos ir Estijos investuotojams</w:t>
      </w:r>
      <w:r w:rsidR="00F62ABA" w:rsidRPr="00E25A22">
        <w:rPr>
          <w:rFonts w:ascii="Times New Roman" w:hAnsi="Times New Roman" w:cs="Times New Roman"/>
          <w:b/>
          <w:bCs/>
        </w:rPr>
        <w:t xml:space="preserve"> su 7,8 proc. pajamingumu</w:t>
      </w:r>
      <w:r w:rsidR="004A4480" w:rsidRPr="00E25A22">
        <w:rPr>
          <w:rFonts w:ascii="Times New Roman" w:hAnsi="Times New Roman" w:cs="Times New Roman"/>
          <w:b/>
          <w:bCs/>
        </w:rPr>
        <w:t xml:space="preserve">. </w:t>
      </w:r>
      <w:r w:rsidR="00F62ABA" w:rsidRPr="00E25A22">
        <w:rPr>
          <w:rFonts w:ascii="Times New Roman" w:hAnsi="Times New Roman" w:cs="Times New Roman"/>
          <w:b/>
          <w:bCs/>
        </w:rPr>
        <w:t xml:space="preserve">Iš viso „Hero“ statyboms </w:t>
      </w:r>
      <w:r w:rsidR="00C64A2A" w:rsidRPr="00E25A22">
        <w:rPr>
          <w:rFonts w:ascii="Times New Roman" w:hAnsi="Times New Roman" w:cs="Times New Roman"/>
          <w:b/>
          <w:bCs/>
        </w:rPr>
        <w:t xml:space="preserve">rinkoje jau pasiskolinta daugiau nei 40 mln. eurų. </w:t>
      </w:r>
    </w:p>
    <w:p w14:paraId="7E49E3F8" w14:textId="14D41D37" w:rsidR="00A57A8C" w:rsidRPr="00E25A22" w:rsidRDefault="00D53260" w:rsidP="00E25A22">
      <w:pPr>
        <w:jc w:val="both"/>
        <w:rPr>
          <w:rFonts w:ascii="Times New Roman" w:hAnsi="Times New Roman" w:cs="Times New Roman"/>
        </w:rPr>
      </w:pPr>
      <w:r w:rsidRPr="00E25A22">
        <w:rPr>
          <w:rFonts w:ascii="Times New Roman" w:hAnsi="Times New Roman" w:cs="Times New Roman"/>
        </w:rPr>
        <w:t xml:space="preserve">UAB „Sostinės bokštai“ sėkmingai išplatino </w:t>
      </w:r>
      <w:r w:rsidR="00E762B6" w:rsidRPr="00E25A22">
        <w:rPr>
          <w:rFonts w:ascii="Times New Roman" w:hAnsi="Times New Roman" w:cs="Times New Roman"/>
        </w:rPr>
        <w:t xml:space="preserve">penktąją viešą obligacijų emisijos dalį, skirtą finansuoti naujo verslo centro „Hero“ Vilniuje statyboms. </w:t>
      </w:r>
      <w:r w:rsidR="0064245E" w:rsidRPr="00E25A22">
        <w:rPr>
          <w:rFonts w:ascii="Times New Roman" w:hAnsi="Times New Roman" w:cs="Times New Roman"/>
        </w:rPr>
        <w:t xml:space="preserve">Sulaukus didesnio nei planuota investuotojų dėmesio, </w:t>
      </w:r>
      <w:r w:rsidR="00A57A8C" w:rsidRPr="00E25A22">
        <w:rPr>
          <w:rFonts w:ascii="Times New Roman" w:hAnsi="Times New Roman" w:cs="Times New Roman"/>
        </w:rPr>
        <w:t>penktosios obligacijų emisijos dalies nominali vert</w:t>
      </w:r>
      <w:r w:rsidR="000D5D0A" w:rsidRPr="00E25A22">
        <w:rPr>
          <w:rFonts w:ascii="Times New Roman" w:hAnsi="Times New Roman" w:cs="Times New Roman"/>
        </w:rPr>
        <w:t>ė</w:t>
      </w:r>
      <w:r w:rsidR="00A57A8C" w:rsidRPr="00E25A22">
        <w:rPr>
          <w:rFonts w:ascii="Times New Roman" w:hAnsi="Times New Roman" w:cs="Times New Roman"/>
        </w:rPr>
        <w:t xml:space="preserve"> </w:t>
      </w:r>
      <w:r w:rsidR="000D5D0A" w:rsidRPr="00E25A22">
        <w:rPr>
          <w:rFonts w:ascii="Times New Roman" w:hAnsi="Times New Roman" w:cs="Times New Roman"/>
        </w:rPr>
        <w:t xml:space="preserve">buvo </w:t>
      </w:r>
      <w:r w:rsidR="00E15828" w:rsidRPr="00E25A22">
        <w:rPr>
          <w:rFonts w:ascii="Times New Roman" w:hAnsi="Times New Roman" w:cs="Times New Roman"/>
        </w:rPr>
        <w:t>padidin</w:t>
      </w:r>
      <w:r w:rsidR="000D5D0A" w:rsidRPr="00E25A22">
        <w:rPr>
          <w:rFonts w:ascii="Times New Roman" w:hAnsi="Times New Roman" w:cs="Times New Roman"/>
        </w:rPr>
        <w:t>ta</w:t>
      </w:r>
      <w:r w:rsidR="00E15828" w:rsidRPr="00E25A22">
        <w:rPr>
          <w:rFonts w:ascii="Times New Roman" w:hAnsi="Times New Roman" w:cs="Times New Roman"/>
        </w:rPr>
        <w:t xml:space="preserve"> nuo 5,5 mln. iki </w:t>
      </w:r>
      <w:r w:rsidR="000D5D0A" w:rsidRPr="00E25A22">
        <w:rPr>
          <w:rFonts w:ascii="Times New Roman" w:hAnsi="Times New Roman" w:cs="Times New Roman"/>
        </w:rPr>
        <w:t xml:space="preserve">7,364 mln. eurų. </w:t>
      </w:r>
    </w:p>
    <w:p w14:paraId="11C3525A" w14:textId="5A0E0D4D" w:rsidR="00815F93" w:rsidRPr="00E25A22" w:rsidRDefault="00815F93" w:rsidP="00E25A22">
      <w:pPr>
        <w:jc w:val="both"/>
        <w:rPr>
          <w:rFonts w:ascii="Times New Roman" w:hAnsi="Times New Roman" w:cs="Times New Roman"/>
        </w:rPr>
      </w:pPr>
      <w:r w:rsidRPr="00E25A22">
        <w:rPr>
          <w:rFonts w:ascii="Times New Roman" w:hAnsi="Times New Roman" w:cs="Times New Roman"/>
        </w:rPr>
        <w:t>„</w:t>
      </w:r>
      <w:r w:rsidR="0034442B" w:rsidRPr="00E25A22">
        <w:rPr>
          <w:rFonts w:ascii="Times New Roman" w:hAnsi="Times New Roman" w:cs="Times New Roman"/>
        </w:rPr>
        <w:t xml:space="preserve">Kaip ir per ketvirtąją obligacijų emisijos dalį praėjusios vasaros pabaigoje, sulaukėme didelio investuotojų susidomėjimo – paklausa beveik pusantro karto viršijo lūkesčius. Investicinė rizika mažėja: pastatas jau stovi, baigti pagrindiniai fasado montavimo darbai, projektas sparčiai juda į priekį. Tai neabejotinai skatina investuotojus pasinaudoti galimybe ir prisidėti prie sėkmingai įgyvendinamo projekto, kuris jau šių metų rugsėjį pasieks finišą“, </w:t>
      </w:r>
      <w:r w:rsidR="00C95D32" w:rsidRPr="00E25A22">
        <w:rPr>
          <w:rFonts w:ascii="Times New Roman" w:hAnsi="Times New Roman" w:cs="Times New Roman"/>
        </w:rPr>
        <w:t xml:space="preserve">– džiaugiasi </w:t>
      </w:r>
      <w:r w:rsidR="00E7096C" w:rsidRPr="00E25A22">
        <w:rPr>
          <w:rFonts w:ascii="Times New Roman" w:hAnsi="Times New Roman" w:cs="Times New Roman"/>
        </w:rPr>
        <w:t xml:space="preserve">„Realco“ vadovas Julius Dovidonis. </w:t>
      </w:r>
    </w:p>
    <w:p w14:paraId="24CDE5E4" w14:textId="561FBAFD" w:rsidR="001A2315" w:rsidRPr="00E25A22" w:rsidRDefault="00886B88" w:rsidP="00E25A22">
      <w:pPr>
        <w:jc w:val="both"/>
        <w:rPr>
          <w:rFonts w:ascii="Times New Roman" w:hAnsi="Times New Roman" w:cs="Times New Roman"/>
        </w:rPr>
      </w:pPr>
      <w:r w:rsidRPr="00E25A22">
        <w:rPr>
          <w:rFonts w:ascii="Times New Roman" w:hAnsi="Times New Roman" w:cs="Times New Roman"/>
        </w:rPr>
        <w:t xml:space="preserve">Artėjant </w:t>
      </w:r>
      <w:r w:rsidR="001A3F80" w:rsidRPr="00E25A22">
        <w:rPr>
          <w:rFonts w:ascii="Times New Roman" w:hAnsi="Times New Roman" w:cs="Times New Roman"/>
        </w:rPr>
        <w:t xml:space="preserve">verslo centro atidarymui gausėja ir jame įsikursiančių nuomininkų gretos. </w:t>
      </w:r>
      <w:r w:rsidR="00721219" w:rsidRPr="00E25A22">
        <w:rPr>
          <w:rFonts w:ascii="Times New Roman" w:hAnsi="Times New Roman" w:cs="Times New Roman"/>
        </w:rPr>
        <w:t xml:space="preserve">Šiuo metu sutartys jau pasirašytos su </w:t>
      </w:r>
      <w:r w:rsidR="001A2315" w:rsidRPr="00E25A22">
        <w:rPr>
          <w:rFonts w:ascii="Times New Roman" w:hAnsi="Times New Roman" w:cs="Times New Roman"/>
        </w:rPr>
        <w:t>vien</w:t>
      </w:r>
      <w:r w:rsidR="00721219" w:rsidRPr="00E25A22">
        <w:rPr>
          <w:rFonts w:ascii="Times New Roman" w:hAnsi="Times New Roman" w:cs="Times New Roman"/>
        </w:rPr>
        <w:t>u</w:t>
      </w:r>
      <w:r w:rsidR="001A2315" w:rsidRPr="00E25A22">
        <w:rPr>
          <w:rFonts w:ascii="Times New Roman" w:hAnsi="Times New Roman" w:cs="Times New Roman"/>
        </w:rPr>
        <w:t xml:space="preserve"> didžiausių logistikos nekilnojamojo turto vystytojų Baltijos šalyse „Sirin Development“</w:t>
      </w:r>
      <w:r w:rsidR="00721219" w:rsidRPr="00E25A22">
        <w:rPr>
          <w:rFonts w:ascii="Times New Roman" w:hAnsi="Times New Roman" w:cs="Times New Roman"/>
        </w:rPr>
        <w:t xml:space="preserve">, </w:t>
      </w:r>
      <w:r w:rsidR="00271D23" w:rsidRPr="00E25A22">
        <w:rPr>
          <w:rFonts w:ascii="Times New Roman" w:hAnsi="Times New Roman" w:cs="Times New Roman"/>
        </w:rPr>
        <w:t xml:space="preserve">tarptautinė audito, mokesčių ir verslo konsultacijų bendrove „PwC“, </w:t>
      </w:r>
      <w:r w:rsidR="00B47D6C" w:rsidRPr="00E25A22">
        <w:rPr>
          <w:rFonts w:ascii="Times New Roman" w:hAnsi="Times New Roman" w:cs="Times New Roman"/>
        </w:rPr>
        <w:t xml:space="preserve">„Sapiegos klinika“, ankstyvojo ugdymo mokykla „Eureka“, </w:t>
      </w:r>
      <w:r w:rsidR="005062A7" w:rsidRPr="00E25A22">
        <w:rPr>
          <w:rFonts w:ascii="Times New Roman" w:hAnsi="Times New Roman" w:cs="Times New Roman"/>
        </w:rPr>
        <w:t>restoranu „Noon“ ir k</w:t>
      </w:r>
      <w:r w:rsidR="00271D23" w:rsidRPr="00E25A22">
        <w:rPr>
          <w:rFonts w:ascii="Times New Roman" w:hAnsi="Times New Roman" w:cs="Times New Roman"/>
        </w:rPr>
        <w:t>t</w:t>
      </w:r>
      <w:r w:rsidR="005062A7" w:rsidRPr="00E25A22">
        <w:rPr>
          <w:rFonts w:ascii="Times New Roman" w:hAnsi="Times New Roman" w:cs="Times New Roman"/>
        </w:rPr>
        <w:t xml:space="preserve">. </w:t>
      </w:r>
    </w:p>
    <w:p w14:paraId="6D701971" w14:textId="7FE89D4D" w:rsidR="00834C8B" w:rsidRPr="00E25A22" w:rsidRDefault="00834C8B" w:rsidP="00E25A22">
      <w:pPr>
        <w:jc w:val="both"/>
        <w:rPr>
          <w:rFonts w:ascii="Times New Roman" w:hAnsi="Times New Roman" w:cs="Times New Roman"/>
          <w:b/>
          <w:bCs/>
        </w:rPr>
      </w:pPr>
      <w:r w:rsidRPr="00E25A22">
        <w:rPr>
          <w:rFonts w:ascii="Times New Roman" w:hAnsi="Times New Roman" w:cs="Times New Roman"/>
          <w:b/>
          <w:bCs/>
        </w:rPr>
        <w:t xml:space="preserve">Beveik 400 investuotojų </w:t>
      </w:r>
    </w:p>
    <w:p w14:paraId="4A88E33E" w14:textId="32344E67" w:rsidR="000846F4" w:rsidRPr="00E25A22" w:rsidRDefault="00490E77" w:rsidP="00E25A22">
      <w:pPr>
        <w:jc w:val="both"/>
        <w:rPr>
          <w:rFonts w:ascii="Times New Roman" w:hAnsi="Times New Roman" w:cs="Times New Roman"/>
        </w:rPr>
      </w:pPr>
      <w:r w:rsidRPr="00E25A22">
        <w:rPr>
          <w:rFonts w:ascii="Times New Roman" w:hAnsi="Times New Roman" w:cs="Times New Roman"/>
        </w:rPr>
        <w:t>Penktosios emisijos dalies obligacij</w:t>
      </w:r>
      <w:r w:rsidR="0034442B" w:rsidRPr="00E25A22">
        <w:rPr>
          <w:rFonts w:ascii="Times New Roman" w:hAnsi="Times New Roman" w:cs="Times New Roman"/>
        </w:rPr>
        <w:t>ų</w:t>
      </w:r>
      <w:r w:rsidRPr="00E25A22">
        <w:rPr>
          <w:rFonts w:ascii="Times New Roman" w:hAnsi="Times New Roman" w:cs="Times New Roman"/>
        </w:rPr>
        <w:t xml:space="preserve"> </w:t>
      </w:r>
      <w:r w:rsidR="0039464C" w:rsidRPr="00E25A22">
        <w:rPr>
          <w:rFonts w:ascii="Times New Roman" w:hAnsi="Times New Roman" w:cs="Times New Roman"/>
        </w:rPr>
        <w:t xml:space="preserve">su 7,8 proc. pajamingumu </w:t>
      </w:r>
      <w:r w:rsidRPr="00E25A22">
        <w:rPr>
          <w:rFonts w:ascii="Times New Roman" w:hAnsi="Times New Roman" w:cs="Times New Roman"/>
        </w:rPr>
        <w:t xml:space="preserve">buvo </w:t>
      </w:r>
      <w:r w:rsidR="0034442B" w:rsidRPr="00E25A22">
        <w:rPr>
          <w:rFonts w:ascii="Times New Roman" w:hAnsi="Times New Roman" w:cs="Times New Roman"/>
        </w:rPr>
        <w:t>galima įsigyti</w:t>
      </w:r>
      <w:r w:rsidRPr="00E25A22">
        <w:rPr>
          <w:rFonts w:ascii="Times New Roman" w:hAnsi="Times New Roman" w:cs="Times New Roman"/>
        </w:rPr>
        <w:t xml:space="preserve"> ne tik </w:t>
      </w:r>
      <w:r w:rsidR="00255E51" w:rsidRPr="00E25A22">
        <w:rPr>
          <w:rFonts w:ascii="Times New Roman" w:hAnsi="Times New Roman" w:cs="Times New Roman"/>
        </w:rPr>
        <w:t xml:space="preserve">Lietuvos, </w:t>
      </w:r>
      <w:r w:rsidRPr="00E25A22">
        <w:rPr>
          <w:rFonts w:ascii="Times New Roman" w:hAnsi="Times New Roman" w:cs="Times New Roman"/>
        </w:rPr>
        <w:t xml:space="preserve">bet ir </w:t>
      </w:r>
      <w:r w:rsidR="00255E51" w:rsidRPr="00E25A22">
        <w:rPr>
          <w:rFonts w:ascii="Times New Roman" w:hAnsi="Times New Roman" w:cs="Times New Roman"/>
        </w:rPr>
        <w:t xml:space="preserve">Latvijos </w:t>
      </w:r>
      <w:r w:rsidRPr="00E25A22">
        <w:rPr>
          <w:rFonts w:ascii="Times New Roman" w:hAnsi="Times New Roman" w:cs="Times New Roman"/>
        </w:rPr>
        <w:t xml:space="preserve">bei </w:t>
      </w:r>
      <w:r w:rsidR="00255E51" w:rsidRPr="00E25A22">
        <w:rPr>
          <w:rFonts w:ascii="Times New Roman" w:hAnsi="Times New Roman" w:cs="Times New Roman"/>
        </w:rPr>
        <w:t xml:space="preserve">Estijos investuotojams. </w:t>
      </w:r>
    </w:p>
    <w:p w14:paraId="74D3FADF" w14:textId="79BA4D13" w:rsidR="005616FF" w:rsidRPr="00E25A22" w:rsidRDefault="00304B91" w:rsidP="00E25A22">
      <w:pPr>
        <w:jc w:val="both"/>
        <w:rPr>
          <w:rFonts w:ascii="Times New Roman" w:hAnsi="Times New Roman" w:cs="Times New Roman"/>
        </w:rPr>
      </w:pPr>
      <w:r w:rsidRPr="00E25A22">
        <w:rPr>
          <w:rFonts w:ascii="Times New Roman" w:hAnsi="Times New Roman" w:cs="Times New Roman"/>
        </w:rPr>
        <w:t>Šio etapo metu i</w:t>
      </w:r>
      <w:r w:rsidR="005616FF" w:rsidRPr="00E25A22">
        <w:rPr>
          <w:rFonts w:ascii="Times New Roman" w:hAnsi="Times New Roman" w:cs="Times New Roman"/>
        </w:rPr>
        <w:t>š viso sulaukta 363 investuotoj</w:t>
      </w:r>
      <w:r w:rsidRPr="00E25A22">
        <w:rPr>
          <w:rFonts w:ascii="Times New Roman" w:hAnsi="Times New Roman" w:cs="Times New Roman"/>
        </w:rPr>
        <w:t>ų</w:t>
      </w:r>
      <w:r w:rsidR="005616FF" w:rsidRPr="00E25A22">
        <w:rPr>
          <w:rFonts w:ascii="Times New Roman" w:hAnsi="Times New Roman" w:cs="Times New Roman"/>
        </w:rPr>
        <w:t xml:space="preserve">, </w:t>
      </w:r>
      <w:r w:rsidR="00936F23" w:rsidRPr="00E25A22">
        <w:rPr>
          <w:rFonts w:ascii="Times New Roman" w:hAnsi="Times New Roman" w:cs="Times New Roman"/>
        </w:rPr>
        <w:t xml:space="preserve">didžioji dalis jų – iš Lietuvos. </w:t>
      </w:r>
      <w:r w:rsidR="00E6103A" w:rsidRPr="00E25A22">
        <w:rPr>
          <w:rFonts w:ascii="Times New Roman" w:hAnsi="Times New Roman" w:cs="Times New Roman"/>
        </w:rPr>
        <w:t>Daugiau nei du trečdaliai investavo nuo 1 iki 10 tūkst. eurų</w:t>
      </w:r>
      <w:r w:rsidR="004520F7" w:rsidRPr="00E25A22">
        <w:rPr>
          <w:rFonts w:ascii="Times New Roman" w:hAnsi="Times New Roman" w:cs="Times New Roman"/>
        </w:rPr>
        <w:t xml:space="preserve">, 27 investuotojai paskolino nuo </w:t>
      </w:r>
      <w:r w:rsidR="00BC095C" w:rsidRPr="00E25A22">
        <w:rPr>
          <w:rFonts w:ascii="Times New Roman" w:hAnsi="Times New Roman" w:cs="Times New Roman"/>
        </w:rPr>
        <w:t xml:space="preserve">50 tūkst. iki </w:t>
      </w:r>
      <w:r w:rsidR="005616FF" w:rsidRPr="00E25A22">
        <w:rPr>
          <w:rFonts w:ascii="Times New Roman" w:hAnsi="Times New Roman" w:cs="Times New Roman"/>
        </w:rPr>
        <w:t>1 mln.</w:t>
      </w:r>
      <w:r w:rsidR="00BC095C" w:rsidRPr="00E25A22">
        <w:rPr>
          <w:rFonts w:ascii="Times New Roman" w:hAnsi="Times New Roman" w:cs="Times New Roman"/>
        </w:rPr>
        <w:t xml:space="preserve"> eurų. </w:t>
      </w:r>
      <w:r w:rsidR="00C36B28" w:rsidRPr="00E25A22">
        <w:rPr>
          <w:rFonts w:ascii="Times New Roman" w:hAnsi="Times New Roman" w:cs="Times New Roman"/>
        </w:rPr>
        <w:t xml:space="preserve">Iš Latvijos ir Estijos sulaukta </w:t>
      </w:r>
      <w:r w:rsidR="005616FF" w:rsidRPr="00E25A22">
        <w:rPr>
          <w:rFonts w:ascii="Times New Roman" w:hAnsi="Times New Roman" w:cs="Times New Roman"/>
        </w:rPr>
        <w:t>6</w:t>
      </w:r>
      <w:r w:rsidR="004C0B23" w:rsidRPr="00E25A22">
        <w:rPr>
          <w:rFonts w:ascii="Times New Roman" w:hAnsi="Times New Roman" w:cs="Times New Roman"/>
        </w:rPr>
        <w:t>7</w:t>
      </w:r>
      <w:r w:rsidR="005616FF" w:rsidRPr="00E25A22">
        <w:rPr>
          <w:rFonts w:ascii="Times New Roman" w:hAnsi="Times New Roman" w:cs="Times New Roman"/>
        </w:rPr>
        <w:t xml:space="preserve"> </w:t>
      </w:r>
      <w:r w:rsidR="00C36B28" w:rsidRPr="00E25A22">
        <w:rPr>
          <w:rFonts w:ascii="Times New Roman" w:hAnsi="Times New Roman" w:cs="Times New Roman"/>
        </w:rPr>
        <w:t>investuotojų, kuri</w:t>
      </w:r>
      <w:r w:rsidR="00FA55DD" w:rsidRPr="00E25A22">
        <w:rPr>
          <w:rFonts w:ascii="Times New Roman" w:hAnsi="Times New Roman" w:cs="Times New Roman"/>
        </w:rPr>
        <w:t>ų</w:t>
      </w:r>
      <w:r w:rsidR="00C36B28" w:rsidRPr="00E25A22">
        <w:rPr>
          <w:rFonts w:ascii="Times New Roman" w:hAnsi="Times New Roman" w:cs="Times New Roman"/>
        </w:rPr>
        <w:t xml:space="preserve"> </w:t>
      </w:r>
      <w:r w:rsidR="00FA55DD" w:rsidRPr="00E25A22">
        <w:rPr>
          <w:rFonts w:ascii="Times New Roman" w:hAnsi="Times New Roman" w:cs="Times New Roman"/>
        </w:rPr>
        <w:t xml:space="preserve">bendrai investuota suma siekia </w:t>
      </w:r>
      <w:r w:rsidR="005616FF" w:rsidRPr="00E25A22">
        <w:rPr>
          <w:rFonts w:ascii="Times New Roman" w:hAnsi="Times New Roman" w:cs="Times New Roman"/>
        </w:rPr>
        <w:t>1,</w:t>
      </w:r>
      <w:r w:rsidR="004C0B23" w:rsidRPr="00E25A22">
        <w:rPr>
          <w:rFonts w:ascii="Times New Roman" w:hAnsi="Times New Roman" w:cs="Times New Roman"/>
        </w:rPr>
        <w:t>8</w:t>
      </w:r>
      <w:r w:rsidR="005616FF" w:rsidRPr="00E25A22">
        <w:rPr>
          <w:rFonts w:ascii="Times New Roman" w:hAnsi="Times New Roman" w:cs="Times New Roman"/>
        </w:rPr>
        <w:t xml:space="preserve"> mln.</w:t>
      </w:r>
      <w:r w:rsidR="00FA55DD" w:rsidRPr="00E25A22">
        <w:rPr>
          <w:rFonts w:ascii="Times New Roman" w:hAnsi="Times New Roman" w:cs="Times New Roman"/>
        </w:rPr>
        <w:t xml:space="preserve"> eurų. </w:t>
      </w:r>
      <w:r w:rsidR="002C590B" w:rsidRPr="00E25A22">
        <w:rPr>
          <w:rFonts w:ascii="Times New Roman" w:hAnsi="Times New Roman" w:cs="Times New Roman"/>
        </w:rPr>
        <w:t xml:space="preserve">Galutinė obligacijų išpirkimo data – 2026 m. gegužės 18 d. </w:t>
      </w:r>
    </w:p>
    <w:p w14:paraId="0FDFE068" w14:textId="5B7731DF" w:rsidR="00C82B74" w:rsidRPr="00E25A22" w:rsidRDefault="00310241" w:rsidP="00E25A22">
      <w:pPr>
        <w:jc w:val="both"/>
        <w:rPr>
          <w:rFonts w:ascii="Times New Roman" w:hAnsi="Times New Roman" w:cs="Times New Roman"/>
        </w:rPr>
      </w:pPr>
      <w:r w:rsidRPr="00E25A22">
        <w:rPr>
          <w:rFonts w:ascii="Times New Roman" w:hAnsi="Times New Roman" w:cs="Times New Roman"/>
        </w:rPr>
        <w:t>„</w:t>
      </w:r>
      <w:r w:rsidR="00911AFD" w:rsidRPr="00E25A22">
        <w:rPr>
          <w:rFonts w:ascii="Times New Roman" w:hAnsi="Times New Roman" w:cs="Times New Roman"/>
        </w:rPr>
        <w:t>Per ankstesnes keturias emisijos dalis investuotojai išpirko obligacijų už daugiau nei 33 mln. eurų</w:t>
      </w:r>
      <w:r w:rsidR="00F60A38" w:rsidRPr="00E25A22">
        <w:rPr>
          <w:rFonts w:ascii="Times New Roman" w:hAnsi="Times New Roman" w:cs="Times New Roman"/>
        </w:rPr>
        <w:t>.</w:t>
      </w:r>
      <w:r w:rsidR="00911AFD" w:rsidRPr="00E25A22">
        <w:rPr>
          <w:rFonts w:ascii="Times New Roman" w:hAnsi="Times New Roman" w:cs="Times New Roman"/>
        </w:rPr>
        <w:t xml:space="preserve"> Pridėjus ir penktosios </w:t>
      </w:r>
      <w:r w:rsidR="00AB4F4A" w:rsidRPr="00E25A22">
        <w:rPr>
          <w:rFonts w:ascii="Times New Roman" w:hAnsi="Times New Roman" w:cs="Times New Roman"/>
        </w:rPr>
        <w:t xml:space="preserve">emisijos </w:t>
      </w:r>
      <w:r w:rsidR="00911AFD" w:rsidRPr="00E25A22">
        <w:rPr>
          <w:rFonts w:ascii="Times New Roman" w:hAnsi="Times New Roman" w:cs="Times New Roman"/>
        </w:rPr>
        <w:t xml:space="preserve">dalies </w:t>
      </w:r>
      <w:r w:rsidR="00A477DC" w:rsidRPr="00E25A22">
        <w:rPr>
          <w:rFonts w:ascii="Times New Roman" w:hAnsi="Times New Roman" w:cs="Times New Roman"/>
        </w:rPr>
        <w:t>rezultatą, iš viso v</w:t>
      </w:r>
      <w:r w:rsidRPr="00E25A22">
        <w:rPr>
          <w:rFonts w:ascii="Times New Roman" w:hAnsi="Times New Roman" w:cs="Times New Roman"/>
        </w:rPr>
        <w:t>erslo centr</w:t>
      </w:r>
      <w:r w:rsidR="00A477DC" w:rsidRPr="00E25A22">
        <w:rPr>
          <w:rFonts w:ascii="Times New Roman" w:hAnsi="Times New Roman" w:cs="Times New Roman"/>
        </w:rPr>
        <w:t>o</w:t>
      </w:r>
      <w:r w:rsidRPr="00E25A22">
        <w:rPr>
          <w:rFonts w:ascii="Times New Roman" w:hAnsi="Times New Roman" w:cs="Times New Roman"/>
        </w:rPr>
        <w:t xml:space="preserve"> „Hero“ </w:t>
      </w:r>
      <w:r w:rsidR="00A477DC" w:rsidRPr="00E25A22">
        <w:rPr>
          <w:rFonts w:ascii="Times New Roman" w:hAnsi="Times New Roman" w:cs="Times New Roman"/>
        </w:rPr>
        <w:t>statyboms rinkoje jau esame pasiskolinę daugiau nei 40 mln. eurų</w:t>
      </w:r>
      <w:r w:rsidR="00424E7D" w:rsidRPr="00E25A22">
        <w:rPr>
          <w:rFonts w:ascii="Times New Roman" w:hAnsi="Times New Roman" w:cs="Times New Roman"/>
        </w:rPr>
        <w:t>,</w:t>
      </w:r>
      <w:r w:rsidR="00A477DC" w:rsidRPr="00E25A22">
        <w:rPr>
          <w:rFonts w:ascii="Times New Roman" w:hAnsi="Times New Roman" w:cs="Times New Roman"/>
        </w:rPr>
        <w:t xml:space="preserve"> </w:t>
      </w:r>
      <w:r w:rsidR="00507854" w:rsidRPr="00E25A22">
        <w:rPr>
          <w:rFonts w:ascii="Times New Roman" w:hAnsi="Times New Roman" w:cs="Times New Roman"/>
        </w:rPr>
        <w:t>o visos investicijos į naująjį verslo centrą „Hero“ sieks apie 112 mln. eurų</w:t>
      </w:r>
      <w:r w:rsidR="00C82B74" w:rsidRPr="00E25A22">
        <w:rPr>
          <w:rFonts w:ascii="Times New Roman" w:hAnsi="Times New Roman" w:cs="Times New Roman"/>
        </w:rPr>
        <w:t xml:space="preserve">“, – skaičiuoja J. Dovidonis. </w:t>
      </w:r>
    </w:p>
    <w:p w14:paraId="425432F9" w14:textId="33345E43" w:rsidR="00507854" w:rsidRPr="00E25A22" w:rsidRDefault="00507854" w:rsidP="00E25A22">
      <w:pPr>
        <w:jc w:val="both"/>
        <w:rPr>
          <w:rFonts w:ascii="Times New Roman" w:hAnsi="Times New Roman" w:cs="Times New Roman"/>
        </w:rPr>
      </w:pPr>
      <w:r w:rsidRPr="00E25A22">
        <w:rPr>
          <w:rFonts w:ascii="Times New Roman" w:hAnsi="Times New Roman" w:cs="Times New Roman"/>
        </w:rPr>
        <w:t xml:space="preserve">Nuo praėjusių metų rugpjūčio 9 dienos „Hero“ obligacijos tapo viešai kotiruojamos ir biržoje: Nasdaq Vilnius vertybinių popierių birža jas įtraukė į prekybą Nasdaq Baltijos „First North“ rinkoje. Dėl prekybos joje, „Hero“ obligacijas rinkos kaina galima parduoti ir nesulaukus jų išpirkimo termino. </w:t>
      </w:r>
    </w:p>
    <w:p w14:paraId="21803B6B" w14:textId="6703C1F9" w:rsidR="0064245E" w:rsidRPr="00E25A22" w:rsidRDefault="00B7676C" w:rsidP="00E25A22">
      <w:pPr>
        <w:jc w:val="both"/>
        <w:rPr>
          <w:rFonts w:ascii="Times New Roman" w:hAnsi="Times New Roman" w:cs="Times New Roman"/>
        </w:rPr>
      </w:pPr>
      <w:r w:rsidRPr="00E25A22">
        <w:rPr>
          <w:rFonts w:ascii="Times New Roman" w:hAnsi="Times New Roman" w:cs="Times New Roman"/>
        </w:rPr>
        <w:lastRenderedPageBreak/>
        <w:t>Penktąją v</w:t>
      </w:r>
      <w:r w:rsidR="0064245E" w:rsidRPr="00E25A22">
        <w:rPr>
          <w:rFonts w:ascii="Times New Roman" w:hAnsi="Times New Roman" w:cs="Times New Roman"/>
        </w:rPr>
        <w:t>iešą obligacijų emisij</w:t>
      </w:r>
      <w:r w:rsidRPr="00E25A22">
        <w:rPr>
          <w:rFonts w:ascii="Times New Roman" w:hAnsi="Times New Roman" w:cs="Times New Roman"/>
        </w:rPr>
        <w:t>os</w:t>
      </w:r>
      <w:r w:rsidR="0064245E" w:rsidRPr="00E25A22">
        <w:rPr>
          <w:rFonts w:ascii="Times New Roman" w:hAnsi="Times New Roman" w:cs="Times New Roman"/>
        </w:rPr>
        <w:t xml:space="preserve"> </w:t>
      </w:r>
      <w:r w:rsidRPr="00E25A22">
        <w:rPr>
          <w:rFonts w:ascii="Times New Roman" w:hAnsi="Times New Roman" w:cs="Times New Roman"/>
        </w:rPr>
        <w:t xml:space="preserve">dalį </w:t>
      </w:r>
      <w:r w:rsidR="0064245E" w:rsidRPr="00E25A22">
        <w:rPr>
          <w:rFonts w:ascii="Times New Roman" w:hAnsi="Times New Roman" w:cs="Times New Roman"/>
        </w:rPr>
        <w:t xml:space="preserve">platino investicijų valdymo bendrovė „Evernord“, Estijos investicinės bankininkystės bendrovė „Redgate Capital“ ir Šiaulių bankas. </w:t>
      </w:r>
      <w:r w:rsidR="00A423E2" w:rsidRPr="00E25A22">
        <w:rPr>
          <w:rFonts w:ascii="Times New Roman" w:hAnsi="Times New Roman" w:cs="Times New Roman"/>
        </w:rPr>
        <w:t>Obligacijų e</w:t>
      </w:r>
      <w:r w:rsidR="0064245E" w:rsidRPr="00E25A22">
        <w:rPr>
          <w:rFonts w:ascii="Times New Roman" w:hAnsi="Times New Roman" w:cs="Times New Roman"/>
        </w:rPr>
        <w:t xml:space="preserve">misija vykdoma pagal 2024 m. kovo 12 d. Lietuvos banko patvirtinto bazinio prospekto ir balandžio 23 d. patvirtinto priedo prie bazinio prospekto sąlygas. </w:t>
      </w:r>
      <w:r w:rsidR="00DC6775" w:rsidRPr="00E25A22">
        <w:rPr>
          <w:rFonts w:ascii="Times New Roman" w:hAnsi="Times New Roman" w:cs="Times New Roman"/>
        </w:rPr>
        <w:t xml:space="preserve"> </w:t>
      </w:r>
      <w:r w:rsidR="00C055E5" w:rsidRPr="00E25A22">
        <w:rPr>
          <w:rFonts w:ascii="Times New Roman" w:hAnsi="Times New Roman" w:cs="Times New Roman"/>
        </w:rPr>
        <w:t xml:space="preserve">Visais </w:t>
      </w:r>
      <w:r w:rsidR="008C3FB9" w:rsidRPr="00E25A22">
        <w:rPr>
          <w:rFonts w:ascii="Times New Roman" w:hAnsi="Times New Roman" w:cs="Times New Roman"/>
        </w:rPr>
        <w:t xml:space="preserve">bazinio prospekto </w:t>
      </w:r>
      <w:r w:rsidR="00C055E5" w:rsidRPr="00E25A22">
        <w:rPr>
          <w:rFonts w:ascii="Times New Roman" w:hAnsi="Times New Roman" w:cs="Times New Roman"/>
        </w:rPr>
        <w:t xml:space="preserve">teisiniais klausimais </w:t>
      </w:r>
      <w:r w:rsidR="00271D23" w:rsidRPr="00E25A22">
        <w:rPr>
          <w:rFonts w:ascii="Times New Roman" w:hAnsi="Times New Roman" w:cs="Times New Roman"/>
        </w:rPr>
        <w:t>konsultavo advokatų kontora „Sorainen“.</w:t>
      </w:r>
      <w:r w:rsidR="002B6672" w:rsidRPr="00E25A22">
        <w:rPr>
          <w:rFonts w:ascii="Times New Roman" w:hAnsi="Times New Roman" w:cs="Times New Roman"/>
        </w:rPr>
        <w:t xml:space="preserve"> </w:t>
      </w:r>
    </w:p>
    <w:p w14:paraId="7D8B0EE7" w14:textId="673B79E1" w:rsidR="00507854" w:rsidRPr="00E25A22" w:rsidRDefault="00507854" w:rsidP="00E25A22">
      <w:pPr>
        <w:jc w:val="both"/>
        <w:rPr>
          <w:rFonts w:ascii="Times New Roman" w:hAnsi="Times New Roman" w:cs="Times New Roman"/>
        </w:rPr>
      </w:pPr>
      <w:r w:rsidRPr="00E25A22">
        <w:rPr>
          <w:rFonts w:ascii="Times New Roman" w:hAnsi="Times New Roman" w:cs="Times New Roman"/>
        </w:rPr>
        <w:t>Vilniaus centriniame verslo rajone kylantis „Hero“ verslo centras kuriamas laikantis aukščiausių tvarumo ir darbo aplinkos standartų. Projektas siekia gauti „Breeam Excellent“ ir „WELL Gold“ sertifikatus, o pastate bus įdiegtos modernios inžinerinės sistemos, apgalvoti architektūriniai ir dizaino sprendimai, kurie kurs komfortišką darbo aplinką.</w:t>
      </w:r>
    </w:p>
    <w:p w14:paraId="5AC7B1DF" w14:textId="77777777" w:rsidR="00507854" w:rsidRPr="00E25A22" w:rsidRDefault="00507854" w:rsidP="00E25A22">
      <w:pPr>
        <w:jc w:val="both"/>
        <w:rPr>
          <w:rFonts w:ascii="Times New Roman" w:hAnsi="Times New Roman" w:cs="Times New Roman"/>
          <w:i/>
          <w:iCs/>
        </w:rPr>
      </w:pPr>
      <w:r w:rsidRPr="00E25A22">
        <w:rPr>
          <w:rFonts w:ascii="Times New Roman" w:hAnsi="Times New Roman" w:cs="Times New Roman"/>
          <w:i/>
          <w:iCs/>
        </w:rPr>
        <w:t>Projektą vysto nekilnojamojo turto bendrovė „Realco“, turinti ilgametę patirtį komercinių ir gyvenamųjų pastatų plėtroje. Bendrovė rinkoje veikia daugiau nei 18 metų ir yra įgyvendinusi projektų su daugiau nei 5 000 naujų būstų bei virš 55 000 kv. m. komercinio ploto.</w:t>
      </w:r>
    </w:p>
    <w:p w14:paraId="0B28718E" w14:textId="77777777" w:rsidR="00507854" w:rsidRPr="00E25A22" w:rsidRDefault="00507854" w:rsidP="0064245E">
      <w:pPr>
        <w:rPr>
          <w:rFonts w:ascii="Times New Roman" w:hAnsi="Times New Roman" w:cs="Times New Roman"/>
        </w:rPr>
      </w:pPr>
    </w:p>
    <w:p w14:paraId="650093AC" w14:textId="389195CC" w:rsidR="007D029B" w:rsidRDefault="007D029B"/>
    <w:p w14:paraId="55F53C36" w14:textId="77777777" w:rsidR="007D029B" w:rsidRDefault="007D029B"/>
    <w:sectPr w:rsidR="007D029B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29B"/>
    <w:rsid w:val="0000293E"/>
    <w:rsid w:val="000737D5"/>
    <w:rsid w:val="00080B5D"/>
    <w:rsid w:val="000846F4"/>
    <w:rsid w:val="000D5D0A"/>
    <w:rsid w:val="00131386"/>
    <w:rsid w:val="0018201B"/>
    <w:rsid w:val="001A2315"/>
    <w:rsid w:val="001A3F80"/>
    <w:rsid w:val="001C5211"/>
    <w:rsid w:val="00251A67"/>
    <w:rsid w:val="00255E51"/>
    <w:rsid w:val="0025770F"/>
    <w:rsid w:val="0026628A"/>
    <w:rsid w:val="00271D23"/>
    <w:rsid w:val="00277F7C"/>
    <w:rsid w:val="002B3DC5"/>
    <w:rsid w:val="002B6672"/>
    <w:rsid w:val="002C590B"/>
    <w:rsid w:val="002D1FCF"/>
    <w:rsid w:val="003007CF"/>
    <w:rsid w:val="00304B91"/>
    <w:rsid w:val="00310241"/>
    <w:rsid w:val="0034442B"/>
    <w:rsid w:val="0034497E"/>
    <w:rsid w:val="00381639"/>
    <w:rsid w:val="0039078A"/>
    <w:rsid w:val="003909DE"/>
    <w:rsid w:val="0039464C"/>
    <w:rsid w:val="003D4617"/>
    <w:rsid w:val="00406D7E"/>
    <w:rsid w:val="00424E7D"/>
    <w:rsid w:val="00433B03"/>
    <w:rsid w:val="004520F7"/>
    <w:rsid w:val="00490E77"/>
    <w:rsid w:val="004A4480"/>
    <w:rsid w:val="004C0B23"/>
    <w:rsid w:val="005062A7"/>
    <w:rsid w:val="00507854"/>
    <w:rsid w:val="0051561D"/>
    <w:rsid w:val="00546E74"/>
    <w:rsid w:val="005616FF"/>
    <w:rsid w:val="005732E9"/>
    <w:rsid w:val="005A6034"/>
    <w:rsid w:val="005B2059"/>
    <w:rsid w:val="005C3FD7"/>
    <w:rsid w:val="005E270C"/>
    <w:rsid w:val="005E6CEF"/>
    <w:rsid w:val="00605179"/>
    <w:rsid w:val="0064245E"/>
    <w:rsid w:val="00697807"/>
    <w:rsid w:val="006A338C"/>
    <w:rsid w:val="006B0A78"/>
    <w:rsid w:val="00715B7C"/>
    <w:rsid w:val="00721219"/>
    <w:rsid w:val="0073737D"/>
    <w:rsid w:val="00786A09"/>
    <w:rsid w:val="007B0578"/>
    <w:rsid w:val="007C6648"/>
    <w:rsid w:val="007D029B"/>
    <w:rsid w:val="00804AFC"/>
    <w:rsid w:val="00815F93"/>
    <w:rsid w:val="00834C8B"/>
    <w:rsid w:val="00872A26"/>
    <w:rsid w:val="00886B88"/>
    <w:rsid w:val="008A60C6"/>
    <w:rsid w:val="008C3FB9"/>
    <w:rsid w:val="008F0891"/>
    <w:rsid w:val="00911AFD"/>
    <w:rsid w:val="00936F23"/>
    <w:rsid w:val="009B3B98"/>
    <w:rsid w:val="00A423E2"/>
    <w:rsid w:val="00A477DC"/>
    <w:rsid w:val="00A57A8C"/>
    <w:rsid w:val="00A8150A"/>
    <w:rsid w:val="00AA38BD"/>
    <w:rsid w:val="00AB34BD"/>
    <w:rsid w:val="00AB4F4A"/>
    <w:rsid w:val="00AE19AC"/>
    <w:rsid w:val="00B13E2A"/>
    <w:rsid w:val="00B47D6C"/>
    <w:rsid w:val="00B51927"/>
    <w:rsid w:val="00B52648"/>
    <w:rsid w:val="00B7676C"/>
    <w:rsid w:val="00BA400E"/>
    <w:rsid w:val="00BC095C"/>
    <w:rsid w:val="00BF1557"/>
    <w:rsid w:val="00C055E5"/>
    <w:rsid w:val="00C114A2"/>
    <w:rsid w:val="00C36B28"/>
    <w:rsid w:val="00C64A2A"/>
    <w:rsid w:val="00C72998"/>
    <w:rsid w:val="00C82B74"/>
    <w:rsid w:val="00C94E70"/>
    <w:rsid w:val="00C95D32"/>
    <w:rsid w:val="00D304F5"/>
    <w:rsid w:val="00D53260"/>
    <w:rsid w:val="00D67D5D"/>
    <w:rsid w:val="00D82E15"/>
    <w:rsid w:val="00DA1FEB"/>
    <w:rsid w:val="00DA2A7B"/>
    <w:rsid w:val="00DC6775"/>
    <w:rsid w:val="00E02841"/>
    <w:rsid w:val="00E12ED9"/>
    <w:rsid w:val="00E15828"/>
    <w:rsid w:val="00E16701"/>
    <w:rsid w:val="00E25A22"/>
    <w:rsid w:val="00E2672F"/>
    <w:rsid w:val="00E6103A"/>
    <w:rsid w:val="00E7096C"/>
    <w:rsid w:val="00E727D0"/>
    <w:rsid w:val="00E75889"/>
    <w:rsid w:val="00E762B6"/>
    <w:rsid w:val="00E920DE"/>
    <w:rsid w:val="00F000E7"/>
    <w:rsid w:val="00F412DD"/>
    <w:rsid w:val="00F60A38"/>
    <w:rsid w:val="00F62ABA"/>
    <w:rsid w:val="00F8193A"/>
    <w:rsid w:val="00FA55DD"/>
    <w:rsid w:val="00FC2A6C"/>
    <w:rsid w:val="00FD1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F1A9B2"/>
  <w15:chartTrackingRefBased/>
  <w15:docId w15:val="{96F19EA1-B8B7-478F-B9D1-CE493B213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t-LT" w:eastAsia="en-US" w:bidi="he-IL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D029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D029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D029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D029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D029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D029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D029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D029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D029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D029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D029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D029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D029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D029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D029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D029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D029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D029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D029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D029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D029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D029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D029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D029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D029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D029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D029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D029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D029B"/>
    <w:rPr>
      <w:b/>
      <w:bCs/>
      <w:smallCaps/>
      <w:color w:val="0F4761" w:themeColor="accent1" w:themeShade="BF"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E920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920D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920D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20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20D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42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6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2559</Words>
  <Characters>1459</Characters>
  <Application>Microsoft Office Word</Application>
  <DocSecurity>0</DocSecurity>
  <Lines>12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Rolandas Kajokas</dc:creator>
  <cp:keywords/>
  <dc:description/>
  <cp:lastModifiedBy>Gintarė Saulytė-Šulgat</cp:lastModifiedBy>
  <cp:revision>4</cp:revision>
  <cp:lastPrinted>2025-03-07T08:51:00Z</cp:lastPrinted>
  <dcterms:created xsi:type="dcterms:W3CDTF">2025-03-07T09:11:00Z</dcterms:created>
  <dcterms:modified xsi:type="dcterms:W3CDTF">2025-03-07T09:50:00Z</dcterms:modified>
</cp:coreProperties>
</file>