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19E73FF"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5164CA">
        <w:rPr>
          <w:rFonts w:ascii="Times New Roman" w:hAnsi="Times New Roman" w:cs="Times New Roman"/>
          <w:sz w:val="28"/>
          <w:szCs w:val="24"/>
          <w:lang w:val="en-US"/>
        </w:rPr>
        <w:t>3</w:t>
      </w:r>
      <w:r w:rsidR="002F6B5E">
        <w:rPr>
          <w:rFonts w:ascii="Times New Roman" w:hAnsi="Times New Roman" w:cs="Times New Roman"/>
          <w:sz w:val="28"/>
          <w:szCs w:val="24"/>
          <w:lang w:val="en-US"/>
        </w:rPr>
        <w:t>-</w:t>
      </w:r>
      <w:r w:rsidR="000D37D1">
        <w:rPr>
          <w:rFonts w:ascii="Times New Roman" w:hAnsi="Times New Roman" w:cs="Times New Roman"/>
          <w:sz w:val="28"/>
          <w:szCs w:val="24"/>
          <w:lang w:val="en-US"/>
        </w:rPr>
        <w:t>31</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3044DBB3" w14:textId="77777777" w:rsidR="000D37D1" w:rsidRDefault="000D37D1" w:rsidP="000D37D1">
      <w:pPr>
        <w:spacing w:after="160"/>
        <w:jc w:val="center"/>
        <w:rPr>
          <w:rFonts w:ascii="Aptos" w:eastAsia="Aptos" w:hAnsi="Aptos" w:cs="Aptos"/>
          <w:b/>
          <w:bCs/>
          <w:sz w:val="24"/>
          <w:szCs w:val="24"/>
          <w14:ligatures w14:val="standardContextual"/>
        </w:rPr>
      </w:pPr>
      <w:r w:rsidRPr="000D37D1">
        <w:rPr>
          <w:rFonts w:ascii="Aptos" w:eastAsia="Aptos" w:hAnsi="Aptos" w:cs="Aptos"/>
          <w:b/>
          <w:bCs/>
          <w:sz w:val="24"/>
          <w:szCs w:val="24"/>
          <w14:ligatures w14:val="standardContextual"/>
        </w:rPr>
        <w:t>Parengti įstatymų projektai: antrąją pensijų kaupimo pakopą siekiama padaryti lankstesnę ir patrauklesnę</w:t>
      </w:r>
    </w:p>
    <w:p w14:paraId="6561B092" w14:textId="77777777" w:rsidR="0000689B" w:rsidRPr="000D37D1" w:rsidRDefault="0000689B" w:rsidP="000D37D1">
      <w:pPr>
        <w:spacing w:after="160"/>
        <w:jc w:val="center"/>
        <w:rPr>
          <w:rFonts w:ascii="Aptos" w:eastAsia="Aptos" w:hAnsi="Aptos" w:cs="Aptos"/>
          <w:b/>
          <w:bCs/>
          <w:sz w:val="24"/>
          <w:szCs w:val="24"/>
          <w14:ligatures w14:val="standardContextual"/>
        </w:rPr>
      </w:pPr>
    </w:p>
    <w:p w14:paraId="2E8E1808" w14:textId="77777777" w:rsidR="000D37D1" w:rsidRPr="000D37D1" w:rsidRDefault="000D37D1" w:rsidP="004C3F67">
      <w:pPr>
        <w:spacing w:after="160"/>
        <w:jc w:val="both"/>
        <w:rPr>
          <w:rFonts w:ascii="Aptos" w:eastAsia="Aptos" w:hAnsi="Aptos" w:cs="Aptos"/>
          <w:b/>
          <w:bCs/>
          <w:sz w:val="24"/>
          <w:szCs w:val="24"/>
          <w14:ligatures w14:val="standardContextual"/>
        </w:rPr>
      </w:pPr>
      <w:r w:rsidRPr="000D37D1">
        <w:rPr>
          <w:rFonts w:ascii="Aptos" w:eastAsia="Aptos" w:hAnsi="Aptos" w:cs="Aptos"/>
          <w:b/>
          <w:bCs/>
          <w:sz w:val="24"/>
          <w:szCs w:val="24"/>
          <w14:ligatures w14:val="standardContextual"/>
        </w:rPr>
        <w:t xml:space="preserve">Socialinės apsaugos ir darbo ministerija (SADM) parengė teisės aktų projektus, kaip būtų galima tobulinti antrąją pensijų kaupimo pakopą ir teikia juos visuomenei svarstyti. Pataisomis siekiama didinti sistemos patrauklumą ir lankstumą, užtikrinti savanorišką dalyvių įsitraukimą ir įgyvendinti Konstitucinio teismo nutarimą, numatant galimybes pasitraukti iš kaupimo antroje pensijų pakopoje, kai kaupimas tampa apsunkintas ar betikslis.  </w:t>
      </w:r>
    </w:p>
    <w:p w14:paraId="200D321D" w14:textId="77777777" w:rsidR="000D37D1" w:rsidRPr="000D37D1" w:rsidRDefault="000D37D1" w:rsidP="000D37D1">
      <w:pPr>
        <w:spacing w:after="160" w:line="259" w:lineRule="auto"/>
        <w:jc w:val="both"/>
        <w:rPr>
          <w:rFonts w:ascii="Aptos" w:eastAsia="Times New Roman" w:hAnsi="Aptos" w:cs="Times New Roman"/>
          <w:kern w:val="2"/>
          <w:sz w:val="24"/>
          <w:szCs w:val="24"/>
          <w14:ligatures w14:val="standardContextual"/>
        </w:rPr>
      </w:pPr>
      <w:r w:rsidRPr="000D37D1">
        <w:rPr>
          <w:rFonts w:ascii="Aptos" w:eastAsia="Times New Roman" w:hAnsi="Aptos" w:cs="Times New Roman"/>
          <w:kern w:val="2"/>
          <w:sz w:val="24"/>
          <w:szCs w:val="24"/>
          <w14:ligatures w14:val="standardContextual"/>
        </w:rPr>
        <w:t>„Nuo metų pradžios intensyviai dirbome, konsultavomės su specialistais, socialiniais partneriais ir parengėme įstatymų keitimo projektus. Pakoreguoti siūlymai antrąją pensijų kaupimo pakopą darytų dar lankstesnę ir patrauklesnę. Teikiame projektus, kurie atitinka Vyriausybės programoje numatytus ir visuomenės iškeltus lūkesčius, tikimės gausaus palaikymo iš politikų parlamente bei greito numatytų sprendimų įgyvendinimo“, – sako socialinės apsaugos ir darbo ministrė Inga Ruginienė.</w:t>
      </w:r>
    </w:p>
    <w:p w14:paraId="35483DF4"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b/>
          <w:bCs/>
          <w:kern w:val="2"/>
          <w:sz w:val="24"/>
          <w:szCs w:val="24"/>
          <w14:ligatures w14:val="standardContextual"/>
        </w:rPr>
        <w:t>Perėjimas prie savanoriško kaupimo modelio</w:t>
      </w:r>
      <w:r w:rsidRPr="000D37D1">
        <w:rPr>
          <w:rFonts w:ascii="Aptos" w:eastAsia="Aptos" w:hAnsi="Aptos" w:cs="Times New Roman"/>
          <w:kern w:val="2"/>
          <w:sz w:val="24"/>
          <w:szCs w:val="24"/>
          <w14:ligatures w14:val="standardContextual"/>
        </w:rPr>
        <w:t> </w:t>
      </w:r>
    </w:p>
    <w:p w14:paraId="2F7D950E"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Siūloma atsisakyti automatinio gyventojų įtraukimo į antrąją pensijų pakopą. Vietoje jo įtvirtinti savanorišką kaupimo modelį t. y. dabar galiojantį automatinį įtraukimą kas trejus metus pakeisti nuolatiniu kvietimu savanoriškai kaupti ir visuomenės informavimu apie kaupimo antroje pensijų pakopoje galimybes.  </w:t>
      </w:r>
    </w:p>
    <w:p w14:paraId="7FCC04A3"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b/>
          <w:bCs/>
          <w:kern w:val="2"/>
          <w:sz w:val="24"/>
          <w:szCs w:val="24"/>
          <w14:ligatures w14:val="standardContextual"/>
        </w:rPr>
        <w:t>Pereinamasis laikotarpis pasitraukti iš pensijų kaupimo antroje pakopoje – papildomi pensijų apskaitos vienetai</w:t>
      </w:r>
      <w:r w:rsidRPr="000D37D1">
        <w:rPr>
          <w:rFonts w:ascii="Aptos" w:eastAsia="Aptos" w:hAnsi="Aptos" w:cs="Times New Roman"/>
          <w:kern w:val="2"/>
          <w:sz w:val="24"/>
          <w:szCs w:val="24"/>
          <w14:ligatures w14:val="standardContextual"/>
        </w:rPr>
        <w:t> </w:t>
      </w:r>
    </w:p>
    <w:p w14:paraId="50DAD727"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Siūloma sudaryti galimybę kaupiantiesiems, kurių netenkina atnaujintos kaupimo sąlygos, pasitraukti iš kaupimo. Galimybę pasitraukti per numatytą laikotarpį siūloma įgyvendinti tokiu būdu:  </w:t>
      </w:r>
    </w:p>
    <w:p w14:paraId="767CC968" w14:textId="77777777" w:rsidR="000D37D1" w:rsidRPr="000D37D1" w:rsidRDefault="000D37D1" w:rsidP="000D37D1">
      <w:pPr>
        <w:numPr>
          <w:ilvl w:val="0"/>
          <w:numId w:val="2"/>
        </w:numPr>
        <w:spacing w:after="160" w:line="259" w:lineRule="auto"/>
        <w:contextualSpacing/>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Asmuo galės atsiimti savo lėšomis į antrąją pensijų pakopą sumokėtas įmokas ir investicinį prieaugį;</w:t>
      </w:r>
    </w:p>
    <w:p w14:paraId="2C479D9C" w14:textId="77777777" w:rsidR="000D37D1" w:rsidRPr="000D37D1" w:rsidRDefault="000D37D1" w:rsidP="000D37D1">
      <w:pPr>
        <w:numPr>
          <w:ilvl w:val="0"/>
          <w:numId w:val="2"/>
        </w:numPr>
        <w:spacing w:after="160" w:line="259" w:lineRule="auto"/>
        <w:contextualSpacing/>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Už „Sodros“ ir (ar) valstybės biudžeto už asmenį įmokėtas pensijų įmokas į asmens „Sodros“ sąskaitą bus įskaičiuojami papildomi pensijų apskaitos vienetai.</w:t>
      </w:r>
    </w:p>
    <w:p w14:paraId="527622D7"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 xml:space="preserve">Papildomai įgyti pensijų apskaitos vienetai ateityje prisidėtų prie žmogaus individualiosios socialinio draudimo pensijų dalies. </w:t>
      </w:r>
    </w:p>
    <w:p w14:paraId="192382A7"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 xml:space="preserve">Siūloma, kad pereinamasis laikotarpis galiotų nuo 2026 m. sausio 1 d. iki 2027 m. rugsėjo 30 d. </w:t>
      </w:r>
    </w:p>
    <w:p w14:paraId="0257ED67"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b/>
          <w:bCs/>
          <w:kern w:val="2"/>
          <w:sz w:val="24"/>
          <w:szCs w:val="24"/>
          <w14:ligatures w14:val="standardContextual"/>
        </w:rPr>
        <w:t>Nusprendusiems toliau kaupti antroje pakopoje, numatoma galimybė pasirinkti optimalų įmokų dydį, o prireikus – jas stabdyti</w:t>
      </w:r>
      <w:r w:rsidRPr="000D37D1">
        <w:rPr>
          <w:rFonts w:ascii="Aptos" w:eastAsia="Aptos" w:hAnsi="Aptos" w:cs="Times New Roman"/>
          <w:kern w:val="2"/>
          <w:sz w:val="24"/>
          <w:szCs w:val="24"/>
          <w14:ligatures w14:val="standardContextual"/>
        </w:rPr>
        <w:t> </w:t>
      </w:r>
    </w:p>
    <w:p w14:paraId="023B4CC2"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 xml:space="preserve">Savanoriškai pasirinkę kaupti antroje pensijų pakopoje, gyventojai galėtų elgtis lanksčiai: pasirinkti standartinę 3 proc. įmoką, ją patogiai didinti, o suprastėjus finansinei situacijai, – </w:t>
      </w:r>
      <w:r w:rsidRPr="000D37D1">
        <w:rPr>
          <w:rFonts w:ascii="Aptos" w:eastAsia="Aptos" w:hAnsi="Aptos" w:cs="Times New Roman"/>
          <w:kern w:val="2"/>
          <w:sz w:val="24"/>
          <w:szCs w:val="24"/>
          <w14:ligatures w14:val="standardContextual"/>
        </w:rPr>
        <w:lastRenderedPageBreak/>
        <w:t>įmokas stabdyti. Įmokas būtų galima stabdyti vieneriems metams su galimybe pratęsti šį laikotarpį.</w:t>
      </w:r>
    </w:p>
    <w:p w14:paraId="37FC54C5"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 xml:space="preserve">Kartu su asmens įmoka dalyviai ir toliau gautų valstybės skatinamąją įmoką (1,5 proc. nuo </w:t>
      </w:r>
      <w:proofErr w:type="spellStart"/>
      <w:r w:rsidRPr="000D37D1">
        <w:rPr>
          <w:rFonts w:ascii="Aptos" w:eastAsia="Aptos" w:hAnsi="Aptos" w:cs="Times New Roman"/>
          <w:kern w:val="2"/>
          <w:sz w:val="24"/>
          <w:szCs w:val="24"/>
          <w14:ligatures w14:val="standardContextual"/>
        </w:rPr>
        <w:t>užpraeitų</w:t>
      </w:r>
      <w:proofErr w:type="spellEnd"/>
      <w:r w:rsidRPr="000D37D1">
        <w:rPr>
          <w:rFonts w:ascii="Aptos" w:eastAsia="Aptos" w:hAnsi="Aptos" w:cs="Times New Roman"/>
          <w:kern w:val="2"/>
          <w:sz w:val="24"/>
          <w:szCs w:val="24"/>
          <w14:ligatures w14:val="standardContextual"/>
        </w:rPr>
        <w:t xml:space="preserve"> metų šalies vidutinio darbo užmokesčio (VDU)). </w:t>
      </w:r>
    </w:p>
    <w:p w14:paraId="664CCD12"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b/>
          <w:bCs/>
          <w:kern w:val="2"/>
          <w:sz w:val="24"/>
          <w:szCs w:val="24"/>
          <w14:ligatures w14:val="standardContextual"/>
        </w:rPr>
        <w:t>Lankstesnės galimybės atsiimti sukauptas lėšas ar jų dalį</w:t>
      </w:r>
      <w:r w:rsidRPr="000D37D1">
        <w:rPr>
          <w:rFonts w:ascii="Aptos" w:eastAsia="Aptos" w:hAnsi="Aptos" w:cs="Times New Roman"/>
          <w:kern w:val="2"/>
          <w:sz w:val="24"/>
          <w:szCs w:val="24"/>
          <w14:ligatures w14:val="standardContextual"/>
        </w:rPr>
        <w:t> </w:t>
      </w:r>
    </w:p>
    <w:p w14:paraId="2B6416FD"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Galimybės lanksčiau atsiimti dalį lėšų iki sulaukiant senatvės pensijos amžiaus, didins kaupimo patrauklumą gyventojams. </w:t>
      </w:r>
    </w:p>
    <w:p w14:paraId="39D2AD85"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Siūloma iki sulaukiant senatvės pensijos amžiaus (taikant nustatytą išsiėmimo atskaitymą – 3 proc. išsiimamos sumos):</w:t>
      </w:r>
    </w:p>
    <w:p w14:paraId="62579757" w14:textId="77777777" w:rsidR="000D37D1" w:rsidRPr="000D37D1" w:rsidRDefault="000D37D1" w:rsidP="000D37D1">
      <w:pPr>
        <w:numPr>
          <w:ilvl w:val="0"/>
          <w:numId w:val="3"/>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Vieną kartą per visą gyvenimą leisti atsiimti 25 proc. sukauptų lėšų (bet ne daugiau, negu paties gyventojo įmokėtą sumą); </w:t>
      </w:r>
    </w:p>
    <w:p w14:paraId="5555BE25" w14:textId="77777777" w:rsidR="000D37D1" w:rsidRPr="000D37D1" w:rsidRDefault="000D37D1" w:rsidP="000D37D1">
      <w:pPr>
        <w:numPr>
          <w:ilvl w:val="0"/>
          <w:numId w:val="4"/>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Likus mažiau kaip 5 metams iki pensinio amžiaus, leisti visą sukauptą sumą atsiimti asmenims, sukaupusiems nedideles sumas. </w:t>
      </w:r>
    </w:p>
    <w:p w14:paraId="556C6D9A"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Iki sulaukiant pensinio amžiaus, neapmokestinant  gyventojų pajamų mokesčiu (GPM) ar kitokiais mokesčiais, būtų leidžiama nutraukti kaupimą ir atsiimti visas sukauptas lėšas kai kaupimas tampa apsunkintas ar betikslis:</w:t>
      </w:r>
    </w:p>
    <w:p w14:paraId="3BB596D2" w14:textId="77777777" w:rsidR="000D37D1" w:rsidRPr="000D37D1" w:rsidRDefault="000D37D1" w:rsidP="000D37D1">
      <w:pPr>
        <w:numPr>
          <w:ilvl w:val="0"/>
          <w:numId w:val="5"/>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Netekus 70-100 proc. dalyvumo; </w:t>
      </w:r>
    </w:p>
    <w:p w14:paraId="4067C304" w14:textId="77777777" w:rsidR="000D37D1" w:rsidRPr="000D37D1" w:rsidRDefault="000D37D1" w:rsidP="000D37D1">
      <w:pPr>
        <w:numPr>
          <w:ilvl w:val="0"/>
          <w:numId w:val="6"/>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Nustatyta sunki liga, įtraukta į Sveikatos apsaugos ministerijos sudarytą ligų sąrašą; </w:t>
      </w:r>
    </w:p>
    <w:p w14:paraId="67B14A4A" w14:textId="77777777" w:rsidR="000D37D1" w:rsidRPr="000D37D1" w:rsidRDefault="000D37D1" w:rsidP="000D37D1">
      <w:pPr>
        <w:numPr>
          <w:ilvl w:val="0"/>
          <w:numId w:val="7"/>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 xml:space="preserve"> Nustatytas </w:t>
      </w:r>
      <w:proofErr w:type="spellStart"/>
      <w:r w:rsidRPr="000D37D1">
        <w:rPr>
          <w:rFonts w:ascii="Aptos" w:eastAsia="Aptos" w:hAnsi="Aptos" w:cs="Times New Roman"/>
          <w:kern w:val="2"/>
          <w:sz w:val="24"/>
          <w:szCs w:val="24"/>
          <w14:ligatures w14:val="standardContextual"/>
        </w:rPr>
        <w:t>paliatyvios</w:t>
      </w:r>
      <w:proofErr w:type="spellEnd"/>
      <w:r w:rsidRPr="000D37D1">
        <w:rPr>
          <w:rFonts w:ascii="Aptos" w:eastAsia="Aptos" w:hAnsi="Aptos" w:cs="Times New Roman"/>
          <w:kern w:val="2"/>
          <w:sz w:val="24"/>
          <w:szCs w:val="24"/>
          <w14:ligatures w14:val="standardContextual"/>
        </w:rPr>
        <w:t xml:space="preserve"> pagalbos poreikis. </w:t>
      </w:r>
    </w:p>
    <w:p w14:paraId="177BF0EC"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Sulaukus pensinio amžiaus, išmokos nebus apmokestinamos. Siūloma: </w:t>
      </w:r>
    </w:p>
    <w:p w14:paraId="08D640C4" w14:textId="77777777" w:rsidR="000D37D1" w:rsidRPr="000D37D1" w:rsidRDefault="000D37D1" w:rsidP="000D37D1">
      <w:pPr>
        <w:numPr>
          <w:ilvl w:val="0"/>
          <w:numId w:val="8"/>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Privalomo anuiteto minimalią ribą padidinti iki 10 proc., o maksimalią ribą nustatyti kaip 50 proc. praėjusių metų I ketv. vidutinės  senatvės pensijos. Sukauptą sumą iki ir virš nustatytų ribų būtų leidžiama atsiimti laisvai pasirenkant išmokos tipą;</w:t>
      </w:r>
    </w:p>
    <w:p w14:paraId="1E7F4711" w14:textId="77777777" w:rsidR="000D37D1" w:rsidRPr="000D37D1" w:rsidRDefault="000D37D1" w:rsidP="000D37D1">
      <w:pPr>
        <w:numPr>
          <w:ilvl w:val="0"/>
          <w:numId w:val="9"/>
        </w:num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Leisti atsiimti 25 proc. sukauptų lėšų, jei šia teise nebuvo pasinaudota iki sulaukiant senatvės pensinio amžiaus. Išmokamos lėšos neatleistų nuo anuiteto prievolės tuos, kurie pasiekė minimalią privalomo anuiteto ribą.</w:t>
      </w:r>
    </w:p>
    <w:p w14:paraId="13D622EE" w14:textId="77777777" w:rsidR="000D37D1"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b/>
          <w:bCs/>
          <w:kern w:val="2"/>
          <w:sz w:val="24"/>
          <w:szCs w:val="24"/>
          <w14:ligatures w14:val="standardContextual"/>
        </w:rPr>
        <w:t>Visa informacija – vienoje vietoje</w:t>
      </w:r>
      <w:r w:rsidRPr="000D37D1">
        <w:rPr>
          <w:rFonts w:ascii="Aptos" w:eastAsia="Aptos" w:hAnsi="Aptos" w:cs="Times New Roman"/>
          <w:kern w:val="2"/>
          <w:sz w:val="24"/>
          <w:szCs w:val="24"/>
          <w14:ligatures w14:val="standardContextual"/>
        </w:rPr>
        <w:t> </w:t>
      </w:r>
    </w:p>
    <w:p w14:paraId="35A1FFD9" w14:textId="434635F3" w:rsidR="001D54BD" w:rsidRPr="000D37D1" w:rsidRDefault="000D37D1" w:rsidP="000D37D1">
      <w:pPr>
        <w:spacing w:after="160" w:line="259" w:lineRule="auto"/>
        <w:jc w:val="both"/>
        <w:rPr>
          <w:rFonts w:ascii="Aptos" w:eastAsia="Aptos" w:hAnsi="Aptos" w:cs="Times New Roman"/>
          <w:kern w:val="2"/>
          <w:sz w:val="24"/>
          <w:szCs w:val="24"/>
          <w14:ligatures w14:val="standardContextual"/>
        </w:rPr>
      </w:pPr>
      <w:r w:rsidRPr="000D37D1">
        <w:rPr>
          <w:rFonts w:ascii="Aptos" w:eastAsia="Aptos" w:hAnsi="Aptos" w:cs="Times New Roman"/>
          <w:kern w:val="2"/>
          <w:sz w:val="24"/>
          <w:szCs w:val="24"/>
          <w14:ligatures w14:val="standardContextual"/>
        </w:rPr>
        <w:t>Siūloma, kad atnaujintas „Sodros“ informacinis portalas gyventojams leistų gauti pilną informaciją apie visose pensijų pakopose įgytas pensijų teises. Taip pat čia atsirastų kvietimas prisijungti prie antros pakopos pensijų kaupimo, koreguoti, stabdyti ar atnaujinti įmokas, galimybė palyginti pensijų fondus, apskaičiuoti prognozuojamą pensiją, išmokų dydžius iš antros pakopos pensijų fondų iki ir po pensinio amžiaus bei gauti kitą reikalingą informaciją.</w:t>
      </w:r>
    </w:p>
    <w:sectPr w:rsidR="001D54BD" w:rsidRPr="000D37D1"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5D3A5" w14:textId="77777777" w:rsidR="00125577" w:rsidRDefault="00125577" w:rsidP="00035D54">
      <w:pPr>
        <w:spacing w:after="0" w:line="240" w:lineRule="auto"/>
      </w:pPr>
      <w:r>
        <w:separator/>
      </w:r>
    </w:p>
  </w:endnote>
  <w:endnote w:type="continuationSeparator" w:id="0">
    <w:p w14:paraId="53EE5177" w14:textId="77777777" w:rsidR="00125577" w:rsidRDefault="00125577"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8C0D2" w14:textId="77777777" w:rsidR="00125577" w:rsidRDefault="00125577" w:rsidP="00035D54">
      <w:pPr>
        <w:spacing w:after="0" w:line="240" w:lineRule="auto"/>
      </w:pPr>
      <w:r>
        <w:separator/>
      </w:r>
    </w:p>
  </w:footnote>
  <w:footnote w:type="continuationSeparator" w:id="0">
    <w:p w14:paraId="1717930A" w14:textId="77777777" w:rsidR="00125577" w:rsidRDefault="00125577"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610429"/>
    <w:multiLevelType w:val="multilevel"/>
    <w:tmpl w:val="71C89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CC786A"/>
    <w:multiLevelType w:val="hybridMultilevel"/>
    <w:tmpl w:val="AF7CC09A"/>
    <w:lvl w:ilvl="0" w:tplc="58D2F104">
      <w:start w:val="1"/>
      <w:numFmt w:val="decimal"/>
      <w:lvlText w:val="%1."/>
      <w:lvlJc w:val="left"/>
      <w:pPr>
        <w:ind w:left="720" w:hanging="360"/>
      </w:pPr>
    </w:lvl>
    <w:lvl w:ilvl="1" w:tplc="A73899E6">
      <w:start w:val="1"/>
      <w:numFmt w:val="lowerLetter"/>
      <w:lvlText w:val="%2."/>
      <w:lvlJc w:val="left"/>
      <w:pPr>
        <w:ind w:left="1440" w:hanging="360"/>
      </w:pPr>
    </w:lvl>
    <w:lvl w:ilvl="2" w:tplc="AC384E5A">
      <w:start w:val="1"/>
      <w:numFmt w:val="lowerRoman"/>
      <w:lvlText w:val="%3."/>
      <w:lvlJc w:val="right"/>
      <w:pPr>
        <w:ind w:left="2160" w:hanging="180"/>
      </w:pPr>
    </w:lvl>
    <w:lvl w:ilvl="3" w:tplc="4894E858">
      <w:start w:val="1"/>
      <w:numFmt w:val="decimal"/>
      <w:lvlText w:val="%4."/>
      <w:lvlJc w:val="left"/>
      <w:pPr>
        <w:ind w:left="2880" w:hanging="360"/>
      </w:pPr>
    </w:lvl>
    <w:lvl w:ilvl="4" w:tplc="1812D056">
      <w:start w:val="1"/>
      <w:numFmt w:val="lowerLetter"/>
      <w:lvlText w:val="%5."/>
      <w:lvlJc w:val="left"/>
      <w:pPr>
        <w:ind w:left="3600" w:hanging="360"/>
      </w:pPr>
    </w:lvl>
    <w:lvl w:ilvl="5" w:tplc="EB64FECA">
      <w:start w:val="1"/>
      <w:numFmt w:val="lowerRoman"/>
      <w:lvlText w:val="%6."/>
      <w:lvlJc w:val="right"/>
      <w:pPr>
        <w:ind w:left="4320" w:hanging="180"/>
      </w:pPr>
    </w:lvl>
    <w:lvl w:ilvl="6" w:tplc="44EC685C">
      <w:start w:val="1"/>
      <w:numFmt w:val="decimal"/>
      <w:lvlText w:val="%7."/>
      <w:lvlJc w:val="left"/>
      <w:pPr>
        <w:ind w:left="5040" w:hanging="360"/>
      </w:pPr>
    </w:lvl>
    <w:lvl w:ilvl="7" w:tplc="ECD2ED34">
      <w:start w:val="1"/>
      <w:numFmt w:val="lowerLetter"/>
      <w:lvlText w:val="%8."/>
      <w:lvlJc w:val="left"/>
      <w:pPr>
        <w:ind w:left="5760" w:hanging="360"/>
      </w:pPr>
    </w:lvl>
    <w:lvl w:ilvl="8" w:tplc="98125736">
      <w:start w:val="1"/>
      <w:numFmt w:val="lowerRoman"/>
      <w:lvlText w:val="%9."/>
      <w:lvlJc w:val="right"/>
      <w:pPr>
        <w:ind w:left="6480" w:hanging="180"/>
      </w:pPr>
    </w:lvl>
  </w:abstractNum>
  <w:abstractNum w:abstractNumId="3" w15:restartNumberingAfterBreak="0">
    <w:nsid w:val="278C625D"/>
    <w:multiLevelType w:val="hybridMultilevel"/>
    <w:tmpl w:val="854C1890"/>
    <w:lvl w:ilvl="0" w:tplc="FEAA471C">
      <w:start w:val="1"/>
      <w:numFmt w:val="bullet"/>
      <w:lvlText w:val=""/>
      <w:lvlJc w:val="left"/>
      <w:pPr>
        <w:tabs>
          <w:tab w:val="num" w:pos="720"/>
        </w:tabs>
        <w:ind w:left="720" w:hanging="360"/>
      </w:pPr>
      <w:rPr>
        <w:rFonts w:ascii="Symbol" w:hAnsi="Symbol" w:hint="default"/>
        <w:sz w:val="20"/>
      </w:rPr>
    </w:lvl>
    <w:lvl w:ilvl="1" w:tplc="79E6C9FA" w:tentative="1">
      <w:start w:val="1"/>
      <w:numFmt w:val="bullet"/>
      <w:lvlText w:val=""/>
      <w:lvlJc w:val="left"/>
      <w:pPr>
        <w:tabs>
          <w:tab w:val="num" w:pos="1440"/>
        </w:tabs>
        <w:ind w:left="1440" w:hanging="360"/>
      </w:pPr>
      <w:rPr>
        <w:rFonts w:ascii="Symbol" w:hAnsi="Symbol" w:hint="default"/>
        <w:sz w:val="20"/>
      </w:rPr>
    </w:lvl>
    <w:lvl w:ilvl="2" w:tplc="36B04C56" w:tentative="1">
      <w:start w:val="1"/>
      <w:numFmt w:val="bullet"/>
      <w:lvlText w:val=""/>
      <w:lvlJc w:val="left"/>
      <w:pPr>
        <w:tabs>
          <w:tab w:val="num" w:pos="2160"/>
        </w:tabs>
        <w:ind w:left="2160" w:hanging="360"/>
      </w:pPr>
      <w:rPr>
        <w:rFonts w:ascii="Symbol" w:hAnsi="Symbol" w:hint="default"/>
        <w:sz w:val="20"/>
      </w:rPr>
    </w:lvl>
    <w:lvl w:ilvl="3" w:tplc="15608550" w:tentative="1">
      <w:start w:val="1"/>
      <w:numFmt w:val="bullet"/>
      <w:lvlText w:val=""/>
      <w:lvlJc w:val="left"/>
      <w:pPr>
        <w:tabs>
          <w:tab w:val="num" w:pos="2880"/>
        </w:tabs>
        <w:ind w:left="2880" w:hanging="360"/>
      </w:pPr>
      <w:rPr>
        <w:rFonts w:ascii="Symbol" w:hAnsi="Symbol" w:hint="default"/>
        <w:sz w:val="20"/>
      </w:rPr>
    </w:lvl>
    <w:lvl w:ilvl="4" w:tplc="F5FA19B0" w:tentative="1">
      <w:start w:val="1"/>
      <w:numFmt w:val="bullet"/>
      <w:lvlText w:val=""/>
      <w:lvlJc w:val="left"/>
      <w:pPr>
        <w:tabs>
          <w:tab w:val="num" w:pos="3600"/>
        </w:tabs>
        <w:ind w:left="3600" w:hanging="360"/>
      </w:pPr>
      <w:rPr>
        <w:rFonts w:ascii="Symbol" w:hAnsi="Symbol" w:hint="default"/>
        <w:sz w:val="20"/>
      </w:rPr>
    </w:lvl>
    <w:lvl w:ilvl="5" w:tplc="B5B099B0" w:tentative="1">
      <w:start w:val="1"/>
      <w:numFmt w:val="bullet"/>
      <w:lvlText w:val=""/>
      <w:lvlJc w:val="left"/>
      <w:pPr>
        <w:tabs>
          <w:tab w:val="num" w:pos="4320"/>
        </w:tabs>
        <w:ind w:left="4320" w:hanging="360"/>
      </w:pPr>
      <w:rPr>
        <w:rFonts w:ascii="Symbol" w:hAnsi="Symbol" w:hint="default"/>
        <w:sz w:val="20"/>
      </w:rPr>
    </w:lvl>
    <w:lvl w:ilvl="6" w:tplc="A464165C" w:tentative="1">
      <w:start w:val="1"/>
      <w:numFmt w:val="bullet"/>
      <w:lvlText w:val=""/>
      <w:lvlJc w:val="left"/>
      <w:pPr>
        <w:tabs>
          <w:tab w:val="num" w:pos="5040"/>
        </w:tabs>
        <w:ind w:left="5040" w:hanging="360"/>
      </w:pPr>
      <w:rPr>
        <w:rFonts w:ascii="Symbol" w:hAnsi="Symbol" w:hint="default"/>
        <w:sz w:val="20"/>
      </w:rPr>
    </w:lvl>
    <w:lvl w:ilvl="7" w:tplc="31A63C2E" w:tentative="1">
      <w:start w:val="1"/>
      <w:numFmt w:val="bullet"/>
      <w:lvlText w:val=""/>
      <w:lvlJc w:val="left"/>
      <w:pPr>
        <w:tabs>
          <w:tab w:val="num" w:pos="5760"/>
        </w:tabs>
        <w:ind w:left="5760" w:hanging="360"/>
      </w:pPr>
      <w:rPr>
        <w:rFonts w:ascii="Symbol" w:hAnsi="Symbol" w:hint="default"/>
        <w:sz w:val="20"/>
      </w:rPr>
    </w:lvl>
    <w:lvl w:ilvl="8" w:tplc="FBE8B1D0"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110EBA"/>
    <w:multiLevelType w:val="multilevel"/>
    <w:tmpl w:val="4D76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FE368F"/>
    <w:multiLevelType w:val="multilevel"/>
    <w:tmpl w:val="A1FCE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99E0812"/>
    <w:multiLevelType w:val="multilevel"/>
    <w:tmpl w:val="89CA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B8324A7"/>
    <w:multiLevelType w:val="multilevel"/>
    <w:tmpl w:val="CD26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6E3305"/>
    <w:multiLevelType w:val="multilevel"/>
    <w:tmpl w:val="2B8E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2632675">
    <w:abstractNumId w:val="0"/>
  </w:num>
  <w:num w:numId="2" w16cid:durableId="1429807741">
    <w:abstractNumId w:val="2"/>
  </w:num>
  <w:num w:numId="3" w16cid:durableId="586501522">
    <w:abstractNumId w:val="6"/>
  </w:num>
  <w:num w:numId="4" w16cid:durableId="802305474">
    <w:abstractNumId w:val="4"/>
  </w:num>
  <w:num w:numId="5" w16cid:durableId="1017078165">
    <w:abstractNumId w:val="3"/>
  </w:num>
  <w:num w:numId="6" w16cid:durableId="1567453648">
    <w:abstractNumId w:val="7"/>
  </w:num>
  <w:num w:numId="7" w16cid:durableId="1074931411">
    <w:abstractNumId w:val="1"/>
  </w:num>
  <w:num w:numId="8" w16cid:durableId="1893227500">
    <w:abstractNumId w:val="5"/>
  </w:num>
  <w:num w:numId="9" w16cid:durableId="722439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0689B"/>
    <w:rsid w:val="00010DBE"/>
    <w:rsid w:val="00035D54"/>
    <w:rsid w:val="0009567E"/>
    <w:rsid w:val="000B0938"/>
    <w:rsid w:val="000D37D1"/>
    <w:rsid w:val="000F7ACA"/>
    <w:rsid w:val="0012057D"/>
    <w:rsid w:val="00125577"/>
    <w:rsid w:val="001266F6"/>
    <w:rsid w:val="001424B5"/>
    <w:rsid w:val="0015014E"/>
    <w:rsid w:val="0015304C"/>
    <w:rsid w:val="001578D0"/>
    <w:rsid w:val="00170567"/>
    <w:rsid w:val="00173BB7"/>
    <w:rsid w:val="001763C9"/>
    <w:rsid w:val="001B36DF"/>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47527"/>
    <w:rsid w:val="00475654"/>
    <w:rsid w:val="004C3F67"/>
    <w:rsid w:val="004E4B81"/>
    <w:rsid w:val="00507121"/>
    <w:rsid w:val="00515C3A"/>
    <w:rsid w:val="005164CA"/>
    <w:rsid w:val="00527DC4"/>
    <w:rsid w:val="00540696"/>
    <w:rsid w:val="0056330D"/>
    <w:rsid w:val="00615D97"/>
    <w:rsid w:val="00632171"/>
    <w:rsid w:val="006423E6"/>
    <w:rsid w:val="0067043A"/>
    <w:rsid w:val="006C4470"/>
    <w:rsid w:val="006E27D9"/>
    <w:rsid w:val="00756DC6"/>
    <w:rsid w:val="007725F2"/>
    <w:rsid w:val="007A3C23"/>
    <w:rsid w:val="007D37C1"/>
    <w:rsid w:val="007F1FB2"/>
    <w:rsid w:val="00854A68"/>
    <w:rsid w:val="009453A2"/>
    <w:rsid w:val="009A34AC"/>
    <w:rsid w:val="009E657D"/>
    <w:rsid w:val="009F507B"/>
    <w:rsid w:val="00A501B1"/>
    <w:rsid w:val="00B15C0A"/>
    <w:rsid w:val="00B226D7"/>
    <w:rsid w:val="00B34CD2"/>
    <w:rsid w:val="00B8360A"/>
    <w:rsid w:val="00BA6502"/>
    <w:rsid w:val="00C425CB"/>
    <w:rsid w:val="00CD76BE"/>
    <w:rsid w:val="00D23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71131">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3016</Words>
  <Characters>1720</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2025-03-30T17:40:00Z</dcterms:created>
  <dcterms:modified xsi:type="dcterms:W3CDTF">2025-03-30T17:40:00Z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e1518665c65bdeb2ab8f727026e98e5af419f2d9178569449a4815fce569ca05</vt:lpwstr>
  </property>
</Properties>
</file>