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F1EF8A5" w:rsidR="0063043B" w:rsidRPr="003F6AE9" w:rsidRDefault="00635398" w:rsidP="00BC00D3">
      <w:pPr>
        <w:widowControl w:val="0"/>
        <w:suppressAutoHyphens/>
        <w:rPr>
          <w:rFonts w:ascii="Segoe UI" w:eastAsia="Segoe UI" w:hAnsi="Segoe UI" w:cs="Segoe UI"/>
        </w:rPr>
      </w:pPr>
      <w:bookmarkStart w:id="0" w:name="_Hlk195788907"/>
      <w:r w:rsidRPr="003F6AE9">
        <w:rPr>
          <w:rFonts w:ascii="Segoe UI" w:eastAsia="Segoe UI" w:hAnsi="Segoe UI" w:cs="Segoe UI"/>
        </w:rPr>
        <w:t>PRANEŠIMAS ŽINIASKLAIDAI</w:t>
      </w:r>
      <w:r w:rsidRPr="003F6AE9">
        <w:rPr>
          <w:rFonts w:ascii="Segoe UI" w:eastAsia="Segoe UI" w:hAnsi="Segoe UI" w:cs="Segoe UI"/>
        </w:rPr>
        <w:br/>
        <w:t xml:space="preserve">2025 m. </w:t>
      </w:r>
      <w:r w:rsidR="001956B5">
        <w:rPr>
          <w:rFonts w:ascii="Segoe UI" w:eastAsia="Segoe UI" w:hAnsi="Segoe UI" w:cs="Segoe UI"/>
        </w:rPr>
        <w:t>balandžio</w:t>
      </w:r>
      <w:r w:rsidR="00920F58">
        <w:rPr>
          <w:rFonts w:ascii="Segoe UI" w:eastAsia="Segoe UI" w:hAnsi="Segoe UI" w:cs="Segoe UI"/>
          <w:color w:val="auto"/>
          <w:u w:color="ED7D31"/>
        </w:rPr>
        <w:t xml:space="preserve"> 18</w:t>
      </w:r>
      <w:r w:rsidRPr="003F6AE9">
        <w:rPr>
          <w:rFonts w:ascii="Segoe UI" w:eastAsia="Segoe UI" w:hAnsi="Segoe UI" w:cs="Segoe UI"/>
          <w:color w:val="auto"/>
        </w:rPr>
        <w:t xml:space="preserve"> d</w:t>
      </w:r>
      <w:r w:rsidRPr="003F6AE9">
        <w:rPr>
          <w:rFonts w:ascii="Segoe UI" w:eastAsia="Segoe UI" w:hAnsi="Segoe UI" w:cs="Segoe UI"/>
        </w:rPr>
        <w:t>.</w:t>
      </w:r>
    </w:p>
    <w:p w14:paraId="30E04590" w14:textId="2A36CF67" w:rsidR="00896F10" w:rsidRPr="00BC07BB" w:rsidRDefault="004B0150" w:rsidP="00BC00D3">
      <w:pPr>
        <w:pStyle w:val="Default"/>
        <w:widowControl w:val="0"/>
        <w:suppressAutoHyphens/>
        <w:spacing w:after="240"/>
        <w:jc w:val="both"/>
        <w:rPr>
          <w:rFonts w:ascii="Segoe UI" w:eastAsia="Segoe UI" w:hAnsi="Segoe UI" w:cs="Segoe UI"/>
          <w:b/>
          <w:bCs/>
          <w:sz w:val="28"/>
          <w:szCs w:val="28"/>
          <w:lang w:val="en-US"/>
        </w:rPr>
      </w:pPr>
      <w:r w:rsidRPr="004B0150">
        <w:rPr>
          <w:rFonts w:ascii="Segoe UI" w:eastAsia="Segoe UI" w:hAnsi="Segoe UI" w:cs="Segoe UI"/>
          <w:b/>
          <w:bCs/>
          <w:sz w:val="28"/>
          <w:szCs w:val="28"/>
        </w:rPr>
        <w:t>Atostogos svetur: dažna klaida, dėl kurios permoka</w:t>
      </w:r>
      <w:r>
        <w:rPr>
          <w:rFonts w:ascii="Segoe UI" w:eastAsia="Segoe UI" w:hAnsi="Segoe UI" w:cs="Segoe UI"/>
          <w:b/>
          <w:bCs/>
          <w:sz w:val="28"/>
          <w:szCs w:val="28"/>
        </w:rPr>
        <w:t>t</w:t>
      </w:r>
      <w:r w:rsidRPr="004B0150">
        <w:rPr>
          <w:rFonts w:ascii="Segoe UI" w:eastAsia="Segoe UI" w:hAnsi="Segoe UI" w:cs="Segoe UI"/>
          <w:b/>
          <w:bCs/>
          <w:sz w:val="28"/>
          <w:szCs w:val="28"/>
        </w:rPr>
        <w:t>e atsiskaitydami k</w:t>
      </w:r>
      <w:r w:rsidR="00B862E8">
        <w:rPr>
          <w:rFonts w:ascii="Segoe UI" w:eastAsia="Segoe UI" w:hAnsi="Segoe UI" w:cs="Segoe UI"/>
          <w:b/>
          <w:bCs/>
          <w:sz w:val="28"/>
          <w:szCs w:val="28"/>
        </w:rPr>
        <w:t>or</w:t>
      </w:r>
      <w:r w:rsidRPr="004B0150">
        <w:rPr>
          <w:rFonts w:ascii="Segoe UI" w:eastAsia="Segoe UI" w:hAnsi="Segoe UI" w:cs="Segoe UI"/>
          <w:b/>
          <w:bCs/>
          <w:sz w:val="28"/>
          <w:szCs w:val="28"/>
        </w:rPr>
        <w:t>tele</w:t>
      </w:r>
    </w:p>
    <w:p w14:paraId="55A75478" w14:textId="5E6EC4DD" w:rsidR="001956B5" w:rsidRPr="0072721C" w:rsidRDefault="001956B5" w:rsidP="00BC00D3">
      <w:pPr>
        <w:pStyle w:val="Default"/>
        <w:widowControl w:val="0"/>
        <w:suppressAutoHyphens/>
        <w:spacing w:after="240"/>
        <w:jc w:val="both"/>
        <w:rPr>
          <w:rFonts w:ascii="Segoe UI" w:eastAsia="Segoe UI" w:hAnsi="Segoe UI" w:cs="Segoe UI"/>
          <w:b/>
          <w:bCs/>
        </w:rPr>
      </w:pPr>
      <w:r w:rsidRPr="0072721C">
        <w:rPr>
          <w:rFonts w:ascii="Segoe UI" w:eastAsia="Segoe UI" w:hAnsi="Segoe UI" w:cs="Segoe UI"/>
          <w:b/>
          <w:bCs/>
        </w:rPr>
        <w:t>Atėjus pavasariui vis dažniau planuojame išvykas svetur</w:t>
      </w:r>
      <w:r w:rsidR="004B0150" w:rsidRPr="0072721C">
        <w:rPr>
          <w:rFonts w:ascii="Segoe UI" w:eastAsia="Segoe UI" w:hAnsi="Segoe UI" w:cs="Segoe UI"/>
          <w:b/>
          <w:bCs/>
        </w:rPr>
        <w:t xml:space="preserve">. </w:t>
      </w:r>
      <w:r w:rsidR="0094055D" w:rsidRPr="0072721C">
        <w:rPr>
          <w:rFonts w:ascii="Segoe UI" w:eastAsia="Segoe UI" w:hAnsi="Segoe UI" w:cs="Segoe UI"/>
          <w:b/>
          <w:bCs/>
        </w:rPr>
        <w:t xml:space="preserve">„Luminor“ banko </w:t>
      </w:r>
      <w:r w:rsidR="004B0150" w:rsidRPr="0072721C">
        <w:rPr>
          <w:rFonts w:ascii="Segoe UI" w:eastAsia="Segoe UI" w:hAnsi="Segoe UI" w:cs="Segoe UI"/>
          <w:b/>
          <w:bCs/>
        </w:rPr>
        <w:t>k</w:t>
      </w:r>
      <w:r w:rsidR="0094055D" w:rsidRPr="0072721C">
        <w:rPr>
          <w:rFonts w:ascii="Segoe UI" w:eastAsia="Segoe UI" w:hAnsi="Segoe UI" w:cs="Segoe UI"/>
          <w:b/>
          <w:bCs/>
        </w:rPr>
        <w:t>asdienės bankininkystės vadovė Aušrinė Mincienė</w:t>
      </w:r>
      <w:r w:rsidRPr="0072721C">
        <w:rPr>
          <w:rFonts w:ascii="Segoe UI" w:eastAsia="Segoe UI" w:hAnsi="Segoe UI" w:cs="Segoe UI"/>
          <w:b/>
          <w:bCs/>
        </w:rPr>
        <w:t xml:space="preserve"> primena </w:t>
      </w:r>
      <w:r w:rsidRPr="001956B5">
        <w:rPr>
          <w:rFonts w:ascii="Segoe UI" w:eastAsia="Segoe UI" w:hAnsi="Segoe UI" w:cs="Segoe UI"/>
          <w:b/>
          <w:bCs/>
        </w:rPr>
        <w:t xml:space="preserve">– keliaujant į ne euro zonos šalis atsiskaitymo </w:t>
      </w:r>
      <w:r w:rsidRPr="0072721C">
        <w:rPr>
          <w:rFonts w:ascii="Segoe UI" w:eastAsia="Segoe UI" w:hAnsi="Segoe UI" w:cs="Segoe UI"/>
          <w:b/>
          <w:bCs/>
        </w:rPr>
        <w:t xml:space="preserve">banko </w:t>
      </w:r>
      <w:r w:rsidRPr="001956B5">
        <w:rPr>
          <w:rFonts w:ascii="Segoe UI" w:eastAsia="Segoe UI" w:hAnsi="Segoe UI" w:cs="Segoe UI"/>
          <w:b/>
          <w:bCs/>
        </w:rPr>
        <w:t xml:space="preserve">kortele metu verta pasirinkti vietinę valiutą. Priešingu atveju, </w:t>
      </w:r>
      <w:r w:rsidRPr="0072721C">
        <w:rPr>
          <w:rFonts w:ascii="Segoe UI" w:eastAsia="Segoe UI" w:hAnsi="Segoe UI" w:cs="Segoe UI"/>
          <w:b/>
          <w:bCs/>
        </w:rPr>
        <w:t>galime</w:t>
      </w:r>
      <w:r w:rsidR="004B0150" w:rsidRPr="0072721C">
        <w:rPr>
          <w:rFonts w:ascii="Segoe UI" w:eastAsia="Segoe UI" w:hAnsi="Segoe UI" w:cs="Segoe UI"/>
          <w:b/>
          <w:bCs/>
        </w:rPr>
        <w:t xml:space="preserve"> keliais procentais</w:t>
      </w:r>
      <w:r w:rsidRPr="0072721C">
        <w:rPr>
          <w:rFonts w:ascii="Segoe UI" w:eastAsia="Segoe UI" w:hAnsi="Segoe UI" w:cs="Segoe UI"/>
          <w:b/>
          <w:bCs/>
        </w:rPr>
        <w:t xml:space="preserve"> permokėti </w:t>
      </w:r>
      <w:r w:rsidRPr="001956B5">
        <w:rPr>
          <w:rFonts w:ascii="Segoe UI" w:eastAsia="Segoe UI" w:hAnsi="Segoe UI" w:cs="Segoe UI"/>
          <w:b/>
          <w:bCs/>
        </w:rPr>
        <w:t>net ir už nedidelį pirkinių krepšelį</w:t>
      </w:r>
      <w:r w:rsidRPr="0072721C">
        <w:rPr>
          <w:rFonts w:ascii="Segoe UI" w:eastAsia="Segoe UI" w:hAnsi="Segoe UI" w:cs="Segoe UI"/>
          <w:b/>
          <w:bCs/>
        </w:rPr>
        <w:t>.</w:t>
      </w:r>
    </w:p>
    <w:p w14:paraId="40005D4D" w14:textId="7A09D0CC" w:rsidR="004B0150" w:rsidRPr="001956B5" w:rsidRDefault="004B0150" w:rsidP="00BC00D3">
      <w:pPr>
        <w:pStyle w:val="Default"/>
        <w:widowControl w:val="0"/>
        <w:suppressAutoHyphens/>
        <w:spacing w:after="240"/>
        <w:jc w:val="both"/>
        <w:rPr>
          <w:rFonts w:ascii="Segoe UI" w:eastAsia="Segoe UI" w:hAnsi="Segoe UI" w:cs="Segoe UI"/>
          <w:b/>
          <w:bCs/>
          <w:lang w:val="en-US"/>
        </w:rPr>
      </w:pPr>
      <w:r w:rsidRPr="0072721C">
        <w:rPr>
          <w:rFonts w:ascii="Segoe UI" w:eastAsia="Segoe UI" w:hAnsi="Segoe UI" w:cs="Segoe UI"/>
          <w:b/>
          <w:bCs/>
        </w:rPr>
        <w:t>Kaip atsiskaityti esant užsienyje</w:t>
      </w:r>
    </w:p>
    <w:p w14:paraId="16D6C4D0" w14:textId="52028879" w:rsidR="004B0150" w:rsidRPr="0072721C" w:rsidRDefault="001956B5" w:rsidP="00BC00D3">
      <w:pPr>
        <w:pStyle w:val="Default"/>
        <w:widowControl w:val="0"/>
        <w:suppressAutoHyphens/>
        <w:spacing w:after="240"/>
        <w:jc w:val="both"/>
        <w:rPr>
          <w:rFonts w:ascii="Segoe UI" w:eastAsia="Segoe UI" w:hAnsi="Segoe UI" w:cs="Segoe UI"/>
        </w:rPr>
      </w:pPr>
      <w:r w:rsidRPr="001956B5">
        <w:rPr>
          <w:rFonts w:ascii="Segoe UI" w:eastAsia="Segoe UI" w:hAnsi="Segoe UI" w:cs="Segoe UI"/>
        </w:rPr>
        <w:t>Viena dažniausių klaidų, kurią keliautojai daro atsiskaitydami užsienyje – pasirenka atsiskaityti eurais, kai terminalas ar bankomatas leidžia rinktis valiutą</w:t>
      </w:r>
      <w:r w:rsidR="004B0150" w:rsidRPr="0072721C">
        <w:rPr>
          <w:rFonts w:ascii="Segoe UI" w:eastAsia="Segoe UI" w:hAnsi="Segoe UI" w:cs="Segoe UI"/>
        </w:rPr>
        <w:t>, pažymi ekspertė.</w:t>
      </w:r>
    </w:p>
    <w:p w14:paraId="0F6066A0" w14:textId="10396A53" w:rsidR="001956B5" w:rsidRPr="0072721C" w:rsidRDefault="004B0150" w:rsidP="00BC00D3">
      <w:pPr>
        <w:pStyle w:val="Default"/>
        <w:widowControl w:val="0"/>
        <w:suppressAutoHyphens/>
        <w:spacing w:after="240"/>
        <w:jc w:val="both"/>
        <w:rPr>
          <w:rFonts w:ascii="Segoe UI" w:eastAsia="Segoe UI" w:hAnsi="Segoe UI" w:cs="Segoe UI"/>
        </w:rPr>
      </w:pPr>
      <w:r w:rsidRPr="0072721C">
        <w:rPr>
          <w:rFonts w:ascii="Segoe UI" w:eastAsia="Segoe UI" w:hAnsi="Segoe UI" w:cs="Segoe UI"/>
        </w:rPr>
        <w:t>„</w:t>
      </w:r>
      <w:r w:rsidR="001956B5" w:rsidRPr="001956B5">
        <w:rPr>
          <w:rFonts w:ascii="Segoe UI" w:eastAsia="Segoe UI" w:hAnsi="Segoe UI" w:cs="Segoe UI"/>
        </w:rPr>
        <w:t>Taip, atrodo, patogiau – juk sąskait</w:t>
      </w:r>
      <w:r w:rsidRPr="0072721C">
        <w:rPr>
          <w:rFonts w:ascii="Segoe UI" w:eastAsia="Segoe UI" w:hAnsi="Segoe UI" w:cs="Segoe UI"/>
        </w:rPr>
        <w:t>oje pinigus laikome</w:t>
      </w:r>
      <w:r w:rsidR="001956B5" w:rsidRPr="001956B5">
        <w:rPr>
          <w:rFonts w:ascii="Segoe UI" w:eastAsia="Segoe UI" w:hAnsi="Segoe UI" w:cs="Segoe UI"/>
        </w:rPr>
        <w:t xml:space="preserve"> eurais. Tačiau tokiu atveju valiutos konvertavimo mokesčius </w:t>
      </w:r>
      <w:r w:rsidRPr="0072721C">
        <w:rPr>
          <w:rFonts w:ascii="Segoe UI" w:eastAsia="Segoe UI" w:hAnsi="Segoe UI" w:cs="Segoe UI"/>
        </w:rPr>
        <w:t>pri</w:t>
      </w:r>
      <w:r w:rsidR="001956B5" w:rsidRPr="001956B5">
        <w:rPr>
          <w:rFonts w:ascii="Segoe UI" w:eastAsia="Segoe UI" w:hAnsi="Segoe UI" w:cs="Segoe UI"/>
        </w:rPr>
        <w:t xml:space="preserve">taiko </w:t>
      </w:r>
      <w:r w:rsidRPr="0072721C">
        <w:rPr>
          <w:rFonts w:ascii="Segoe UI" w:eastAsia="Segoe UI" w:hAnsi="Segoe UI" w:cs="Segoe UI"/>
        </w:rPr>
        <w:t>vietinė finansų įstaiga</w:t>
      </w:r>
      <w:r w:rsidR="001956B5" w:rsidRPr="001956B5">
        <w:rPr>
          <w:rFonts w:ascii="Segoe UI" w:eastAsia="Segoe UI" w:hAnsi="Segoe UI" w:cs="Segoe UI"/>
        </w:rPr>
        <w:t xml:space="preserve">, ir </w:t>
      </w:r>
      <w:r w:rsidRPr="0072721C">
        <w:rPr>
          <w:rFonts w:ascii="Segoe UI" w:eastAsia="Segoe UI" w:hAnsi="Segoe UI" w:cs="Segoe UI"/>
        </w:rPr>
        <w:t>šie mokesčiai</w:t>
      </w:r>
      <w:r w:rsidR="001956B5" w:rsidRPr="001956B5">
        <w:rPr>
          <w:rFonts w:ascii="Segoe UI" w:eastAsia="Segoe UI" w:hAnsi="Segoe UI" w:cs="Segoe UI"/>
        </w:rPr>
        <w:t xml:space="preserve"> dažnai būna gerokai didesni </w:t>
      </w:r>
      <w:r w:rsidR="00635398">
        <w:rPr>
          <w:rFonts w:ascii="Segoe UI" w:eastAsia="Segoe UI" w:hAnsi="Segoe UI" w:cs="Segoe UI"/>
        </w:rPr>
        <w:t xml:space="preserve">(kartais net 2 ar daugiau kartų) </w:t>
      </w:r>
      <w:r w:rsidR="001956B5" w:rsidRPr="001956B5">
        <w:rPr>
          <w:rFonts w:ascii="Segoe UI" w:eastAsia="Segoe UI" w:hAnsi="Segoe UI" w:cs="Segoe UI"/>
        </w:rPr>
        <w:t xml:space="preserve">nei Lietuvos bankų“, – sako „Luminor“ banko </w:t>
      </w:r>
      <w:r w:rsidRPr="0072721C">
        <w:rPr>
          <w:rFonts w:ascii="Segoe UI" w:eastAsia="Segoe UI" w:hAnsi="Segoe UI" w:cs="Segoe UI"/>
        </w:rPr>
        <w:t>k</w:t>
      </w:r>
      <w:r w:rsidR="001956B5" w:rsidRPr="001956B5">
        <w:rPr>
          <w:rFonts w:ascii="Segoe UI" w:eastAsia="Segoe UI" w:hAnsi="Segoe UI" w:cs="Segoe UI"/>
        </w:rPr>
        <w:t>asdienės bankininkystės vadovė</w:t>
      </w:r>
      <w:r w:rsidRPr="0072721C">
        <w:rPr>
          <w:rFonts w:ascii="Segoe UI" w:eastAsia="Segoe UI" w:hAnsi="Segoe UI" w:cs="Segoe UI"/>
        </w:rPr>
        <w:t>.</w:t>
      </w:r>
    </w:p>
    <w:p w14:paraId="004DB23D" w14:textId="5C0C4D27" w:rsidR="001956B5" w:rsidRPr="0072721C" w:rsidRDefault="004B0150" w:rsidP="00BC00D3">
      <w:pPr>
        <w:pStyle w:val="Default"/>
        <w:widowControl w:val="0"/>
        <w:suppressAutoHyphens/>
        <w:spacing w:after="240"/>
        <w:jc w:val="both"/>
        <w:rPr>
          <w:rFonts w:ascii="Segoe UI" w:eastAsia="Segoe UI" w:hAnsi="Segoe UI" w:cs="Segoe UI"/>
        </w:rPr>
      </w:pPr>
      <w:r w:rsidRPr="0072721C">
        <w:rPr>
          <w:rFonts w:ascii="Segoe UI" w:eastAsia="Segoe UI" w:hAnsi="Segoe UI" w:cs="Segoe UI"/>
        </w:rPr>
        <w:t>Tad</w:t>
      </w:r>
      <w:r w:rsidR="001956B5" w:rsidRPr="001956B5">
        <w:rPr>
          <w:rFonts w:ascii="Segoe UI" w:eastAsia="Segoe UI" w:hAnsi="Segoe UI" w:cs="Segoe UI"/>
        </w:rPr>
        <w:t xml:space="preserve"> norint </w:t>
      </w:r>
      <w:r w:rsidRPr="0072721C">
        <w:rPr>
          <w:rFonts w:ascii="Segoe UI" w:eastAsia="Segoe UI" w:hAnsi="Segoe UI" w:cs="Segoe UI"/>
        </w:rPr>
        <w:t xml:space="preserve">kelionėse </w:t>
      </w:r>
      <w:r w:rsidR="001956B5" w:rsidRPr="001956B5">
        <w:rPr>
          <w:rFonts w:ascii="Segoe UI" w:eastAsia="Segoe UI" w:hAnsi="Segoe UI" w:cs="Segoe UI"/>
        </w:rPr>
        <w:t>neišlaidauti be reikalo, atsiskaitymų metu reikėtų visada rinktis vietinę šalies valiutą – taip valiutos konvertavimą atliks jūsų bankas Lietuvoje, kuris dažniausiai taiko mažesnius mokesčius.</w:t>
      </w:r>
    </w:p>
    <w:p w14:paraId="3FBB84C9" w14:textId="7549881B" w:rsidR="001956B5" w:rsidRPr="001956B5" w:rsidRDefault="001956B5" w:rsidP="00BC00D3">
      <w:pPr>
        <w:pStyle w:val="Default"/>
        <w:widowControl w:val="0"/>
        <w:suppressAutoHyphens/>
        <w:spacing w:after="240"/>
        <w:jc w:val="both"/>
        <w:rPr>
          <w:rFonts w:ascii="Segoe UI" w:eastAsia="Segoe UI" w:hAnsi="Segoe UI" w:cs="Segoe UI"/>
          <w:b/>
          <w:bCs/>
          <w:lang w:val="en-US"/>
        </w:rPr>
      </w:pPr>
      <w:r w:rsidRPr="001956B5">
        <w:rPr>
          <w:rFonts w:ascii="Segoe UI" w:eastAsia="Segoe UI" w:hAnsi="Segoe UI" w:cs="Segoe UI"/>
          <w:b/>
          <w:bCs/>
        </w:rPr>
        <w:t>Ką dar svarbu žinoti prieš kelionę</w:t>
      </w:r>
    </w:p>
    <w:p w14:paraId="17E1D676" w14:textId="19CC15D1" w:rsidR="001956B5" w:rsidRPr="0072721C" w:rsidRDefault="001956B5" w:rsidP="00BC00D3">
      <w:pPr>
        <w:pStyle w:val="Default"/>
        <w:widowControl w:val="0"/>
        <w:suppressAutoHyphens/>
        <w:spacing w:after="240"/>
        <w:jc w:val="both"/>
        <w:rPr>
          <w:rFonts w:ascii="Segoe UI" w:eastAsia="Segoe UI" w:hAnsi="Segoe UI" w:cs="Segoe UI"/>
        </w:rPr>
      </w:pPr>
      <w:r w:rsidRPr="001956B5">
        <w:rPr>
          <w:rFonts w:ascii="Segoe UI" w:eastAsia="Segoe UI" w:hAnsi="Segoe UI" w:cs="Segoe UI"/>
        </w:rPr>
        <w:t>Planuojantiems kelionę</w:t>
      </w:r>
      <w:r w:rsidR="004B0150" w:rsidRPr="0072721C">
        <w:rPr>
          <w:rFonts w:ascii="Segoe UI" w:eastAsia="Segoe UI" w:hAnsi="Segoe UI" w:cs="Segoe UI"/>
        </w:rPr>
        <w:t>,</w:t>
      </w:r>
      <w:r w:rsidRPr="001956B5">
        <w:rPr>
          <w:rFonts w:ascii="Segoe UI" w:eastAsia="Segoe UI" w:hAnsi="Segoe UI" w:cs="Segoe UI"/>
        </w:rPr>
        <w:t xml:space="preserve"> A. Mincienė </w:t>
      </w:r>
      <w:r w:rsidR="00E55A98" w:rsidRPr="0072721C">
        <w:rPr>
          <w:rFonts w:ascii="Segoe UI" w:eastAsia="Segoe UI" w:hAnsi="Segoe UI" w:cs="Segoe UI"/>
        </w:rPr>
        <w:t>turi ir papildomų patarimų.</w:t>
      </w:r>
    </w:p>
    <w:p w14:paraId="4DED1AA6" w14:textId="75120C12" w:rsidR="001956B5" w:rsidRPr="0072721C" w:rsidRDefault="004B0150" w:rsidP="00BC00D3">
      <w:pPr>
        <w:pStyle w:val="Default"/>
        <w:widowControl w:val="0"/>
        <w:suppressAutoHyphens/>
        <w:spacing w:after="240"/>
        <w:jc w:val="both"/>
        <w:rPr>
          <w:rFonts w:ascii="Segoe UI" w:eastAsia="Segoe UI" w:hAnsi="Segoe UI" w:cs="Segoe UI"/>
        </w:rPr>
      </w:pPr>
      <w:r w:rsidRPr="0072721C">
        <w:rPr>
          <w:rFonts w:ascii="Segoe UI" w:eastAsia="Segoe UI" w:hAnsi="Segoe UI" w:cs="Segoe UI"/>
        </w:rPr>
        <w:t>„Pirmiausia, t</w:t>
      </w:r>
      <w:r w:rsidR="001956B5" w:rsidRPr="001956B5">
        <w:rPr>
          <w:rFonts w:ascii="Segoe UI" w:eastAsia="Segoe UI" w:hAnsi="Segoe UI" w:cs="Segoe UI"/>
        </w:rPr>
        <w:t xml:space="preserve">urėkite bent dvi </w:t>
      </w:r>
      <w:r w:rsidRPr="0072721C">
        <w:rPr>
          <w:rFonts w:ascii="Segoe UI" w:eastAsia="Segoe UI" w:hAnsi="Segoe UI" w:cs="Segoe UI"/>
        </w:rPr>
        <w:t xml:space="preserve">banko </w:t>
      </w:r>
      <w:r w:rsidR="001956B5" w:rsidRPr="001956B5">
        <w:rPr>
          <w:rFonts w:ascii="Segoe UI" w:eastAsia="Segoe UI" w:hAnsi="Segoe UI" w:cs="Segoe UI"/>
        </w:rPr>
        <w:t>sąskaitas. Viena</w:t>
      </w:r>
      <w:r w:rsidRPr="0072721C">
        <w:rPr>
          <w:rFonts w:ascii="Segoe UI" w:eastAsia="Segoe UI" w:hAnsi="Segoe UI" w:cs="Segoe UI"/>
        </w:rPr>
        <w:t xml:space="preserve">, susieta su mokėjimo kortele, </w:t>
      </w:r>
      <w:r w:rsidR="001956B5" w:rsidRPr="001956B5">
        <w:rPr>
          <w:rFonts w:ascii="Segoe UI" w:eastAsia="Segoe UI" w:hAnsi="Segoe UI" w:cs="Segoe UI"/>
        </w:rPr>
        <w:t xml:space="preserve">gali būti skirta kasdieniams atsiskaitymams, o kita – visam atostogų biudžetui. </w:t>
      </w:r>
      <w:r w:rsidR="00635398">
        <w:rPr>
          <w:rFonts w:ascii="Segoe UI" w:eastAsia="Segoe UI" w:hAnsi="Segoe UI" w:cs="Segoe UI"/>
        </w:rPr>
        <w:t>Taip bus saugiau, o j</w:t>
      </w:r>
      <w:r w:rsidR="001956B5" w:rsidRPr="001956B5">
        <w:rPr>
          <w:rFonts w:ascii="Segoe UI" w:eastAsia="Segoe UI" w:hAnsi="Segoe UI" w:cs="Segoe UI"/>
        </w:rPr>
        <w:t>ei prireiks</w:t>
      </w:r>
      <w:r w:rsidRPr="0072721C">
        <w:rPr>
          <w:rFonts w:ascii="Segoe UI" w:eastAsia="Segoe UI" w:hAnsi="Segoe UI" w:cs="Segoe UI"/>
        </w:rPr>
        <w:t>,</w:t>
      </w:r>
      <w:r w:rsidR="001956B5" w:rsidRPr="001956B5">
        <w:rPr>
          <w:rFonts w:ascii="Segoe UI" w:eastAsia="Segoe UI" w:hAnsi="Segoe UI" w:cs="Segoe UI"/>
        </w:rPr>
        <w:t xml:space="preserve"> vienu paspaudimu galėsite papildyti pagrindinę sąskaitą</w:t>
      </w:r>
      <w:r w:rsidR="00E55A98" w:rsidRPr="0072721C">
        <w:rPr>
          <w:rFonts w:ascii="Segoe UI" w:eastAsia="Segoe UI" w:hAnsi="Segoe UI" w:cs="Segoe UI"/>
        </w:rPr>
        <w:t>“, – pataria ekspertė.</w:t>
      </w:r>
    </w:p>
    <w:p w14:paraId="442DF341" w14:textId="21F4DC9A" w:rsidR="00E55A98" w:rsidRPr="0072721C" w:rsidRDefault="00E55A98" w:rsidP="00BC00D3">
      <w:pPr>
        <w:pStyle w:val="Default"/>
        <w:widowControl w:val="0"/>
        <w:suppressAutoHyphens/>
        <w:spacing w:after="240"/>
        <w:jc w:val="both"/>
        <w:rPr>
          <w:rFonts w:ascii="Segoe UI" w:eastAsia="Segoe UI" w:hAnsi="Segoe UI" w:cs="Segoe UI"/>
        </w:rPr>
      </w:pPr>
      <w:r w:rsidRPr="0072721C">
        <w:rPr>
          <w:rFonts w:ascii="Segoe UI" w:eastAsia="Segoe UI" w:hAnsi="Segoe UI" w:cs="Segoe UI"/>
        </w:rPr>
        <w:t xml:space="preserve">Pasak A. </w:t>
      </w:r>
      <w:proofErr w:type="spellStart"/>
      <w:r w:rsidRPr="0072721C">
        <w:rPr>
          <w:rFonts w:ascii="Segoe UI" w:eastAsia="Segoe UI" w:hAnsi="Segoe UI" w:cs="Segoe UI"/>
        </w:rPr>
        <w:t>Mincienės</w:t>
      </w:r>
      <w:proofErr w:type="spellEnd"/>
      <w:r w:rsidRPr="0072721C">
        <w:rPr>
          <w:rFonts w:ascii="Segoe UI" w:eastAsia="Segoe UI" w:hAnsi="Segoe UI" w:cs="Segoe UI"/>
        </w:rPr>
        <w:t>, prieš vykstant naudinga pasidomėti atsiskaitymo ypatumais šalyje: ar čia vyrauja grynieji pinigai, ar atsiskaitymai banko kortelėmis. Bet kuriuo atveju, keliaujant pravartu su savimi turėti bent šiek tiek grynųjų bei iš anksto susižinoti, kur šalyje bus galima išsigryninti pinigų papildomai, jei tik prireiktų.</w:t>
      </w:r>
    </w:p>
    <w:p w14:paraId="5BAD6FD9" w14:textId="50660AB2" w:rsidR="00E55A98" w:rsidRPr="0072721C" w:rsidRDefault="00E55A98" w:rsidP="00BC00D3">
      <w:pPr>
        <w:pStyle w:val="Default"/>
        <w:widowControl w:val="0"/>
        <w:suppressAutoHyphens/>
        <w:spacing w:after="240"/>
        <w:jc w:val="both"/>
        <w:rPr>
          <w:rFonts w:ascii="Segoe UI" w:eastAsia="Segoe UI" w:hAnsi="Segoe UI" w:cs="Segoe UI"/>
        </w:rPr>
      </w:pPr>
      <w:r w:rsidRPr="0072721C">
        <w:rPr>
          <w:rFonts w:ascii="Segoe UI" w:eastAsia="Segoe UI" w:hAnsi="Segoe UI" w:cs="Segoe UI"/>
        </w:rPr>
        <w:t>„Taip pat svarbu kelionėms rinktis tinkamą mokėjimo kortelę. Keliautojams itin patogi „</w:t>
      </w:r>
      <w:proofErr w:type="spellStart"/>
      <w:r w:rsidRPr="0072721C">
        <w:rPr>
          <w:rFonts w:ascii="Segoe UI" w:eastAsia="Segoe UI" w:hAnsi="Segoe UI" w:cs="Segoe UI"/>
        </w:rPr>
        <w:t>Luminor</w:t>
      </w:r>
      <w:proofErr w:type="spellEnd"/>
      <w:r w:rsidRPr="0072721C">
        <w:rPr>
          <w:rFonts w:ascii="Segoe UI" w:eastAsia="Segoe UI" w:hAnsi="Segoe UI" w:cs="Segoe UI"/>
        </w:rPr>
        <w:t xml:space="preserve"> </w:t>
      </w:r>
      <w:proofErr w:type="spellStart"/>
      <w:r w:rsidRPr="0072721C">
        <w:rPr>
          <w:rFonts w:ascii="Segoe UI" w:eastAsia="Segoe UI" w:hAnsi="Segoe UI" w:cs="Segoe UI"/>
        </w:rPr>
        <w:t>Black</w:t>
      </w:r>
      <w:proofErr w:type="spellEnd"/>
      <w:r w:rsidRPr="0072721C">
        <w:rPr>
          <w:rFonts w:ascii="Segoe UI" w:eastAsia="Segoe UI" w:hAnsi="Segoe UI" w:cs="Segoe UI"/>
        </w:rPr>
        <w:t xml:space="preserve">“ mokėjimo kortelė, </w:t>
      </w:r>
      <w:r w:rsidRPr="00E55A98">
        <w:rPr>
          <w:rFonts w:ascii="Segoe UI" w:eastAsia="Segoe UI" w:hAnsi="Segoe UI" w:cs="Segoe UI"/>
        </w:rPr>
        <w:t>suteikia</w:t>
      </w:r>
      <w:r w:rsidRPr="0072721C">
        <w:rPr>
          <w:rFonts w:ascii="Segoe UI" w:eastAsia="Segoe UI" w:hAnsi="Segoe UI" w:cs="Segoe UI"/>
        </w:rPr>
        <w:t>nti</w:t>
      </w:r>
      <w:r w:rsidRPr="00E55A98">
        <w:rPr>
          <w:rFonts w:ascii="Segoe UI" w:eastAsia="Segoe UI" w:hAnsi="Segoe UI" w:cs="Segoe UI"/>
        </w:rPr>
        <w:t xml:space="preserve"> kelionės draudimą tiek jos savininkui, </w:t>
      </w:r>
      <w:r w:rsidRPr="0072721C">
        <w:rPr>
          <w:rFonts w:ascii="Segoe UI" w:eastAsia="Segoe UI" w:hAnsi="Segoe UI" w:cs="Segoe UI"/>
        </w:rPr>
        <w:t xml:space="preserve">tiek </w:t>
      </w:r>
      <w:r w:rsidRPr="00E55A98">
        <w:rPr>
          <w:rFonts w:ascii="Segoe UI" w:eastAsia="Segoe UI" w:hAnsi="Segoe UI" w:cs="Segoe UI"/>
        </w:rPr>
        <w:t>partneriui</w:t>
      </w:r>
      <w:r w:rsidRPr="0072721C">
        <w:rPr>
          <w:rFonts w:ascii="Segoe UI" w:eastAsia="Segoe UI" w:hAnsi="Segoe UI" w:cs="Segoe UI"/>
        </w:rPr>
        <w:t xml:space="preserve"> bei</w:t>
      </w:r>
      <w:r w:rsidRPr="00E55A98">
        <w:rPr>
          <w:rFonts w:ascii="Segoe UI" w:eastAsia="Segoe UI" w:hAnsi="Segoe UI" w:cs="Segoe UI"/>
        </w:rPr>
        <w:t xml:space="preserve"> kartu keliaujantiems vaikams</w:t>
      </w:r>
      <w:r w:rsidRPr="0072721C">
        <w:rPr>
          <w:rFonts w:ascii="Segoe UI" w:eastAsia="Segoe UI" w:hAnsi="Segoe UI" w:cs="Segoe UI"/>
        </w:rPr>
        <w:t xml:space="preserve"> </w:t>
      </w:r>
      <w:r w:rsidR="00635398">
        <w:rPr>
          <w:rFonts w:ascii="Segoe UI" w:eastAsia="Segoe UI" w:hAnsi="Segoe UI" w:cs="Segoe UI"/>
        </w:rPr>
        <w:t xml:space="preserve">– moksleiviams ir studentams </w:t>
      </w:r>
      <w:r w:rsidRPr="0072721C">
        <w:rPr>
          <w:rFonts w:ascii="Segoe UI" w:eastAsia="Segoe UI" w:hAnsi="Segoe UI" w:cs="Segoe UI"/>
        </w:rPr>
        <w:t xml:space="preserve">iki </w:t>
      </w:r>
      <w:r w:rsidRPr="0072721C">
        <w:rPr>
          <w:rFonts w:ascii="Segoe UI" w:eastAsia="Segoe UI" w:hAnsi="Segoe UI" w:cs="Segoe UI"/>
          <w:lang w:val="en-US"/>
        </w:rPr>
        <w:t>24 met</w:t>
      </w:r>
      <w:r w:rsidRPr="0072721C">
        <w:rPr>
          <w:rFonts w:ascii="Segoe UI" w:eastAsia="Segoe UI" w:hAnsi="Segoe UI" w:cs="Segoe UI"/>
        </w:rPr>
        <w:t>ų“, – pažymi ekspertė.</w:t>
      </w:r>
    </w:p>
    <w:p w14:paraId="36C21CA9" w14:textId="02E481DD" w:rsidR="00E55A98" w:rsidRPr="0072721C" w:rsidRDefault="00E55A98" w:rsidP="00BC00D3">
      <w:pPr>
        <w:pStyle w:val="Default"/>
        <w:widowControl w:val="0"/>
        <w:suppressAutoHyphens/>
        <w:spacing w:after="240"/>
        <w:jc w:val="both"/>
        <w:rPr>
          <w:rFonts w:ascii="Segoe UI" w:eastAsia="Segoe UI" w:hAnsi="Segoe UI" w:cs="Segoe UI"/>
        </w:rPr>
      </w:pPr>
      <w:r w:rsidRPr="0072721C">
        <w:rPr>
          <w:rFonts w:ascii="Segoe UI" w:eastAsia="Segoe UI" w:hAnsi="Segoe UI" w:cs="Segoe UI"/>
        </w:rPr>
        <w:t>Be to, atsiskaitant užsienyje itin svarbu pasirūpinti saugumu.</w:t>
      </w:r>
    </w:p>
    <w:p w14:paraId="7C9E417D" w14:textId="77777777" w:rsidR="00E55A98" w:rsidRPr="00E55A98" w:rsidRDefault="00E55A98" w:rsidP="00BC00D3">
      <w:pPr>
        <w:pStyle w:val="Default"/>
        <w:widowControl w:val="0"/>
        <w:suppressAutoHyphens/>
        <w:spacing w:after="240"/>
        <w:jc w:val="both"/>
        <w:rPr>
          <w:rFonts w:ascii="Segoe UI" w:eastAsia="Segoe UI" w:hAnsi="Segoe UI" w:cs="Segoe UI"/>
        </w:rPr>
      </w:pPr>
    </w:p>
    <w:p w14:paraId="310BF2EE" w14:textId="77777777" w:rsidR="0072721C" w:rsidRPr="0072721C" w:rsidRDefault="00E55A98" w:rsidP="00BC00D3">
      <w:pPr>
        <w:pStyle w:val="Default"/>
        <w:widowControl w:val="0"/>
        <w:suppressAutoHyphens/>
        <w:spacing w:after="240"/>
        <w:jc w:val="both"/>
        <w:rPr>
          <w:rFonts w:ascii="Segoe UI" w:eastAsia="Segoe UI" w:hAnsi="Segoe UI" w:cs="Segoe UI"/>
        </w:rPr>
      </w:pPr>
      <w:r w:rsidRPr="0072721C">
        <w:rPr>
          <w:rFonts w:ascii="Segoe UI" w:eastAsia="Segoe UI" w:hAnsi="Segoe UI" w:cs="Segoe UI"/>
        </w:rPr>
        <w:lastRenderedPageBreak/>
        <w:t>„</w:t>
      </w:r>
      <w:r w:rsidR="001956B5" w:rsidRPr="001956B5">
        <w:rPr>
          <w:rFonts w:ascii="Segoe UI" w:eastAsia="Segoe UI" w:hAnsi="Segoe UI" w:cs="Segoe UI"/>
        </w:rPr>
        <w:t xml:space="preserve">Nelaikykite kortelės kartu su jos PIN kodu. Jei naudojate </w:t>
      </w:r>
      <w:r w:rsidRPr="0072721C">
        <w:rPr>
          <w:rFonts w:ascii="Segoe UI" w:eastAsia="Segoe UI" w:hAnsi="Segoe UI" w:cs="Segoe UI"/>
        </w:rPr>
        <w:t>„</w:t>
      </w:r>
      <w:r w:rsidR="001956B5" w:rsidRPr="001956B5">
        <w:rPr>
          <w:rFonts w:ascii="Segoe UI" w:eastAsia="Segoe UI" w:hAnsi="Segoe UI" w:cs="Segoe UI"/>
        </w:rPr>
        <w:t xml:space="preserve">Apple </w:t>
      </w:r>
      <w:proofErr w:type="spellStart"/>
      <w:r w:rsidR="001956B5" w:rsidRPr="001956B5">
        <w:rPr>
          <w:rFonts w:ascii="Segoe UI" w:eastAsia="Segoe UI" w:hAnsi="Segoe UI" w:cs="Segoe UI"/>
        </w:rPr>
        <w:t>Pay</w:t>
      </w:r>
      <w:proofErr w:type="spellEnd"/>
      <w:r w:rsidRPr="0072721C">
        <w:rPr>
          <w:rFonts w:ascii="Segoe UI" w:eastAsia="Segoe UI" w:hAnsi="Segoe UI" w:cs="Segoe UI"/>
        </w:rPr>
        <w:t>“</w:t>
      </w:r>
      <w:r w:rsidR="001956B5" w:rsidRPr="001956B5">
        <w:rPr>
          <w:rFonts w:ascii="Segoe UI" w:eastAsia="Segoe UI" w:hAnsi="Segoe UI" w:cs="Segoe UI"/>
        </w:rPr>
        <w:t xml:space="preserve"> ar </w:t>
      </w:r>
      <w:r w:rsidRPr="0072721C">
        <w:rPr>
          <w:rFonts w:ascii="Segoe UI" w:eastAsia="Segoe UI" w:hAnsi="Segoe UI" w:cs="Segoe UI"/>
        </w:rPr>
        <w:t>„</w:t>
      </w:r>
      <w:r w:rsidR="001956B5" w:rsidRPr="001956B5">
        <w:rPr>
          <w:rFonts w:ascii="Segoe UI" w:eastAsia="Segoe UI" w:hAnsi="Segoe UI" w:cs="Segoe UI"/>
        </w:rPr>
        <w:t xml:space="preserve">Google </w:t>
      </w:r>
      <w:proofErr w:type="spellStart"/>
      <w:r w:rsidR="001956B5" w:rsidRPr="001956B5">
        <w:rPr>
          <w:rFonts w:ascii="Segoe UI" w:eastAsia="Segoe UI" w:hAnsi="Segoe UI" w:cs="Segoe UI"/>
        </w:rPr>
        <w:t>Pay</w:t>
      </w:r>
      <w:proofErr w:type="spellEnd"/>
      <w:r w:rsidRPr="0072721C">
        <w:rPr>
          <w:rFonts w:ascii="Segoe UI" w:eastAsia="Segoe UI" w:hAnsi="Segoe UI" w:cs="Segoe UI"/>
        </w:rPr>
        <w:t>“</w:t>
      </w:r>
      <w:r w:rsidR="001956B5" w:rsidRPr="001956B5">
        <w:rPr>
          <w:rFonts w:ascii="Segoe UI" w:eastAsia="Segoe UI" w:hAnsi="Segoe UI" w:cs="Segoe UI"/>
        </w:rPr>
        <w:t xml:space="preserve"> – įsitikinkite, kad </w:t>
      </w:r>
      <w:r w:rsidR="0072721C" w:rsidRPr="0072721C">
        <w:rPr>
          <w:rFonts w:ascii="Segoe UI" w:eastAsia="Segoe UI" w:hAnsi="Segoe UI" w:cs="Segoe UI"/>
        </w:rPr>
        <w:t xml:space="preserve">naudojate saugų autentifikacijos metodą. Ir visuomet būkite budrūs. </w:t>
      </w:r>
      <w:r w:rsidR="001956B5" w:rsidRPr="001956B5">
        <w:rPr>
          <w:rFonts w:ascii="Segoe UI" w:eastAsia="Segoe UI" w:hAnsi="Segoe UI" w:cs="Segoe UI"/>
        </w:rPr>
        <w:t>Atsiskaitymai turėtų vykti tik jūsų akivaizdoje – niekada neleiskite kortelės išsinešti ar dėti į aparatus, kurių nematote</w:t>
      </w:r>
      <w:r w:rsidR="0072721C" w:rsidRPr="0072721C">
        <w:rPr>
          <w:rFonts w:ascii="Segoe UI" w:eastAsia="Segoe UI" w:hAnsi="Segoe UI" w:cs="Segoe UI"/>
        </w:rPr>
        <w:t>“, – dėmesį atkreipia A. Mincienė.</w:t>
      </w:r>
    </w:p>
    <w:p w14:paraId="55D484F8" w14:textId="75B527C0" w:rsidR="001956B5" w:rsidRPr="001956B5" w:rsidRDefault="001956B5" w:rsidP="00BC00D3">
      <w:pPr>
        <w:pStyle w:val="Default"/>
        <w:widowControl w:val="0"/>
        <w:suppressAutoHyphens/>
        <w:spacing w:after="240"/>
        <w:jc w:val="both"/>
        <w:rPr>
          <w:rFonts w:ascii="Segoe UI" w:eastAsia="Segoe UI" w:hAnsi="Segoe UI" w:cs="Segoe UI"/>
        </w:rPr>
      </w:pPr>
      <w:r w:rsidRPr="001956B5">
        <w:rPr>
          <w:rFonts w:ascii="Segoe UI" w:eastAsia="Segoe UI" w:hAnsi="Segoe UI" w:cs="Segoe UI"/>
        </w:rPr>
        <w:t>Jei kortel</w:t>
      </w:r>
      <w:r w:rsidR="0072721C" w:rsidRPr="0072721C">
        <w:rPr>
          <w:rFonts w:ascii="Segoe UI" w:eastAsia="Segoe UI" w:hAnsi="Segoe UI" w:cs="Segoe UI"/>
        </w:rPr>
        <w:t>ę kelionės metu</w:t>
      </w:r>
      <w:r w:rsidRPr="001956B5">
        <w:rPr>
          <w:rFonts w:ascii="Segoe UI" w:eastAsia="Segoe UI" w:hAnsi="Segoe UI" w:cs="Segoe UI"/>
        </w:rPr>
        <w:t xml:space="preserve"> pame</w:t>
      </w:r>
      <w:r w:rsidR="0072721C" w:rsidRPr="0072721C">
        <w:rPr>
          <w:rFonts w:ascii="Segoe UI" w:eastAsia="Segoe UI" w:hAnsi="Segoe UI" w:cs="Segoe UI"/>
        </w:rPr>
        <w:t>tėte</w:t>
      </w:r>
      <w:r w:rsidRPr="001956B5">
        <w:rPr>
          <w:rFonts w:ascii="Segoe UI" w:eastAsia="Segoe UI" w:hAnsi="Segoe UI" w:cs="Segoe UI"/>
        </w:rPr>
        <w:t xml:space="preserve"> ar </w:t>
      </w:r>
      <w:r w:rsidR="0072721C" w:rsidRPr="0072721C">
        <w:rPr>
          <w:rFonts w:ascii="Segoe UI" w:eastAsia="Segoe UI" w:hAnsi="Segoe UI" w:cs="Segoe UI"/>
        </w:rPr>
        <w:t xml:space="preserve">ji buvo </w:t>
      </w:r>
      <w:r w:rsidRPr="001956B5">
        <w:rPr>
          <w:rFonts w:ascii="Segoe UI" w:eastAsia="Segoe UI" w:hAnsi="Segoe UI" w:cs="Segoe UI"/>
        </w:rPr>
        <w:t xml:space="preserve">pavogta – nedelsiant </w:t>
      </w:r>
      <w:r w:rsidR="0072721C" w:rsidRPr="0072721C">
        <w:rPr>
          <w:rFonts w:ascii="Segoe UI" w:eastAsia="Segoe UI" w:hAnsi="Segoe UI" w:cs="Segoe UI"/>
        </w:rPr>
        <w:t>užblokuokite ją</w:t>
      </w:r>
      <w:r w:rsidRPr="001956B5">
        <w:rPr>
          <w:rFonts w:ascii="Segoe UI" w:eastAsia="Segoe UI" w:hAnsi="Segoe UI" w:cs="Segoe UI"/>
        </w:rPr>
        <w:t xml:space="preserve"> prisijung</w:t>
      </w:r>
      <w:r w:rsidR="0072721C" w:rsidRPr="0072721C">
        <w:rPr>
          <w:rFonts w:ascii="Segoe UI" w:eastAsia="Segoe UI" w:hAnsi="Segoe UI" w:cs="Segoe UI"/>
        </w:rPr>
        <w:t>ę</w:t>
      </w:r>
      <w:r w:rsidRPr="001956B5">
        <w:rPr>
          <w:rFonts w:ascii="Segoe UI" w:eastAsia="Segoe UI" w:hAnsi="Segoe UI" w:cs="Segoe UI"/>
        </w:rPr>
        <w:t xml:space="preserve"> prie interneto banko </w:t>
      </w:r>
      <w:r w:rsidR="0072721C" w:rsidRPr="0072721C">
        <w:rPr>
          <w:rFonts w:ascii="Segoe UI" w:eastAsia="Segoe UI" w:hAnsi="Segoe UI" w:cs="Segoe UI"/>
        </w:rPr>
        <w:t xml:space="preserve">arba paskambinę savo bankui. </w:t>
      </w:r>
    </w:p>
    <w:p w14:paraId="2114506C" w14:textId="41C2EFD4" w:rsidR="0072721C" w:rsidRPr="0072721C" w:rsidRDefault="001956B5" w:rsidP="00BC00D3">
      <w:pPr>
        <w:pStyle w:val="Default"/>
        <w:widowControl w:val="0"/>
        <w:suppressAutoHyphens/>
        <w:spacing w:after="240"/>
        <w:jc w:val="both"/>
        <w:rPr>
          <w:rFonts w:ascii="Segoe UI" w:eastAsia="Segoe UI" w:hAnsi="Segoe UI" w:cs="Segoe UI"/>
        </w:rPr>
      </w:pPr>
      <w:r w:rsidRPr="001956B5">
        <w:rPr>
          <w:rFonts w:ascii="Segoe UI" w:eastAsia="Segoe UI" w:hAnsi="Segoe UI" w:cs="Segoe UI"/>
        </w:rPr>
        <w:t>„</w:t>
      </w:r>
      <w:r w:rsidR="0072721C" w:rsidRPr="0072721C">
        <w:rPr>
          <w:rFonts w:ascii="Segoe UI" w:eastAsia="Segoe UI" w:hAnsi="Segoe UI" w:cs="Segoe UI"/>
        </w:rPr>
        <w:t>Vykstant</w:t>
      </w:r>
      <w:r w:rsidRPr="001956B5">
        <w:rPr>
          <w:rFonts w:ascii="Segoe UI" w:eastAsia="Segoe UI" w:hAnsi="Segoe UI" w:cs="Segoe UI"/>
        </w:rPr>
        <w:t xml:space="preserve"> atostogauti norisi ramybės. Todėl iš anksto </w:t>
      </w:r>
      <w:r w:rsidR="0072721C" w:rsidRPr="0072721C">
        <w:rPr>
          <w:rFonts w:ascii="Segoe UI" w:eastAsia="Segoe UI" w:hAnsi="Segoe UI" w:cs="Segoe UI"/>
        </w:rPr>
        <w:t xml:space="preserve">pasirūpinus </w:t>
      </w:r>
      <w:r w:rsidRPr="001956B5">
        <w:rPr>
          <w:rFonts w:ascii="Segoe UI" w:eastAsia="Segoe UI" w:hAnsi="Segoe UI" w:cs="Segoe UI"/>
        </w:rPr>
        <w:t xml:space="preserve">keliomis pagrindinėmis detalėmis, galima išvengti tiek nereikalingų išlaidų, tiek streso netikėtose situacijose“, – pabrėžia A. </w:t>
      </w:r>
      <w:proofErr w:type="spellStart"/>
      <w:r w:rsidRPr="001956B5">
        <w:rPr>
          <w:rFonts w:ascii="Segoe UI" w:eastAsia="Segoe UI" w:hAnsi="Segoe UI" w:cs="Segoe UI"/>
        </w:rPr>
        <w:t>Mincienė</w:t>
      </w:r>
      <w:proofErr w:type="spellEnd"/>
      <w:r w:rsidR="0072721C" w:rsidRPr="0072721C">
        <w:rPr>
          <w:rFonts w:ascii="Segoe UI" w:eastAsia="Segoe UI" w:hAnsi="Segoe UI" w:cs="Segoe UI"/>
        </w:rPr>
        <w:t>.</w:t>
      </w:r>
    </w:p>
    <w:p w14:paraId="1740693C" w14:textId="77777777" w:rsidR="0063043B" w:rsidRPr="003F6AE9" w:rsidRDefault="00635398" w:rsidP="00BC00D3">
      <w:pPr>
        <w:widowControl w:val="0"/>
        <w:suppressAutoHyphens/>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09E86471" w14:textId="20967E9C" w:rsidR="001956B5" w:rsidRPr="003F6AE9" w:rsidRDefault="0072721C" w:rsidP="00BC00D3">
      <w:pPr>
        <w:widowControl w:val="0"/>
        <w:suppressAutoHyphens/>
        <w:spacing w:line="256" w:lineRule="auto"/>
        <w:jc w:val="both"/>
        <w:rPr>
          <w:rFonts w:ascii="Segoe UI" w:eastAsia="Segoe UI" w:hAnsi="Segoe UI" w:cs="Segoe UI"/>
          <w:sz w:val="20"/>
          <w:szCs w:val="20"/>
        </w:rPr>
      </w:pPr>
      <w:r w:rsidRPr="0072721C">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tgtFrame="_blank" w:history="1">
        <w:r w:rsidRPr="0072721C">
          <w:rPr>
            <w:rStyle w:val="Hipersaitas"/>
            <w:rFonts w:ascii="Segoe UI" w:eastAsia="Segoe UI" w:hAnsi="Segoe UI" w:cs="Segoe UI"/>
            <w:sz w:val="20"/>
            <w:szCs w:val="20"/>
          </w:rPr>
          <w:t>čia</w:t>
        </w:r>
      </w:hyperlink>
      <w:r w:rsidRPr="0072721C">
        <w:rPr>
          <w:rFonts w:ascii="Segoe UI" w:eastAsia="Segoe UI" w:hAnsi="Segoe UI" w:cs="Segoe UI"/>
          <w:sz w:val="20"/>
          <w:szCs w:val="20"/>
        </w:rPr>
        <w:t>.</w:t>
      </w:r>
    </w:p>
    <w:p w14:paraId="539A8778" w14:textId="77777777" w:rsidR="0063043B" w:rsidRPr="003F6AE9" w:rsidRDefault="00635398" w:rsidP="00BC00D3">
      <w:pPr>
        <w:widowControl w:val="0"/>
        <w:suppressAutoHyphens/>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6A4BD604" w14:textId="77777777" w:rsidR="0063043B" w:rsidRPr="003F6AE9" w:rsidRDefault="0063043B" w:rsidP="00BC00D3">
      <w:pPr>
        <w:widowControl w:val="0"/>
        <w:suppressAutoHyphens/>
        <w:spacing w:after="0" w:line="240" w:lineRule="auto"/>
        <w:rPr>
          <w:rFonts w:ascii="Segoe UI" w:eastAsia="Segoe UI" w:hAnsi="Segoe UI" w:cs="Segoe UI"/>
          <w:sz w:val="20"/>
          <w:szCs w:val="20"/>
        </w:rPr>
      </w:pPr>
    </w:p>
    <w:p w14:paraId="7A5E45F8" w14:textId="1E0253ED" w:rsidR="0063043B" w:rsidRPr="003F6AE9" w:rsidRDefault="00635398" w:rsidP="00BC00D3">
      <w:pPr>
        <w:widowControl w:val="0"/>
        <w:suppressAutoHyphens/>
        <w:spacing w:after="0" w:line="240" w:lineRule="auto"/>
        <w:rPr>
          <w:rFonts w:ascii="Segoe UI" w:hAnsi="Segoe UI" w:cs="Segoe UI"/>
          <w:sz w:val="20"/>
          <w:szCs w:val="20"/>
        </w:rPr>
      </w:pPr>
      <w:r w:rsidRPr="003F6AE9">
        <w:rPr>
          <w:rFonts w:ascii="Segoe UI" w:eastAsia="Segoe UI" w:hAnsi="Segoe UI" w:cs="Segoe UI"/>
          <w:sz w:val="20"/>
          <w:szCs w:val="20"/>
        </w:rPr>
        <w:t>Severa Augusta Lukošaitytė</w:t>
      </w:r>
      <w:r w:rsidRPr="003F6AE9">
        <w:rPr>
          <w:rFonts w:ascii="Segoe UI" w:eastAsia="Segoe UI" w:hAnsi="Segoe UI" w:cs="Segoe UI"/>
          <w:sz w:val="20"/>
          <w:szCs w:val="20"/>
        </w:rPr>
        <w:br/>
        <w:t>„Luminor“</w:t>
      </w:r>
      <w:r w:rsidR="00BE1B3C">
        <w:rPr>
          <w:rFonts w:ascii="Segoe UI" w:eastAsia="Segoe UI" w:hAnsi="Segoe UI" w:cs="Segoe UI"/>
          <w:sz w:val="20"/>
          <w:szCs w:val="20"/>
        </w:rPr>
        <w:t xml:space="preserve"> </w:t>
      </w:r>
      <w:r w:rsidRPr="003F6AE9">
        <w:rPr>
          <w:rFonts w:ascii="Segoe UI" w:eastAsia="Segoe UI" w:hAnsi="Segoe UI" w:cs="Segoe UI"/>
          <w:sz w:val="20"/>
          <w:szCs w:val="20"/>
        </w:rPr>
        <w:t>komunikacijos projektų vadovė</w:t>
      </w:r>
      <w:r w:rsidRPr="003F6AE9">
        <w:rPr>
          <w:rFonts w:ascii="Segoe UI" w:eastAsia="Segoe UI" w:hAnsi="Segoe UI" w:cs="Segoe UI"/>
          <w:sz w:val="20"/>
          <w:szCs w:val="20"/>
        </w:rPr>
        <w:br/>
        <w:t>Tel.: +370 61143579</w:t>
      </w:r>
      <w:r w:rsidRPr="003F6AE9">
        <w:rPr>
          <w:rFonts w:ascii="Segoe UI" w:eastAsia="Segoe UI" w:hAnsi="Segoe UI" w:cs="Segoe UI"/>
          <w:sz w:val="20"/>
          <w:szCs w:val="20"/>
        </w:rPr>
        <w:br/>
        <w:t xml:space="preserve">el. p.: </w:t>
      </w:r>
      <w:hyperlink r:id="rId9" w:history="1">
        <w:r w:rsidR="0063043B" w:rsidRPr="003F6AE9">
          <w:rPr>
            <w:rStyle w:val="Hyperlink0"/>
          </w:rPr>
          <w:t>severa.augusta.lukosaityte@luminorgroup.com</w:t>
        </w:r>
      </w:hyperlink>
      <w:bookmarkEnd w:id="0"/>
    </w:p>
    <w:sectPr w:rsidR="0063043B" w:rsidRPr="003F6AE9">
      <w:headerReference w:type="default" r:id="rId10"/>
      <w:pgSz w:w="11900" w:h="16840"/>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F95F4" w14:textId="77777777" w:rsidR="006C509F" w:rsidRDefault="006C509F">
      <w:pPr>
        <w:spacing w:after="0" w:line="240" w:lineRule="auto"/>
      </w:pPr>
      <w:r>
        <w:separator/>
      </w:r>
    </w:p>
  </w:endnote>
  <w:endnote w:type="continuationSeparator" w:id="0">
    <w:p w14:paraId="5B375FF2" w14:textId="77777777" w:rsidR="006C509F" w:rsidRDefault="006C5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54551" w14:textId="77777777" w:rsidR="006C509F" w:rsidRDefault="006C509F">
      <w:pPr>
        <w:spacing w:after="0" w:line="240" w:lineRule="auto"/>
      </w:pPr>
      <w:r>
        <w:separator/>
      </w:r>
    </w:p>
  </w:footnote>
  <w:footnote w:type="continuationSeparator" w:id="0">
    <w:p w14:paraId="309520A7" w14:textId="77777777" w:rsidR="006C509F" w:rsidRDefault="006C5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635398">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F4263A3"/>
    <w:multiLevelType w:val="multilevel"/>
    <w:tmpl w:val="45E0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2"/>
  </w:num>
  <w:num w:numId="3" w16cid:durableId="1133787252">
    <w:abstractNumId w:val="0"/>
  </w:num>
  <w:num w:numId="4" w16cid:durableId="424503041">
    <w:abstractNumId w:val="4"/>
  </w:num>
  <w:num w:numId="5" w16cid:durableId="1664815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3C9A"/>
    <w:rsid w:val="00010790"/>
    <w:rsid w:val="0002043C"/>
    <w:rsid w:val="00027760"/>
    <w:rsid w:val="00032727"/>
    <w:rsid w:val="000402CB"/>
    <w:rsid w:val="00050938"/>
    <w:rsid w:val="0005608A"/>
    <w:rsid w:val="00061D31"/>
    <w:rsid w:val="0006441F"/>
    <w:rsid w:val="000651A5"/>
    <w:rsid w:val="00071020"/>
    <w:rsid w:val="00091B49"/>
    <w:rsid w:val="000921C4"/>
    <w:rsid w:val="0009437E"/>
    <w:rsid w:val="000A001E"/>
    <w:rsid w:val="000B4122"/>
    <w:rsid w:val="000B4DC6"/>
    <w:rsid w:val="000B637C"/>
    <w:rsid w:val="000E6019"/>
    <w:rsid w:val="000E76C7"/>
    <w:rsid w:val="000F23C2"/>
    <w:rsid w:val="000F51EF"/>
    <w:rsid w:val="000F6771"/>
    <w:rsid w:val="000F7F65"/>
    <w:rsid w:val="00100E69"/>
    <w:rsid w:val="00111F99"/>
    <w:rsid w:val="00124B37"/>
    <w:rsid w:val="00135820"/>
    <w:rsid w:val="00144E7E"/>
    <w:rsid w:val="00165FA0"/>
    <w:rsid w:val="00172128"/>
    <w:rsid w:val="00173A45"/>
    <w:rsid w:val="001956B5"/>
    <w:rsid w:val="001A26D3"/>
    <w:rsid w:val="001A53DB"/>
    <w:rsid w:val="001B047D"/>
    <w:rsid w:val="001B72A4"/>
    <w:rsid w:val="001B7A54"/>
    <w:rsid w:val="001D6217"/>
    <w:rsid w:val="001D6592"/>
    <w:rsid w:val="001D65B1"/>
    <w:rsid w:val="001F10B1"/>
    <w:rsid w:val="001F16D1"/>
    <w:rsid w:val="002102E3"/>
    <w:rsid w:val="00214B05"/>
    <w:rsid w:val="00224C28"/>
    <w:rsid w:val="00225472"/>
    <w:rsid w:val="0023237A"/>
    <w:rsid w:val="00233041"/>
    <w:rsid w:val="00243580"/>
    <w:rsid w:val="00243DB1"/>
    <w:rsid w:val="00243F34"/>
    <w:rsid w:val="00250A75"/>
    <w:rsid w:val="00251983"/>
    <w:rsid w:val="00263E28"/>
    <w:rsid w:val="00267D72"/>
    <w:rsid w:val="00270BFE"/>
    <w:rsid w:val="00270F9F"/>
    <w:rsid w:val="002834FD"/>
    <w:rsid w:val="00286345"/>
    <w:rsid w:val="002B42F0"/>
    <w:rsid w:val="002C67A7"/>
    <w:rsid w:val="002D3C0A"/>
    <w:rsid w:val="002E0508"/>
    <w:rsid w:val="002F436D"/>
    <w:rsid w:val="00310CEA"/>
    <w:rsid w:val="00315700"/>
    <w:rsid w:val="0032181C"/>
    <w:rsid w:val="00323901"/>
    <w:rsid w:val="00342CBE"/>
    <w:rsid w:val="00344D8E"/>
    <w:rsid w:val="003505D2"/>
    <w:rsid w:val="00360C70"/>
    <w:rsid w:val="00366571"/>
    <w:rsid w:val="00373E0D"/>
    <w:rsid w:val="00380AE2"/>
    <w:rsid w:val="0039141A"/>
    <w:rsid w:val="003921E5"/>
    <w:rsid w:val="00396118"/>
    <w:rsid w:val="003A39E8"/>
    <w:rsid w:val="003A41D7"/>
    <w:rsid w:val="003A4D01"/>
    <w:rsid w:val="003C0890"/>
    <w:rsid w:val="003C5B69"/>
    <w:rsid w:val="003D6150"/>
    <w:rsid w:val="003E4093"/>
    <w:rsid w:val="003E7AF2"/>
    <w:rsid w:val="003F07EF"/>
    <w:rsid w:val="003F17F4"/>
    <w:rsid w:val="003F3270"/>
    <w:rsid w:val="003F6AE9"/>
    <w:rsid w:val="003F7244"/>
    <w:rsid w:val="00400FAD"/>
    <w:rsid w:val="00404D3D"/>
    <w:rsid w:val="00407F94"/>
    <w:rsid w:val="004159B4"/>
    <w:rsid w:val="0042160E"/>
    <w:rsid w:val="0043666A"/>
    <w:rsid w:val="00450766"/>
    <w:rsid w:val="004509A8"/>
    <w:rsid w:val="00450E2A"/>
    <w:rsid w:val="004523AD"/>
    <w:rsid w:val="004543AB"/>
    <w:rsid w:val="00457B09"/>
    <w:rsid w:val="004650BB"/>
    <w:rsid w:val="004779C0"/>
    <w:rsid w:val="00484F22"/>
    <w:rsid w:val="00486A3D"/>
    <w:rsid w:val="00491DF9"/>
    <w:rsid w:val="00494F5F"/>
    <w:rsid w:val="00496F65"/>
    <w:rsid w:val="004B0150"/>
    <w:rsid w:val="004C7CB7"/>
    <w:rsid w:val="004D053A"/>
    <w:rsid w:val="004D46B5"/>
    <w:rsid w:val="004E3AA4"/>
    <w:rsid w:val="004E6362"/>
    <w:rsid w:val="004E7390"/>
    <w:rsid w:val="004E7CBA"/>
    <w:rsid w:val="004F0067"/>
    <w:rsid w:val="004F287A"/>
    <w:rsid w:val="004F6AA9"/>
    <w:rsid w:val="005254D3"/>
    <w:rsid w:val="0054474E"/>
    <w:rsid w:val="00576C65"/>
    <w:rsid w:val="00576EC6"/>
    <w:rsid w:val="005858FC"/>
    <w:rsid w:val="0059773D"/>
    <w:rsid w:val="005A0997"/>
    <w:rsid w:val="005A55F9"/>
    <w:rsid w:val="005B08AB"/>
    <w:rsid w:val="005B3813"/>
    <w:rsid w:val="005B6584"/>
    <w:rsid w:val="005B7AB2"/>
    <w:rsid w:val="005C14BF"/>
    <w:rsid w:val="005C604C"/>
    <w:rsid w:val="005C71CD"/>
    <w:rsid w:val="005C7BA6"/>
    <w:rsid w:val="005F0AD3"/>
    <w:rsid w:val="005F5782"/>
    <w:rsid w:val="005F739C"/>
    <w:rsid w:val="00601F1F"/>
    <w:rsid w:val="00607D72"/>
    <w:rsid w:val="00626D9A"/>
    <w:rsid w:val="0063043B"/>
    <w:rsid w:val="00635398"/>
    <w:rsid w:val="00642133"/>
    <w:rsid w:val="00642560"/>
    <w:rsid w:val="00655EAD"/>
    <w:rsid w:val="00656055"/>
    <w:rsid w:val="00656CCE"/>
    <w:rsid w:val="006576BC"/>
    <w:rsid w:val="006913D5"/>
    <w:rsid w:val="00692AF4"/>
    <w:rsid w:val="00693776"/>
    <w:rsid w:val="006949B8"/>
    <w:rsid w:val="006A3708"/>
    <w:rsid w:val="006A6BCF"/>
    <w:rsid w:val="006B598A"/>
    <w:rsid w:val="006B5BAC"/>
    <w:rsid w:val="006C509F"/>
    <w:rsid w:val="006D0077"/>
    <w:rsid w:val="006D06E0"/>
    <w:rsid w:val="006D2F3B"/>
    <w:rsid w:val="006E22ED"/>
    <w:rsid w:val="006F1A12"/>
    <w:rsid w:val="007058AB"/>
    <w:rsid w:val="00707398"/>
    <w:rsid w:val="00711250"/>
    <w:rsid w:val="00720493"/>
    <w:rsid w:val="00720E1C"/>
    <w:rsid w:val="00723F52"/>
    <w:rsid w:val="007262BB"/>
    <w:rsid w:val="0072721C"/>
    <w:rsid w:val="007431E4"/>
    <w:rsid w:val="00752604"/>
    <w:rsid w:val="0076427E"/>
    <w:rsid w:val="00777EA5"/>
    <w:rsid w:val="00790962"/>
    <w:rsid w:val="007A5D2D"/>
    <w:rsid w:val="007C709C"/>
    <w:rsid w:val="007D5FAA"/>
    <w:rsid w:val="007E08DD"/>
    <w:rsid w:val="007F3DE8"/>
    <w:rsid w:val="007F787D"/>
    <w:rsid w:val="00803884"/>
    <w:rsid w:val="00807A44"/>
    <w:rsid w:val="008225B7"/>
    <w:rsid w:val="00824065"/>
    <w:rsid w:val="00855D44"/>
    <w:rsid w:val="00862C62"/>
    <w:rsid w:val="0087052B"/>
    <w:rsid w:val="00870818"/>
    <w:rsid w:val="008712B6"/>
    <w:rsid w:val="008868E8"/>
    <w:rsid w:val="00896F10"/>
    <w:rsid w:val="008A1A98"/>
    <w:rsid w:val="008A7C98"/>
    <w:rsid w:val="008B720A"/>
    <w:rsid w:val="008D34CF"/>
    <w:rsid w:val="008E0303"/>
    <w:rsid w:val="008E5939"/>
    <w:rsid w:val="008E6255"/>
    <w:rsid w:val="008F2FCE"/>
    <w:rsid w:val="008F7943"/>
    <w:rsid w:val="009103FC"/>
    <w:rsid w:val="00913D01"/>
    <w:rsid w:val="00917FD8"/>
    <w:rsid w:val="00920F58"/>
    <w:rsid w:val="0092767A"/>
    <w:rsid w:val="00936089"/>
    <w:rsid w:val="0094055D"/>
    <w:rsid w:val="00942212"/>
    <w:rsid w:val="009454F2"/>
    <w:rsid w:val="009463AE"/>
    <w:rsid w:val="00947E8C"/>
    <w:rsid w:val="009502A0"/>
    <w:rsid w:val="0095058A"/>
    <w:rsid w:val="00952CD0"/>
    <w:rsid w:val="009545FC"/>
    <w:rsid w:val="0096226B"/>
    <w:rsid w:val="00965C2F"/>
    <w:rsid w:val="00965D61"/>
    <w:rsid w:val="00991015"/>
    <w:rsid w:val="009A5810"/>
    <w:rsid w:val="009A6DC9"/>
    <w:rsid w:val="009B05D0"/>
    <w:rsid w:val="009C0F08"/>
    <w:rsid w:val="009C2826"/>
    <w:rsid w:val="009C730D"/>
    <w:rsid w:val="009D2A9D"/>
    <w:rsid w:val="009E5854"/>
    <w:rsid w:val="009F5476"/>
    <w:rsid w:val="00A120F4"/>
    <w:rsid w:val="00A20955"/>
    <w:rsid w:val="00A25F03"/>
    <w:rsid w:val="00A31C89"/>
    <w:rsid w:val="00A37647"/>
    <w:rsid w:val="00A432AC"/>
    <w:rsid w:val="00A4358D"/>
    <w:rsid w:val="00A43E90"/>
    <w:rsid w:val="00A44B58"/>
    <w:rsid w:val="00A5261A"/>
    <w:rsid w:val="00A53C9B"/>
    <w:rsid w:val="00A671E4"/>
    <w:rsid w:val="00A748D1"/>
    <w:rsid w:val="00A765C1"/>
    <w:rsid w:val="00A8088D"/>
    <w:rsid w:val="00A83192"/>
    <w:rsid w:val="00A844CD"/>
    <w:rsid w:val="00A90F63"/>
    <w:rsid w:val="00AB55DE"/>
    <w:rsid w:val="00AB59B7"/>
    <w:rsid w:val="00AC7D47"/>
    <w:rsid w:val="00AD048A"/>
    <w:rsid w:val="00AD2453"/>
    <w:rsid w:val="00AE3DD4"/>
    <w:rsid w:val="00AF4DEB"/>
    <w:rsid w:val="00B173AC"/>
    <w:rsid w:val="00B237D8"/>
    <w:rsid w:val="00B30680"/>
    <w:rsid w:val="00B32C91"/>
    <w:rsid w:val="00B35D7C"/>
    <w:rsid w:val="00B80082"/>
    <w:rsid w:val="00B841D8"/>
    <w:rsid w:val="00B862E8"/>
    <w:rsid w:val="00B944CA"/>
    <w:rsid w:val="00BA5421"/>
    <w:rsid w:val="00BB0B70"/>
    <w:rsid w:val="00BB3BBC"/>
    <w:rsid w:val="00BB6406"/>
    <w:rsid w:val="00BC00D3"/>
    <w:rsid w:val="00BC07BB"/>
    <w:rsid w:val="00BD3DE6"/>
    <w:rsid w:val="00BD4AA8"/>
    <w:rsid w:val="00BE1B3C"/>
    <w:rsid w:val="00BE2B73"/>
    <w:rsid w:val="00BF6CA6"/>
    <w:rsid w:val="00C018FB"/>
    <w:rsid w:val="00C03655"/>
    <w:rsid w:val="00C058C5"/>
    <w:rsid w:val="00C066BB"/>
    <w:rsid w:val="00C12BCD"/>
    <w:rsid w:val="00C220D4"/>
    <w:rsid w:val="00C2750A"/>
    <w:rsid w:val="00C31263"/>
    <w:rsid w:val="00C32161"/>
    <w:rsid w:val="00C51C26"/>
    <w:rsid w:val="00C521DF"/>
    <w:rsid w:val="00C62DFC"/>
    <w:rsid w:val="00C67D6D"/>
    <w:rsid w:val="00C72D55"/>
    <w:rsid w:val="00C737E4"/>
    <w:rsid w:val="00C91463"/>
    <w:rsid w:val="00C947F5"/>
    <w:rsid w:val="00CA0376"/>
    <w:rsid w:val="00CA3041"/>
    <w:rsid w:val="00CA5C90"/>
    <w:rsid w:val="00CB290D"/>
    <w:rsid w:val="00CB66EB"/>
    <w:rsid w:val="00CC1EE7"/>
    <w:rsid w:val="00CC24D2"/>
    <w:rsid w:val="00CC3252"/>
    <w:rsid w:val="00CC4265"/>
    <w:rsid w:val="00CE3C13"/>
    <w:rsid w:val="00CF14CC"/>
    <w:rsid w:val="00D03C45"/>
    <w:rsid w:val="00D0609C"/>
    <w:rsid w:val="00D076F1"/>
    <w:rsid w:val="00D136BE"/>
    <w:rsid w:val="00D21641"/>
    <w:rsid w:val="00D21898"/>
    <w:rsid w:val="00D27339"/>
    <w:rsid w:val="00D329DD"/>
    <w:rsid w:val="00D43AA5"/>
    <w:rsid w:val="00D44E24"/>
    <w:rsid w:val="00D47D16"/>
    <w:rsid w:val="00D52F64"/>
    <w:rsid w:val="00D63A5B"/>
    <w:rsid w:val="00D676CD"/>
    <w:rsid w:val="00D71756"/>
    <w:rsid w:val="00D71D96"/>
    <w:rsid w:val="00D82311"/>
    <w:rsid w:val="00D94C92"/>
    <w:rsid w:val="00D95E51"/>
    <w:rsid w:val="00DA1834"/>
    <w:rsid w:val="00DA4BE4"/>
    <w:rsid w:val="00DA7220"/>
    <w:rsid w:val="00DA7560"/>
    <w:rsid w:val="00DC0308"/>
    <w:rsid w:val="00DD0F40"/>
    <w:rsid w:val="00DD2088"/>
    <w:rsid w:val="00DE0E11"/>
    <w:rsid w:val="00DE5F81"/>
    <w:rsid w:val="00E110EB"/>
    <w:rsid w:val="00E15C60"/>
    <w:rsid w:val="00E17331"/>
    <w:rsid w:val="00E220B9"/>
    <w:rsid w:val="00E3650D"/>
    <w:rsid w:val="00E45AA6"/>
    <w:rsid w:val="00E55A98"/>
    <w:rsid w:val="00E55B23"/>
    <w:rsid w:val="00E71BD2"/>
    <w:rsid w:val="00E82BE1"/>
    <w:rsid w:val="00E85AD6"/>
    <w:rsid w:val="00E92509"/>
    <w:rsid w:val="00E92CB1"/>
    <w:rsid w:val="00E97D2B"/>
    <w:rsid w:val="00EA4875"/>
    <w:rsid w:val="00EC0EC8"/>
    <w:rsid w:val="00EC7FED"/>
    <w:rsid w:val="00ED14DC"/>
    <w:rsid w:val="00ED2ACB"/>
    <w:rsid w:val="00ED3C6E"/>
    <w:rsid w:val="00ED5BA0"/>
    <w:rsid w:val="00ED7CED"/>
    <w:rsid w:val="00EE5AF3"/>
    <w:rsid w:val="00EF2027"/>
    <w:rsid w:val="00F05DEE"/>
    <w:rsid w:val="00F0661C"/>
    <w:rsid w:val="00F07A4F"/>
    <w:rsid w:val="00F32AF3"/>
    <w:rsid w:val="00F33822"/>
    <w:rsid w:val="00F338B8"/>
    <w:rsid w:val="00F3508F"/>
    <w:rsid w:val="00F55850"/>
    <w:rsid w:val="00F665F7"/>
    <w:rsid w:val="00F66671"/>
    <w:rsid w:val="00F716A7"/>
    <w:rsid w:val="00F77713"/>
    <w:rsid w:val="00F77C39"/>
    <w:rsid w:val="00F85335"/>
    <w:rsid w:val="00F85BC7"/>
    <w:rsid w:val="00FB7503"/>
    <w:rsid w:val="00FC4F13"/>
    <w:rsid w:val="00FE6B35"/>
    <w:rsid w:val="00FF41E6"/>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3901368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79908712">
      <w:bodyDiv w:val="1"/>
      <w:marLeft w:val="0"/>
      <w:marRight w:val="0"/>
      <w:marTop w:val="0"/>
      <w:marBottom w:val="0"/>
      <w:divBdr>
        <w:top w:val="none" w:sz="0" w:space="0" w:color="auto"/>
        <w:left w:val="none" w:sz="0" w:space="0" w:color="auto"/>
        <w:bottom w:val="none" w:sz="0" w:space="0" w:color="auto"/>
        <w:right w:val="none" w:sz="0" w:space="0" w:color="auto"/>
      </w:divBdr>
    </w:div>
    <w:div w:id="141695748">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07182710">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27149180">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859507710">
      <w:bodyDiv w:val="1"/>
      <w:marLeft w:val="0"/>
      <w:marRight w:val="0"/>
      <w:marTop w:val="0"/>
      <w:marBottom w:val="0"/>
      <w:divBdr>
        <w:top w:val="none" w:sz="0" w:space="0" w:color="auto"/>
        <w:left w:val="none" w:sz="0" w:space="0" w:color="auto"/>
        <w:bottom w:val="none" w:sz="0" w:space="0" w:color="auto"/>
        <w:right w:val="none" w:sz="0" w:space="0" w:color="auto"/>
      </w:divBdr>
    </w:div>
    <w:div w:id="863402165">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1766794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85955356">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vera.augusta.lukosaity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72644-9400-4ACE-9FD6-10FA2533F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2263</Words>
  <Characters>1291</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2025-04-17T10:34:00Z</dcterms:created>
  <dcterms:modified xsi:type="dcterms:W3CDTF">2025-04-17T10:34:00Z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2025-04-16T08:25:27Z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e912f896-e620-469d-abab-c615099b3f41</vt:lpwstr>
  </property>
  <property fmtid="{D5CDD505-2E9C-101B-9397-08002B2CF9AE}" pid="8" name="MSIP_Label_fa72d981-70d3-422f-84c9-c3f8ec269a2c_ContentBits">
    <vt:lpwstr>0</vt:lpwstr>
  </property>
</Properties>
</file>