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90352B" w14:textId="77777777" w:rsidR="00BA4A02" w:rsidRPr="008043D0" w:rsidRDefault="16A9EA3F" w:rsidP="008043D0">
      <w:pPr>
        <w:jc w:val="both"/>
        <w:rPr>
          <w:rFonts w:ascii="Roboto" w:eastAsia="Arial" w:hAnsi="Roboto" w:cs="Arial"/>
          <w:b/>
          <w:bCs/>
          <w:color w:val="000000" w:themeColor="text1"/>
          <w:lang w:val="lt-LT"/>
        </w:rPr>
      </w:pPr>
      <w:r w:rsidRPr="008043D0">
        <w:rPr>
          <w:lang w:val="lt-LT"/>
        </w:rPr>
        <w:br/>
      </w:r>
      <w:r w:rsidR="00BA4A02" w:rsidRPr="008043D0">
        <w:rPr>
          <w:rFonts w:ascii="Roboto" w:eastAsia="Arial" w:hAnsi="Roboto" w:cs="Arial"/>
          <w:b/>
          <w:bCs/>
          <w:color w:val="000000" w:themeColor="text1"/>
          <w:lang w:val="lt-LT"/>
        </w:rPr>
        <w:t>Pranešimas žiniasklaidai</w:t>
      </w:r>
    </w:p>
    <w:p w14:paraId="1854995A" w14:textId="04448E07" w:rsidR="00BA4A02" w:rsidRPr="008043D0" w:rsidRDefault="00BA4A02" w:rsidP="008043D0">
      <w:pPr>
        <w:jc w:val="both"/>
        <w:rPr>
          <w:rFonts w:ascii="Roboto" w:hAnsi="Roboto" w:cs="Arial"/>
          <w:lang w:val="lt-LT"/>
        </w:rPr>
      </w:pPr>
      <w:r w:rsidRPr="008043D0">
        <w:rPr>
          <w:rFonts w:ascii="Roboto" w:hAnsi="Roboto" w:cs="Arial"/>
          <w:lang w:val="lt-LT"/>
        </w:rPr>
        <w:t>202</w:t>
      </w:r>
      <w:r w:rsidR="008043D0" w:rsidRPr="008043D0">
        <w:rPr>
          <w:rFonts w:ascii="Roboto" w:hAnsi="Roboto" w:cs="Arial"/>
          <w:lang w:val="lt-LT"/>
        </w:rPr>
        <w:t>5</w:t>
      </w:r>
      <w:r w:rsidRPr="008043D0">
        <w:rPr>
          <w:rFonts w:ascii="Roboto" w:hAnsi="Roboto" w:cs="Arial"/>
          <w:lang w:val="lt-LT"/>
        </w:rPr>
        <w:t xml:space="preserve"> m. </w:t>
      </w:r>
      <w:r w:rsidR="008043D0" w:rsidRPr="008043D0">
        <w:rPr>
          <w:rFonts w:ascii="Roboto" w:hAnsi="Roboto" w:cs="Arial"/>
          <w:lang w:val="lt-LT"/>
        </w:rPr>
        <w:t>gegužės</w:t>
      </w:r>
      <w:r w:rsidRPr="008043D0">
        <w:rPr>
          <w:rFonts w:ascii="Roboto" w:hAnsi="Roboto" w:cs="Arial"/>
          <w:lang w:val="lt-LT"/>
        </w:rPr>
        <w:t xml:space="preserve"> </w:t>
      </w:r>
      <w:r w:rsidR="008043D0" w:rsidRPr="008043D0">
        <w:rPr>
          <w:rFonts w:ascii="Roboto" w:hAnsi="Roboto" w:cs="Arial"/>
          <w:lang w:val="lt-LT"/>
        </w:rPr>
        <w:t>2</w:t>
      </w:r>
      <w:r w:rsidRPr="008043D0">
        <w:rPr>
          <w:rFonts w:ascii="Roboto" w:hAnsi="Roboto" w:cs="Arial"/>
          <w:lang w:val="lt-LT"/>
        </w:rPr>
        <w:t xml:space="preserve"> d.</w:t>
      </w:r>
    </w:p>
    <w:p w14:paraId="008BC64D" w14:textId="77777777" w:rsidR="00BA4A02" w:rsidRPr="008043D0" w:rsidRDefault="00BA4A02" w:rsidP="008043D0">
      <w:pPr>
        <w:jc w:val="both"/>
        <w:rPr>
          <w:rFonts w:ascii="Roboto" w:hAnsi="Roboto" w:cs="Arial"/>
          <w:lang w:val="lt-LT"/>
        </w:rPr>
      </w:pPr>
    </w:p>
    <w:p w14:paraId="172086A2" w14:textId="77777777" w:rsidR="008043D0" w:rsidRPr="008043D0" w:rsidRDefault="008043D0" w:rsidP="008043D0">
      <w:pPr>
        <w:spacing w:after="240"/>
        <w:jc w:val="both"/>
        <w:rPr>
          <w:rFonts w:ascii="Roboto" w:hAnsi="Roboto"/>
          <w:sz w:val="24"/>
          <w:szCs w:val="24"/>
          <w:lang w:val="lt-LT"/>
        </w:rPr>
      </w:pPr>
      <w:r w:rsidRPr="008043D0">
        <w:rPr>
          <w:rFonts w:ascii="Roboto" w:hAnsi="Roboto"/>
          <w:b/>
          <w:bCs/>
          <w:sz w:val="24"/>
          <w:szCs w:val="24"/>
          <w:lang w:val="lt-LT"/>
        </w:rPr>
        <w:t>„Citadele“ bankas stipriai pradėjo 2025 metus: augantis finansavimas ir skaitmeninės paslaugos</w:t>
      </w:r>
    </w:p>
    <w:p w14:paraId="55D9B24B" w14:textId="77777777" w:rsidR="008043D0" w:rsidRPr="008043D0" w:rsidRDefault="008043D0" w:rsidP="008043D0">
      <w:pPr>
        <w:spacing w:after="240"/>
        <w:jc w:val="both"/>
        <w:rPr>
          <w:rFonts w:ascii="Roboto" w:hAnsi="Roboto"/>
          <w:b/>
          <w:bCs/>
          <w:lang w:val="lt-LT"/>
        </w:rPr>
      </w:pPr>
      <w:r w:rsidRPr="008043D0">
        <w:rPr>
          <w:rFonts w:ascii="Roboto" w:hAnsi="Roboto"/>
          <w:b/>
          <w:bCs/>
          <w:lang w:val="lt-LT"/>
        </w:rPr>
        <w:t>„Citadele“ bankas skelbia apie stiprią 2025 m. pradžią, pabrėždamas augantį vaidmenį skatinant ekonomikos plėtrą ir skaitmenines inovacijas Baltijos šalyse. Per pirmąjį ketvirtį naujo finansavimo privatiems, smulkiojo, vidutinio ir stambiojo verslo klientams apimtys pasiekė 350 mln. eurų – 36 proc. daugiau nei pernai tuo pačiu laikotarpiu. Iš šios sumos 46 mln. eurų skirta projektams, susijusiems su žaliąja ir pereinamojo laikotarpio ekonomika.</w:t>
      </w:r>
    </w:p>
    <w:p w14:paraId="1B99BEFD" w14:textId="77777777" w:rsidR="008043D0" w:rsidRPr="008043D0" w:rsidRDefault="008043D0" w:rsidP="008043D0">
      <w:pPr>
        <w:spacing w:after="240"/>
        <w:jc w:val="both"/>
        <w:rPr>
          <w:rFonts w:ascii="Roboto" w:hAnsi="Roboto"/>
          <w:lang w:val="lt-LT"/>
        </w:rPr>
      </w:pPr>
      <w:r w:rsidRPr="008043D0">
        <w:rPr>
          <w:rFonts w:ascii="Roboto" w:hAnsi="Roboto"/>
          <w:lang w:val="lt-LT"/>
        </w:rPr>
        <w:t>„Gyvename pasaulyje, kuriame neapibrėžtumas tapo kasdienybe, todėl stabilumas ir pažanga yra svarbesni nei bet kada anksčiau. Sutelkdami dėmesį į savo klientus – padėdami jiems augti, prisitaikyti ir drąsiai planuoti ateitį – išlaikome tvirtą augimo tempą. Nesvarbu, ar finansuojame žaliąjį būstą, ar siūlome patogius mokėjimus mobiliuoju telefonu, mes siekiame kurti ilgalaikę vertę ir stiprinti Baltijos šalių gyventojų bei verslų galimybes“, – sako Rūta Ežerskienė, „Citadele“ banko generalinė direktorė ir valdybos pirmininkė.</w:t>
      </w:r>
    </w:p>
    <w:p w14:paraId="7440BE48" w14:textId="77777777" w:rsidR="008043D0" w:rsidRPr="008043D0" w:rsidRDefault="008043D0" w:rsidP="008043D0">
      <w:pPr>
        <w:spacing w:after="240"/>
        <w:jc w:val="both"/>
        <w:rPr>
          <w:rFonts w:ascii="Roboto" w:hAnsi="Roboto"/>
          <w:b/>
          <w:bCs/>
          <w:lang w:val="lt-LT"/>
        </w:rPr>
      </w:pPr>
      <w:r w:rsidRPr="008043D0">
        <w:rPr>
          <w:rFonts w:ascii="Roboto" w:hAnsi="Roboto"/>
          <w:b/>
          <w:bCs/>
          <w:lang w:val="lt-LT"/>
        </w:rPr>
        <w:t>Skaitmeninių paslaugų plėtra ir inovacijos</w:t>
      </w:r>
    </w:p>
    <w:p w14:paraId="72D0D035" w14:textId="77777777" w:rsidR="008043D0" w:rsidRPr="008043D0" w:rsidRDefault="008043D0" w:rsidP="008043D0">
      <w:pPr>
        <w:spacing w:after="240"/>
        <w:jc w:val="both"/>
        <w:rPr>
          <w:rFonts w:ascii="Roboto" w:hAnsi="Roboto"/>
          <w:lang w:val="lt-LT"/>
        </w:rPr>
      </w:pPr>
      <w:r w:rsidRPr="008043D0">
        <w:rPr>
          <w:rFonts w:ascii="Roboto" w:hAnsi="Roboto"/>
          <w:lang w:val="lt-LT"/>
        </w:rPr>
        <w:t>Pirmąjį 2025 m, ketvirtį „Citadele“ siekė užtikrinti vienodą skaitmeninių paslaugų prieinamumą visose Baltijos šalyse. Vienas iš pagrindinių pasiekimų – Lietuvoje pradėjusi veikti mokėjimų pagal mobiliojo telefono numerį funkcija. Estijoje įdiegta partnerių API sąsaja vartojimo paskoloms, pagerinusi klientų prieigą prie finansavimo internetu.</w:t>
      </w:r>
    </w:p>
    <w:p w14:paraId="4FD06B6D" w14:textId="77777777" w:rsidR="008043D0" w:rsidRPr="008043D0" w:rsidRDefault="008043D0" w:rsidP="008043D0">
      <w:pPr>
        <w:spacing w:after="240"/>
        <w:jc w:val="both"/>
        <w:rPr>
          <w:rFonts w:ascii="Roboto" w:hAnsi="Roboto"/>
          <w:lang w:val="lt-LT"/>
        </w:rPr>
      </w:pPr>
      <w:r w:rsidRPr="008043D0">
        <w:rPr>
          <w:rFonts w:ascii="Roboto" w:hAnsi="Roboto"/>
          <w:lang w:val="lt-LT"/>
        </w:rPr>
        <w:t xml:space="preserve">„Citadele“ banko mobilioji programėlė sulaukė dar didesnio vartotojų pasitenkinimo – jos reitingas pakilo iki 4,8 balo. Tai atspindi banko siekį kurti intuityvias, patikimas ir klientų lūkesčius atitinkančias skaitmenines paslaugas. </w:t>
      </w:r>
    </w:p>
    <w:p w14:paraId="09B61D47" w14:textId="77777777" w:rsidR="008043D0" w:rsidRPr="008043D0" w:rsidRDefault="008043D0" w:rsidP="008043D0">
      <w:pPr>
        <w:spacing w:after="240"/>
        <w:jc w:val="both"/>
        <w:rPr>
          <w:rFonts w:ascii="Roboto" w:hAnsi="Roboto"/>
          <w:b/>
          <w:bCs/>
          <w:lang w:val="lt-LT"/>
        </w:rPr>
      </w:pPr>
      <w:r w:rsidRPr="008043D0">
        <w:rPr>
          <w:rFonts w:ascii="Roboto" w:hAnsi="Roboto"/>
          <w:b/>
          <w:bCs/>
          <w:lang w:val="lt-LT"/>
        </w:rPr>
        <w:t>Finansavimo augimas visuose klientų segmentuose</w:t>
      </w:r>
    </w:p>
    <w:p w14:paraId="2A8DD6C1" w14:textId="77777777" w:rsidR="008043D0" w:rsidRPr="008043D0" w:rsidRDefault="008043D0" w:rsidP="008043D0">
      <w:pPr>
        <w:spacing w:after="240"/>
        <w:jc w:val="both"/>
        <w:rPr>
          <w:rFonts w:ascii="Roboto" w:hAnsi="Roboto"/>
          <w:lang w:val="lt-LT"/>
        </w:rPr>
      </w:pPr>
      <w:r w:rsidRPr="008043D0">
        <w:rPr>
          <w:rFonts w:ascii="Roboto" w:hAnsi="Roboto"/>
          <w:lang w:val="lt-LT"/>
        </w:rPr>
        <w:t xml:space="preserve">Pirmąjį 2025 m. ketvirtį „Citadele“ bankas išlaikė stiprų augimą visuose pagrindiniuose finansavimo segmentuose. Naujai išduotų paskolų apimtys mažmeninės ir privačios bankininkystės segmentuose pasiekė 121 mln. eurų – 25 proc. daugiau nei tuo pačiu laikotarpiu pernai. Naujas finansavimas smulkiam ir vidutiniam verslui sudarė 145 mln. eurų – taip pat 25 proc. daugiau nei pernai. Stambiojo verslo įmonėms paskolinta 84 mln. eurų – 85 proc. daugiau nei tuo pačiu laikotarpiu pernai. Solidžią mažmeninės bankininkystės segmento finansavimo dalį, net 30 proc. visų būsto paskolų, sudarė žaliosios būsto paskolos –13,4 mln. eurų. Iki 2025 m. kovo 31 d. </w:t>
      </w:r>
    </w:p>
    <w:p w14:paraId="1E74792A" w14:textId="77777777" w:rsidR="008043D0" w:rsidRPr="008043D0" w:rsidRDefault="008043D0" w:rsidP="008043D0">
      <w:pPr>
        <w:spacing w:after="240"/>
        <w:jc w:val="both"/>
        <w:rPr>
          <w:rFonts w:ascii="Roboto" w:hAnsi="Roboto"/>
          <w:lang w:val="lt-LT"/>
        </w:rPr>
      </w:pPr>
      <w:r w:rsidRPr="008043D0">
        <w:rPr>
          <w:rFonts w:ascii="Roboto" w:hAnsi="Roboto"/>
          <w:lang w:val="lt-LT"/>
        </w:rPr>
        <w:t>„Citadele“ e. prekybos mokėjimų sprendimą „Klix“ įdiegė daugiau nei 3 200 prekybininkų. Platformą naudojo 492 000 registruotų vartotojų, iš kurių 187 000 buvo aktyvūs. Per pirmąjį 2025 m. ketvirtį „Klix“ įvykdė 6,1 mln. operacijų, kurių bendra vertė siekė 239,3 mln. eurų. Paslaugos „Atsiskaitymas dalimis“ apimtys padidėjo iki 10 mln. eurų, palyginti su 7,7 mln. eurų tuo pačiu laikotarpiu pernai. Tarp naujų „Klix“ klientų - viena didžiausių telekomunikacijų bendrovė Latvijoje.</w:t>
      </w:r>
    </w:p>
    <w:p w14:paraId="75590BEF" w14:textId="77777777" w:rsidR="008043D0" w:rsidRPr="008043D0" w:rsidRDefault="008043D0" w:rsidP="008043D0">
      <w:pPr>
        <w:spacing w:after="240"/>
        <w:jc w:val="both"/>
        <w:rPr>
          <w:rFonts w:ascii="Roboto" w:hAnsi="Roboto"/>
          <w:b/>
          <w:bCs/>
          <w:lang w:val="lt-LT"/>
        </w:rPr>
      </w:pPr>
      <w:r w:rsidRPr="008043D0">
        <w:rPr>
          <w:rFonts w:ascii="Roboto" w:hAnsi="Roboto"/>
          <w:b/>
          <w:bCs/>
          <w:lang w:val="lt-LT"/>
        </w:rPr>
        <w:t>Klientų bazės augimas ir skaitmeninių sprendimų plėtra</w:t>
      </w:r>
    </w:p>
    <w:p w14:paraId="742BBB32" w14:textId="77777777" w:rsidR="008043D0" w:rsidRPr="008043D0" w:rsidRDefault="008043D0" w:rsidP="008043D0">
      <w:pPr>
        <w:spacing w:after="240"/>
        <w:jc w:val="both"/>
        <w:rPr>
          <w:rFonts w:ascii="Roboto" w:hAnsi="Roboto"/>
          <w:lang w:val="lt-LT"/>
        </w:rPr>
      </w:pPr>
      <w:r w:rsidRPr="008043D0">
        <w:rPr>
          <w:rFonts w:ascii="Roboto" w:hAnsi="Roboto"/>
          <w:lang w:val="lt-LT"/>
        </w:rPr>
        <w:t>„Citadele“ bankas toliau stiprino savo pozicijas rinkoje, didindamas aktyvių klientų bazę. 2025 m. kovo 31 d. ji siekė 403 tūkst. klientų – 6,2 proc. daugiau nei 2024 m. pirmąjį ketvirtį. 88,9 proc. klientų aktyviai naudojosi skaitmeniniais kanalais. Aktyvių mobiliosios programėlės vartotojų skaičius augo 5,1 proc. ir pasiekė 272,9 tūkst. Nors dauguma skaitmeniniais kanalais besinaudojančių klientų teikia pirmenybę mobiliajai programėlei, kiti ir toliau naudojasi internetinės bankininkystės paslaugomis.</w:t>
      </w:r>
    </w:p>
    <w:p w14:paraId="4CB9523E" w14:textId="77777777" w:rsidR="008043D0" w:rsidRPr="008043D0" w:rsidRDefault="008043D0" w:rsidP="008043D0">
      <w:pPr>
        <w:spacing w:after="240"/>
        <w:jc w:val="both"/>
        <w:rPr>
          <w:rFonts w:ascii="Roboto" w:hAnsi="Roboto"/>
          <w:b/>
          <w:bCs/>
          <w:lang w:val="lt-LT"/>
        </w:rPr>
      </w:pPr>
      <w:r w:rsidRPr="008043D0">
        <w:rPr>
          <w:rFonts w:ascii="Roboto" w:hAnsi="Roboto"/>
          <w:b/>
          <w:bCs/>
          <w:lang w:val="lt-LT"/>
        </w:rPr>
        <w:t>Finansiniai rezultatai</w:t>
      </w:r>
    </w:p>
    <w:p w14:paraId="7C94EFB5" w14:textId="77777777" w:rsidR="008043D0" w:rsidRPr="008043D0" w:rsidRDefault="008043D0" w:rsidP="008043D0">
      <w:pPr>
        <w:jc w:val="both"/>
        <w:rPr>
          <w:rFonts w:ascii="Roboto" w:hAnsi="Roboto"/>
          <w:lang w:val="lt-LT"/>
        </w:rPr>
      </w:pPr>
      <w:r w:rsidRPr="008043D0">
        <w:rPr>
          <w:rFonts w:ascii="Roboto" w:hAnsi="Roboto"/>
          <w:lang w:val="lt-LT"/>
        </w:rPr>
        <w:t xml:space="preserve">Pirmąjį 2025 m. ketvirtį „Citadele“ banko veiklos pajamos pasiekė 53,4 mln. eurų, o nuosavo kapitalo grąža (ROE) – 15 proc. </w:t>
      </w:r>
    </w:p>
    <w:p w14:paraId="78BCF520" w14:textId="77777777" w:rsidR="008043D0" w:rsidRPr="008043D0" w:rsidRDefault="008043D0" w:rsidP="008043D0">
      <w:pPr>
        <w:spacing w:after="240"/>
        <w:jc w:val="both"/>
        <w:rPr>
          <w:rFonts w:ascii="Roboto" w:hAnsi="Roboto"/>
          <w:lang w:val="lt-LT"/>
        </w:rPr>
      </w:pPr>
      <w:r w:rsidRPr="008043D0">
        <w:rPr>
          <w:rFonts w:ascii="Roboto" w:hAnsi="Roboto"/>
          <w:lang w:val="lt-LT"/>
        </w:rPr>
        <w:lastRenderedPageBreak/>
        <w:t>Banko bendras paskolų portfelis sudarė 3,366 mlrd. eurų, tai yra 3 proc. (92 mln. eurų) daugiau, palyginti su 2024 m. gruodžio 31 d. Paskolų ir indėlių santykis padidėjo iki 87 proc., palyginti su 81 proc. 2024 m. pabaigoje.</w:t>
      </w:r>
    </w:p>
    <w:p w14:paraId="0414CEEE" w14:textId="77777777" w:rsidR="008043D0" w:rsidRPr="008043D0" w:rsidRDefault="008043D0" w:rsidP="008043D0">
      <w:pPr>
        <w:spacing w:after="240"/>
        <w:jc w:val="both"/>
        <w:rPr>
          <w:rFonts w:ascii="Roboto" w:hAnsi="Roboto"/>
          <w:lang w:val="lt-LT"/>
        </w:rPr>
      </w:pPr>
      <w:r w:rsidRPr="008043D0">
        <w:rPr>
          <w:rFonts w:ascii="Roboto" w:hAnsi="Roboto"/>
          <w:lang w:val="lt-LT"/>
        </w:rPr>
        <w:t>Banko klientų finansinė padėtis yra stabili, o paskolų portfelio kokybė išlieka stipri. 2025 m. kovo 31 d. duomenimis, negrąžintų paskolų (NPL) santykis buvo 2,3 proc., nepakitęs nuo 2024 m. pabaigos.</w:t>
      </w:r>
    </w:p>
    <w:p w14:paraId="2D532F25" w14:textId="77777777" w:rsidR="008043D0" w:rsidRPr="008043D0" w:rsidRDefault="008043D0" w:rsidP="008043D0">
      <w:pPr>
        <w:spacing w:after="240"/>
        <w:jc w:val="both"/>
        <w:rPr>
          <w:rFonts w:ascii="Roboto" w:hAnsi="Roboto"/>
          <w:lang w:val="lt-LT"/>
        </w:rPr>
      </w:pPr>
      <w:r w:rsidRPr="008043D0">
        <w:rPr>
          <w:rFonts w:ascii="Roboto" w:hAnsi="Roboto"/>
          <w:lang w:val="lt-LT"/>
        </w:rPr>
        <w:t xml:space="preserve">„Citadele“ indėlių bazė nuo 2024 m. pabaigos sumažėjo 4 proc. ir 2025 m. kovo 31 d. siekė 3,879 mlrd. eurų. Bankas išlaiko stiprius kapitalo ir likvidumo rodiklius: bendras kapitalo pakankamumo rodiklis (CAR) buvo 22,2 proc., 1 lygio rodiklis – 19,9 proc., o likvidumo padengimo rodiklis (LCR)– 185 proc. </w:t>
      </w:r>
    </w:p>
    <w:p w14:paraId="6B445822" w14:textId="77777777" w:rsidR="008043D0" w:rsidRPr="008043D0" w:rsidRDefault="008043D0" w:rsidP="008043D0">
      <w:pPr>
        <w:spacing w:after="240"/>
        <w:jc w:val="both"/>
        <w:rPr>
          <w:rFonts w:ascii="Roboto" w:hAnsi="Roboto"/>
          <w:b/>
          <w:bCs/>
          <w:lang w:val="lt-LT"/>
        </w:rPr>
      </w:pPr>
      <w:r w:rsidRPr="008043D0">
        <w:rPr>
          <w:rFonts w:ascii="Roboto" w:hAnsi="Roboto"/>
          <w:b/>
          <w:bCs/>
          <w:lang w:val="lt-LT"/>
        </w:rPr>
        <w:t>2025 m. pirmojo ketvirčio veiklos rodikliai:</w:t>
      </w:r>
    </w:p>
    <w:p w14:paraId="37F60B4F" w14:textId="77777777" w:rsidR="008043D0" w:rsidRPr="008043D0" w:rsidRDefault="008043D0" w:rsidP="008043D0">
      <w:pPr>
        <w:spacing w:after="240"/>
        <w:jc w:val="both"/>
        <w:rPr>
          <w:rFonts w:ascii="Roboto" w:hAnsi="Roboto"/>
          <w:lang w:val="lt-LT"/>
        </w:rPr>
      </w:pPr>
      <w:r w:rsidRPr="008043D0">
        <w:rPr>
          <w:rFonts w:ascii="Roboto" w:hAnsi="Roboto"/>
          <w:lang w:val="lt-LT"/>
        </w:rPr>
        <w:t>Veiklos pajamos: 53,4 mln. eurų</w:t>
      </w:r>
    </w:p>
    <w:p w14:paraId="751CB262" w14:textId="77777777" w:rsidR="008043D0" w:rsidRPr="008043D0" w:rsidRDefault="008043D0" w:rsidP="008043D0">
      <w:pPr>
        <w:spacing w:after="240"/>
        <w:jc w:val="both"/>
        <w:rPr>
          <w:rFonts w:ascii="Roboto" w:hAnsi="Roboto"/>
          <w:lang w:val="lt-LT"/>
        </w:rPr>
      </w:pPr>
      <w:r w:rsidRPr="008043D0">
        <w:rPr>
          <w:rFonts w:ascii="Roboto" w:hAnsi="Roboto"/>
          <w:lang w:val="lt-LT"/>
        </w:rPr>
        <w:t>Grynasis pelnas: 21,5 mln. eurų</w:t>
      </w:r>
    </w:p>
    <w:p w14:paraId="68F44DE3" w14:textId="77777777" w:rsidR="008043D0" w:rsidRPr="008043D0" w:rsidRDefault="008043D0" w:rsidP="008043D0">
      <w:pPr>
        <w:spacing w:after="240"/>
        <w:jc w:val="both"/>
        <w:rPr>
          <w:rFonts w:ascii="Roboto" w:hAnsi="Roboto"/>
          <w:lang w:val="lt-LT"/>
        </w:rPr>
      </w:pPr>
      <w:r w:rsidRPr="008043D0">
        <w:rPr>
          <w:rFonts w:ascii="Roboto" w:hAnsi="Roboto"/>
          <w:lang w:val="lt-LT"/>
        </w:rPr>
        <w:t>„Citadele“ banko bendras paskolų portfelis: 3,366 mlrd. eurų</w:t>
      </w:r>
    </w:p>
    <w:p w14:paraId="7F5CFA11" w14:textId="77777777" w:rsidR="008043D0" w:rsidRPr="008043D0" w:rsidRDefault="008043D0" w:rsidP="008043D0">
      <w:pPr>
        <w:jc w:val="both"/>
        <w:rPr>
          <w:rFonts w:ascii="Roboto" w:hAnsi="Roboto"/>
          <w:lang w:val="lt-LT"/>
        </w:rPr>
      </w:pPr>
      <w:r w:rsidRPr="008043D0">
        <w:rPr>
          <w:rFonts w:ascii="Roboto" w:hAnsi="Roboto"/>
          <w:lang w:val="lt-LT"/>
        </w:rPr>
        <w:t>Klientų indėliai: 3,879 mlrd. eurų</w:t>
      </w:r>
    </w:p>
    <w:p w14:paraId="2CF26101" w14:textId="77777777" w:rsidR="008043D0" w:rsidRPr="008043D0" w:rsidRDefault="008043D0" w:rsidP="008043D0">
      <w:pPr>
        <w:jc w:val="both"/>
        <w:rPr>
          <w:rFonts w:ascii="Roboto" w:hAnsi="Roboto"/>
          <w:lang w:val="lt-LT"/>
        </w:rPr>
      </w:pPr>
    </w:p>
    <w:p w14:paraId="69801C62" w14:textId="77777777" w:rsidR="008043D0" w:rsidRPr="008043D0" w:rsidRDefault="008043D0" w:rsidP="008043D0">
      <w:pPr>
        <w:jc w:val="both"/>
        <w:rPr>
          <w:rFonts w:ascii="Roboto" w:hAnsi="Roboto"/>
          <w:lang w:val="lt-LT"/>
        </w:rPr>
      </w:pPr>
    </w:p>
    <w:p w14:paraId="1E59A2E9" w14:textId="55096108" w:rsidR="00AA46CC" w:rsidRPr="008043D0" w:rsidRDefault="00AA46CC" w:rsidP="008043D0">
      <w:pPr>
        <w:jc w:val="both"/>
        <w:rPr>
          <w:rFonts w:ascii="Roboto" w:eastAsia="Roboto" w:hAnsi="Roboto" w:cs="Roboto"/>
          <w:lang w:val="lt-LT"/>
        </w:rPr>
      </w:pPr>
    </w:p>
    <w:sectPr w:rsidR="00AA46CC" w:rsidRPr="008043D0"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829CA8" w14:textId="77777777" w:rsidR="008043D0" w:rsidRDefault="008043D0">
      <w:r>
        <w:separator/>
      </w:r>
    </w:p>
  </w:endnote>
  <w:endnote w:type="continuationSeparator" w:id="0">
    <w:p w14:paraId="4AA60F25" w14:textId="77777777" w:rsidR="008043D0" w:rsidRDefault="008043D0">
      <w:r>
        <w:continuationSeparator/>
      </w:r>
    </w:p>
  </w:endnote>
  <w:endnote w:type="continuationNotice" w:id="1">
    <w:p w14:paraId="14BCF6DD" w14:textId="77777777" w:rsidR="008043D0" w:rsidRDefault="008043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BA"/>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18CEB" w14:textId="77777777" w:rsidR="008043D0" w:rsidRDefault="008043D0">
      <w:r>
        <w:separator/>
      </w:r>
    </w:p>
  </w:footnote>
  <w:footnote w:type="continuationSeparator" w:id="0">
    <w:p w14:paraId="7EF5DEFF" w14:textId="77777777" w:rsidR="008043D0" w:rsidRDefault="008043D0">
      <w:r>
        <w:continuationSeparator/>
      </w:r>
    </w:p>
  </w:footnote>
  <w:footnote w:type="continuationNotice" w:id="1">
    <w:p w14:paraId="6BCB80B7" w14:textId="77777777" w:rsidR="008043D0" w:rsidRDefault="008043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2E26E"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51B9C9E0" wp14:editId="5F827216">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removePersonalInformation/>
  <w:removeDateAndTim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3D0"/>
    <w:rsid w:val="00000C7D"/>
    <w:rsid w:val="00005ED8"/>
    <w:rsid w:val="000139FC"/>
    <w:rsid w:val="00034A9D"/>
    <w:rsid w:val="00040077"/>
    <w:rsid w:val="000530F1"/>
    <w:rsid w:val="00057DCA"/>
    <w:rsid w:val="000747B8"/>
    <w:rsid w:val="00076582"/>
    <w:rsid w:val="00086C28"/>
    <w:rsid w:val="00087419"/>
    <w:rsid w:val="0009143F"/>
    <w:rsid w:val="000955B7"/>
    <w:rsid w:val="000A21BD"/>
    <w:rsid w:val="000A6315"/>
    <w:rsid w:val="000B2F09"/>
    <w:rsid w:val="000C205A"/>
    <w:rsid w:val="000C2785"/>
    <w:rsid w:val="000C4112"/>
    <w:rsid w:val="000C681A"/>
    <w:rsid w:val="000C79D1"/>
    <w:rsid w:val="000C7B36"/>
    <w:rsid w:val="000D5F72"/>
    <w:rsid w:val="000E7040"/>
    <w:rsid w:val="000F2CC4"/>
    <w:rsid w:val="000F6942"/>
    <w:rsid w:val="000F7D70"/>
    <w:rsid w:val="00100668"/>
    <w:rsid w:val="00103A55"/>
    <w:rsid w:val="0010749E"/>
    <w:rsid w:val="00111652"/>
    <w:rsid w:val="00113BB6"/>
    <w:rsid w:val="001177AF"/>
    <w:rsid w:val="00126612"/>
    <w:rsid w:val="001316C3"/>
    <w:rsid w:val="00133BBD"/>
    <w:rsid w:val="00146EA2"/>
    <w:rsid w:val="00146FA7"/>
    <w:rsid w:val="00150826"/>
    <w:rsid w:val="0015092B"/>
    <w:rsid w:val="001519AC"/>
    <w:rsid w:val="00164B89"/>
    <w:rsid w:val="001651DE"/>
    <w:rsid w:val="001712C1"/>
    <w:rsid w:val="001763E6"/>
    <w:rsid w:val="001879C6"/>
    <w:rsid w:val="00193B2C"/>
    <w:rsid w:val="001A21C1"/>
    <w:rsid w:val="001A3D24"/>
    <w:rsid w:val="001A4F96"/>
    <w:rsid w:val="001B160F"/>
    <w:rsid w:val="001B2A11"/>
    <w:rsid w:val="001C36C4"/>
    <w:rsid w:val="001C67F6"/>
    <w:rsid w:val="001D2B6F"/>
    <w:rsid w:val="001D7655"/>
    <w:rsid w:val="001E2DEC"/>
    <w:rsid w:val="001E4AB7"/>
    <w:rsid w:val="001F4523"/>
    <w:rsid w:val="001F4918"/>
    <w:rsid w:val="001F67DA"/>
    <w:rsid w:val="002031C3"/>
    <w:rsid w:val="00205E62"/>
    <w:rsid w:val="002138A7"/>
    <w:rsid w:val="002148A5"/>
    <w:rsid w:val="00217F38"/>
    <w:rsid w:val="00226D58"/>
    <w:rsid w:val="00240880"/>
    <w:rsid w:val="00247EFD"/>
    <w:rsid w:val="002531B2"/>
    <w:rsid w:val="00255CB0"/>
    <w:rsid w:val="00256333"/>
    <w:rsid w:val="00267238"/>
    <w:rsid w:val="00274F84"/>
    <w:rsid w:val="00276406"/>
    <w:rsid w:val="00282971"/>
    <w:rsid w:val="00285AE4"/>
    <w:rsid w:val="00291BDB"/>
    <w:rsid w:val="00293EB6"/>
    <w:rsid w:val="00296E1F"/>
    <w:rsid w:val="002A02F7"/>
    <w:rsid w:val="002A20FC"/>
    <w:rsid w:val="002A37BA"/>
    <w:rsid w:val="002B6E04"/>
    <w:rsid w:val="002C7FDA"/>
    <w:rsid w:val="002D01AB"/>
    <w:rsid w:val="002D2517"/>
    <w:rsid w:val="002D751D"/>
    <w:rsid w:val="003023CF"/>
    <w:rsid w:val="00304259"/>
    <w:rsid w:val="0031306A"/>
    <w:rsid w:val="00340411"/>
    <w:rsid w:val="0034319E"/>
    <w:rsid w:val="0034474B"/>
    <w:rsid w:val="00354344"/>
    <w:rsid w:val="003558B8"/>
    <w:rsid w:val="00355BF5"/>
    <w:rsid w:val="00357BDC"/>
    <w:rsid w:val="00362639"/>
    <w:rsid w:val="0036716E"/>
    <w:rsid w:val="00367245"/>
    <w:rsid w:val="003733A6"/>
    <w:rsid w:val="00373681"/>
    <w:rsid w:val="00376F32"/>
    <w:rsid w:val="00377709"/>
    <w:rsid w:val="003810FC"/>
    <w:rsid w:val="00381540"/>
    <w:rsid w:val="003817C2"/>
    <w:rsid w:val="003841F2"/>
    <w:rsid w:val="00384BCB"/>
    <w:rsid w:val="003A1241"/>
    <w:rsid w:val="003A5F01"/>
    <w:rsid w:val="003B262B"/>
    <w:rsid w:val="003C07CD"/>
    <w:rsid w:val="003C1300"/>
    <w:rsid w:val="003C424C"/>
    <w:rsid w:val="003D0C42"/>
    <w:rsid w:val="003D324D"/>
    <w:rsid w:val="003D363B"/>
    <w:rsid w:val="003D60FD"/>
    <w:rsid w:val="003E111D"/>
    <w:rsid w:val="003E3FCE"/>
    <w:rsid w:val="003E54BA"/>
    <w:rsid w:val="003F461C"/>
    <w:rsid w:val="00405C68"/>
    <w:rsid w:val="00412829"/>
    <w:rsid w:val="00421ECF"/>
    <w:rsid w:val="00431994"/>
    <w:rsid w:val="00432BB3"/>
    <w:rsid w:val="00432CE8"/>
    <w:rsid w:val="0043482D"/>
    <w:rsid w:val="00437502"/>
    <w:rsid w:val="00441017"/>
    <w:rsid w:val="00443D9F"/>
    <w:rsid w:val="004523ED"/>
    <w:rsid w:val="00452879"/>
    <w:rsid w:val="00453A2B"/>
    <w:rsid w:val="00456C69"/>
    <w:rsid w:val="0046007B"/>
    <w:rsid w:val="00463C05"/>
    <w:rsid w:val="00470089"/>
    <w:rsid w:val="00482A2E"/>
    <w:rsid w:val="0049268F"/>
    <w:rsid w:val="004A379A"/>
    <w:rsid w:val="004B4868"/>
    <w:rsid w:val="004C5ECF"/>
    <w:rsid w:val="004C62C4"/>
    <w:rsid w:val="004E3889"/>
    <w:rsid w:val="004E7ADF"/>
    <w:rsid w:val="005038B4"/>
    <w:rsid w:val="005341CF"/>
    <w:rsid w:val="00537090"/>
    <w:rsid w:val="00553979"/>
    <w:rsid w:val="0056119E"/>
    <w:rsid w:val="005642D8"/>
    <w:rsid w:val="005678D4"/>
    <w:rsid w:val="005769B0"/>
    <w:rsid w:val="005804F9"/>
    <w:rsid w:val="00592E74"/>
    <w:rsid w:val="0059349A"/>
    <w:rsid w:val="005A6FD9"/>
    <w:rsid w:val="005A73A9"/>
    <w:rsid w:val="005B21FC"/>
    <w:rsid w:val="005B24C0"/>
    <w:rsid w:val="005B379A"/>
    <w:rsid w:val="005B5C94"/>
    <w:rsid w:val="005C3989"/>
    <w:rsid w:val="005C4F28"/>
    <w:rsid w:val="005C7A03"/>
    <w:rsid w:val="005D1445"/>
    <w:rsid w:val="005D44B0"/>
    <w:rsid w:val="005D62DB"/>
    <w:rsid w:val="005F1AC5"/>
    <w:rsid w:val="005F4F00"/>
    <w:rsid w:val="0060245B"/>
    <w:rsid w:val="00606220"/>
    <w:rsid w:val="00612B9D"/>
    <w:rsid w:val="00612EF0"/>
    <w:rsid w:val="0062261B"/>
    <w:rsid w:val="006252B0"/>
    <w:rsid w:val="006321F2"/>
    <w:rsid w:val="00637D69"/>
    <w:rsid w:val="00641648"/>
    <w:rsid w:val="006417F6"/>
    <w:rsid w:val="00651C3A"/>
    <w:rsid w:val="00652C47"/>
    <w:rsid w:val="00653F73"/>
    <w:rsid w:val="006578C3"/>
    <w:rsid w:val="00667E1F"/>
    <w:rsid w:val="00670B04"/>
    <w:rsid w:val="00670CA9"/>
    <w:rsid w:val="0067211F"/>
    <w:rsid w:val="006749CA"/>
    <w:rsid w:val="00675976"/>
    <w:rsid w:val="00687768"/>
    <w:rsid w:val="00693869"/>
    <w:rsid w:val="006A0C4B"/>
    <w:rsid w:val="006A6CB9"/>
    <w:rsid w:val="006C4A12"/>
    <w:rsid w:val="006D49C5"/>
    <w:rsid w:val="006D4EFF"/>
    <w:rsid w:val="006D60E6"/>
    <w:rsid w:val="006D65D1"/>
    <w:rsid w:val="006D6D2C"/>
    <w:rsid w:val="006D7DE3"/>
    <w:rsid w:val="006E4CD6"/>
    <w:rsid w:val="006F696D"/>
    <w:rsid w:val="00706B0B"/>
    <w:rsid w:val="00716782"/>
    <w:rsid w:val="00725F93"/>
    <w:rsid w:val="00745BCF"/>
    <w:rsid w:val="00750B84"/>
    <w:rsid w:val="00756F2F"/>
    <w:rsid w:val="00765CB4"/>
    <w:rsid w:val="007729DE"/>
    <w:rsid w:val="00772D30"/>
    <w:rsid w:val="007739D2"/>
    <w:rsid w:val="00775B51"/>
    <w:rsid w:val="007832A6"/>
    <w:rsid w:val="00783C5E"/>
    <w:rsid w:val="00791BE6"/>
    <w:rsid w:val="007926B4"/>
    <w:rsid w:val="00795AAA"/>
    <w:rsid w:val="007A60EF"/>
    <w:rsid w:val="007B0B4D"/>
    <w:rsid w:val="007B5FBB"/>
    <w:rsid w:val="007C5015"/>
    <w:rsid w:val="007C72D6"/>
    <w:rsid w:val="007D28CC"/>
    <w:rsid w:val="007D5CBF"/>
    <w:rsid w:val="007D78F8"/>
    <w:rsid w:val="007E6ED0"/>
    <w:rsid w:val="007F0DFE"/>
    <w:rsid w:val="007F0E63"/>
    <w:rsid w:val="007F618C"/>
    <w:rsid w:val="008043D0"/>
    <w:rsid w:val="00810623"/>
    <w:rsid w:val="00811C55"/>
    <w:rsid w:val="00813D98"/>
    <w:rsid w:val="008157DB"/>
    <w:rsid w:val="00817B8E"/>
    <w:rsid w:val="0082010E"/>
    <w:rsid w:val="00820A21"/>
    <w:rsid w:val="00830738"/>
    <w:rsid w:val="00830FE5"/>
    <w:rsid w:val="00836F9A"/>
    <w:rsid w:val="00843554"/>
    <w:rsid w:val="00844FF7"/>
    <w:rsid w:val="00851C1E"/>
    <w:rsid w:val="00857E1D"/>
    <w:rsid w:val="0086342D"/>
    <w:rsid w:val="00867F03"/>
    <w:rsid w:val="00871B6D"/>
    <w:rsid w:val="0087788A"/>
    <w:rsid w:val="00884564"/>
    <w:rsid w:val="008941D8"/>
    <w:rsid w:val="00894B09"/>
    <w:rsid w:val="008A2FFC"/>
    <w:rsid w:val="008A4C9A"/>
    <w:rsid w:val="008B1179"/>
    <w:rsid w:val="008B2146"/>
    <w:rsid w:val="008B66B6"/>
    <w:rsid w:val="008C2BAA"/>
    <w:rsid w:val="008C4CE2"/>
    <w:rsid w:val="008D0600"/>
    <w:rsid w:val="008D7AFB"/>
    <w:rsid w:val="008E0E37"/>
    <w:rsid w:val="008E72E2"/>
    <w:rsid w:val="008F090E"/>
    <w:rsid w:val="008F2B50"/>
    <w:rsid w:val="0090288C"/>
    <w:rsid w:val="009128D4"/>
    <w:rsid w:val="00913B57"/>
    <w:rsid w:val="00914FF7"/>
    <w:rsid w:val="00925B1A"/>
    <w:rsid w:val="009317C8"/>
    <w:rsid w:val="00934D3C"/>
    <w:rsid w:val="00937375"/>
    <w:rsid w:val="009424D9"/>
    <w:rsid w:val="009469E0"/>
    <w:rsid w:val="00950A13"/>
    <w:rsid w:val="00950D9D"/>
    <w:rsid w:val="00971710"/>
    <w:rsid w:val="00972C2B"/>
    <w:rsid w:val="00973867"/>
    <w:rsid w:val="009819F3"/>
    <w:rsid w:val="009973DD"/>
    <w:rsid w:val="009A2CF9"/>
    <w:rsid w:val="009A3B80"/>
    <w:rsid w:val="009A553C"/>
    <w:rsid w:val="009C4F10"/>
    <w:rsid w:val="009C7592"/>
    <w:rsid w:val="009D1A68"/>
    <w:rsid w:val="009E3E79"/>
    <w:rsid w:val="009F1569"/>
    <w:rsid w:val="009F20EC"/>
    <w:rsid w:val="009F22EB"/>
    <w:rsid w:val="009F705D"/>
    <w:rsid w:val="009F7837"/>
    <w:rsid w:val="00A01242"/>
    <w:rsid w:val="00A021A7"/>
    <w:rsid w:val="00A02646"/>
    <w:rsid w:val="00A101DD"/>
    <w:rsid w:val="00A10429"/>
    <w:rsid w:val="00A13912"/>
    <w:rsid w:val="00A13F9A"/>
    <w:rsid w:val="00A17F0C"/>
    <w:rsid w:val="00A20CE7"/>
    <w:rsid w:val="00A314B7"/>
    <w:rsid w:val="00A32F30"/>
    <w:rsid w:val="00A47726"/>
    <w:rsid w:val="00A47918"/>
    <w:rsid w:val="00A4E2D1"/>
    <w:rsid w:val="00A52780"/>
    <w:rsid w:val="00A6012C"/>
    <w:rsid w:val="00A70BC9"/>
    <w:rsid w:val="00A7675E"/>
    <w:rsid w:val="00A77C6E"/>
    <w:rsid w:val="00A8259E"/>
    <w:rsid w:val="00A836C0"/>
    <w:rsid w:val="00A84F07"/>
    <w:rsid w:val="00A87DEB"/>
    <w:rsid w:val="00A9160C"/>
    <w:rsid w:val="00A97E95"/>
    <w:rsid w:val="00AA23CC"/>
    <w:rsid w:val="00AA46CC"/>
    <w:rsid w:val="00AA4D21"/>
    <w:rsid w:val="00AA5FB8"/>
    <w:rsid w:val="00AB6D5D"/>
    <w:rsid w:val="00AD2706"/>
    <w:rsid w:val="00AD5B98"/>
    <w:rsid w:val="00AD65D1"/>
    <w:rsid w:val="00AF1D3A"/>
    <w:rsid w:val="00AF40C4"/>
    <w:rsid w:val="00AF4153"/>
    <w:rsid w:val="00AF7DA9"/>
    <w:rsid w:val="00B000E4"/>
    <w:rsid w:val="00B07C55"/>
    <w:rsid w:val="00B102B7"/>
    <w:rsid w:val="00B220A6"/>
    <w:rsid w:val="00B30F79"/>
    <w:rsid w:val="00B34891"/>
    <w:rsid w:val="00B34D30"/>
    <w:rsid w:val="00B35469"/>
    <w:rsid w:val="00B3771B"/>
    <w:rsid w:val="00B50BD9"/>
    <w:rsid w:val="00B50E0E"/>
    <w:rsid w:val="00B56CA2"/>
    <w:rsid w:val="00B704E3"/>
    <w:rsid w:val="00B722A0"/>
    <w:rsid w:val="00B7430C"/>
    <w:rsid w:val="00B76833"/>
    <w:rsid w:val="00B84305"/>
    <w:rsid w:val="00B91DEA"/>
    <w:rsid w:val="00B92CF7"/>
    <w:rsid w:val="00B95EFB"/>
    <w:rsid w:val="00BA35EC"/>
    <w:rsid w:val="00BA4999"/>
    <w:rsid w:val="00BA4A02"/>
    <w:rsid w:val="00BB21FD"/>
    <w:rsid w:val="00BB59E9"/>
    <w:rsid w:val="00BC024D"/>
    <w:rsid w:val="00BC7216"/>
    <w:rsid w:val="00BD53E6"/>
    <w:rsid w:val="00BE1CC4"/>
    <w:rsid w:val="00BE292D"/>
    <w:rsid w:val="00BF2AAA"/>
    <w:rsid w:val="00BF4998"/>
    <w:rsid w:val="00BF49CD"/>
    <w:rsid w:val="00C122C6"/>
    <w:rsid w:val="00C135A1"/>
    <w:rsid w:val="00C16803"/>
    <w:rsid w:val="00C240E2"/>
    <w:rsid w:val="00C24CB6"/>
    <w:rsid w:val="00C34431"/>
    <w:rsid w:val="00C417D4"/>
    <w:rsid w:val="00C47ABA"/>
    <w:rsid w:val="00C62269"/>
    <w:rsid w:val="00C63682"/>
    <w:rsid w:val="00C6514A"/>
    <w:rsid w:val="00C858C7"/>
    <w:rsid w:val="00C95C72"/>
    <w:rsid w:val="00CA18B7"/>
    <w:rsid w:val="00CB4475"/>
    <w:rsid w:val="00CC4C35"/>
    <w:rsid w:val="00CC63B6"/>
    <w:rsid w:val="00CC6BAF"/>
    <w:rsid w:val="00CD02A2"/>
    <w:rsid w:val="00CD07A2"/>
    <w:rsid w:val="00CD1262"/>
    <w:rsid w:val="00CD39B2"/>
    <w:rsid w:val="00CD7D4D"/>
    <w:rsid w:val="00CF7597"/>
    <w:rsid w:val="00D03C0E"/>
    <w:rsid w:val="00D04DB4"/>
    <w:rsid w:val="00D1106E"/>
    <w:rsid w:val="00D12E99"/>
    <w:rsid w:val="00D265D9"/>
    <w:rsid w:val="00D34BBB"/>
    <w:rsid w:val="00D465BB"/>
    <w:rsid w:val="00D532F4"/>
    <w:rsid w:val="00D54515"/>
    <w:rsid w:val="00D63CF7"/>
    <w:rsid w:val="00D66428"/>
    <w:rsid w:val="00D66BA7"/>
    <w:rsid w:val="00D70FE5"/>
    <w:rsid w:val="00D7271A"/>
    <w:rsid w:val="00D73C33"/>
    <w:rsid w:val="00D82446"/>
    <w:rsid w:val="00D8340D"/>
    <w:rsid w:val="00D84A9B"/>
    <w:rsid w:val="00D8649B"/>
    <w:rsid w:val="00D929CD"/>
    <w:rsid w:val="00D93595"/>
    <w:rsid w:val="00DA0B17"/>
    <w:rsid w:val="00DA6B31"/>
    <w:rsid w:val="00DB1DD0"/>
    <w:rsid w:val="00DB72F6"/>
    <w:rsid w:val="00DB745A"/>
    <w:rsid w:val="00DC06DC"/>
    <w:rsid w:val="00DC60DE"/>
    <w:rsid w:val="00DD0601"/>
    <w:rsid w:val="00DD1CD9"/>
    <w:rsid w:val="00DF4B08"/>
    <w:rsid w:val="00E00496"/>
    <w:rsid w:val="00E02278"/>
    <w:rsid w:val="00E13964"/>
    <w:rsid w:val="00E1505F"/>
    <w:rsid w:val="00E22CC6"/>
    <w:rsid w:val="00E23A5A"/>
    <w:rsid w:val="00E33A8E"/>
    <w:rsid w:val="00E41E03"/>
    <w:rsid w:val="00E43A70"/>
    <w:rsid w:val="00E442A0"/>
    <w:rsid w:val="00E50A83"/>
    <w:rsid w:val="00E510D7"/>
    <w:rsid w:val="00E553DB"/>
    <w:rsid w:val="00E6355A"/>
    <w:rsid w:val="00E7698D"/>
    <w:rsid w:val="00E864CF"/>
    <w:rsid w:val="00E94808"/>
    <w:rsid w:val="00EA0551"/>
    <w:rsid w:val="00EA3319"/>
    <w:rsid w:val="00EA59DB"/>
    <w:rsid w:val="00EB15E8"/>
    <w:rsid w:val="00EB5D6C"/>
    <w:rsid w:val="00EC4D36"/>
    <w:rsid w:val="00ED101E"/>
    <w:rsid w:val="00ED2836"/>
    <w:rsid w:val="00ED467D"/>
    <w:rsid w:val="00ED771C"/>
    <w:rsid w:val="00EE3181"/>
    <w:rsid w:val="00EE56A7"/>
    <w:rsid w:val="00EE6710"/>
    <w:rsid w:val="00F1161C"/>
    <w:rsid w:val="00F14D0E"/>
    <w:rsid w:val="00F16A59"/>
    <w:rsid w:val="00F17096"/>
    <w:rsid w:val="00F23913"/>
    <w:rsid w:val="00F34D70"/>
    <w:rsid w:val="00F368DC"/>
    <w:rsid w:val="00F456D8"/>
    <w:rsid w:val="00F532A1"/>
    <w:rsid w:val="00F61F65"/>
    <w:rsid w:val="00F62FDA"/>
    <w:rsid w:val="00F648B5"/>
    <w:rsid w:val="00F64AB4"/>
    <w:rsid w:val="00F70FA7"/>
    <w:rsid w:val="00F71954"/>
    <w:rsid w:val="00F76F40"/>
    <w:rsid w:val="00F77F0D"/>
    <w:rsid w:val="00F9741A"/>
    <w:rsid w:val="00FA0006"/>
    <w:rsid w:val="00FC1395"/>
    <w:rsid w:val="00FC28D2"/>
    <w:rsid w:val="00FC34D8"/>
    <w:rsid w:val="00FC437A"/>
    <w:rsid w:val="00FC79C8"/>
    <w:rsid w:val="00FD5E9F"/>
    <w:rsid w:val="00FE00A7"/>
    <w:rsid w:val="00FE6814"/>
    <w:rsid w:val="00FF2D75"/>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2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7"/>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7"/>
    <w:unhideWhenUsed/>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na.storastaite/Library/Group%20Containers/UBF8T346G9.Office/User%20Content.localized/Templates.localized/CITADELE_2023%2007%20XX_Pranes&#780;imo%20s&#780;ablon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CITADELE_2023 07 XX_Pranešimo šablonas.dotx</Template>
  <TotalTime>0</TotalTime>
  <Pages>2</Pages>
  <Words>619</Words>
  <Characters>3959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2025-05-02T06:20:00Z</dcterms:created>
  <dcterms:modified xsi:type="dcterms:W3CDTF">2025-05-02T06:23:00Z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