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1CFCF" w14:textId="77777777" w:rsidR="00FC53A0" w:rsidRDefault="00000000" w:rsidP="00404BD3">
      <w:pPr>
        <w:pStyle w:val="Body"/>
      </w:pPr>
      <w:r>
        <w:rPr>
          <w:noProof/>
        </w:rPr>
        <w:drawing>
          <wp:inline distT="0" distB="0" distL="0" distR="0" wp14:anchorId="70EAA6F6" wp14:editId="75141025">
            <wp:extent cx="6400673" cy="1244576"/>
            <wp:effectExtent l="0" t="0" r="0" b="0"/>
            <wp:docPr id="1073741825" name="officeArt object" descr="A close 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1073741825" name="A close up of a logoDescription automatically generated" descr="A close up of a logoDescription automatically generated"/>
                    <pic:cNvPicPr>
                      <a:picLocks noChangeAspect="1"/>
                    </pic:cNvPicPr>
                  </pic:nvPicPr>
                  <pic:blipFill>
                    <a:blip r:embed="rId7"/>
                    <a:stretch>
                      <a:fillRect/>
                    </a:stretch>
                  </pic:blipFill>
                  <pic:spPr>
                    <a:xfrm>
                      <a:off x="0" y="0"/>
                      <a:ext cx="6400673" cy="1244576"/>
                    </a:xfrm>
                    <a:prstGeom prst="rect">
                      <a:avLst/>
                    </a:prstGeom>
                    <a:ln w="12700" cap="flat">
                      <a:noFill/>
                      <a:miter lim="400000"/>
                    </a:ln>
                    <a:effectLst/>
                  </pic:spPr>
                </pic:pic>
              </a:graphicData>
            </a:graphic>
          </wp:inline>
        </w:drawing>
      </w:r>
    </w:p>
    <w:p w14:paraId="706DE84D" w14:textId="6B78BC14" w:rsidR="00FC53A0" w:rsidRPr="00AB1AF9" w:rsidRDefault="00AB1AF9" w:rsidP="00404BD3">
      <w:pPr>
        <w:pStyle w:val="Body"/>
        <w:jc w:val="center"/>
        <w:rPr>
          <w:rFonts w:ascii="Helvetica" w:eastAsia="Helvetica" w:hAnsi="Helvetica" w:cs="Helvetica"/>
          <w:b/>
          <w:bCs/>
          <w:sz w:val="22"/>
          <w:szCs w:val="22"/>
        </w:rPr>
      </w:pPr>
      <w:r w:rsidRPr="00AB1AF9">
        <w:rPr>
          <w:rFonts w:ascii="Helvetica" w:eastAsia="Helvetica" w:hAnsi="Helvetica" w:cs="Helvetica"/>
          <w:b/>
          <w:bCs/>
          <w:sz w:val="32"/>
          <w:szCs w:val="32"/>
        </w:rPr>
        <w:t>Tikslui pasiekti – greičiau ir efektyviau: pristatyti nauji išmanieji „</w:t>
      </w:r>
      <w:proofErr w:type="spellStart"/>
      <w:r w:rsidRPr="00AB1AF9">
        <w:rPr>
          <w:rFonts w:ascii="Helvetica" w:eastAsia="Helvetica" w:hAnsi="Helvetica" w:cs="Helvetica"/>
          <w:b/>
          <w:bCs/>
          <w:sz w:val="32"/>
          <w:szCs w:val="32"/>
        </w:rPr>
        <w:t>Garmin</w:t>
      </w:r>
      <w:proofErr w:type="spellEnd"/>
      <w:r w:rsidRPr="00AB1AF9">
        <w:rPr>
          <w:rFonts w:ascii="Helvetica" w:eastAsia="Helvetica" w:hAnsi="Helvetica" w:cs="Helvetica"/>
          <w:b/>
          <w:bCs/>
          <w:sz w:val="32"/>
          <w:szCs w:val="32"/>
        </w:rPr>
        <w:t>“ treniruočių pagalbininkai</w:t>
      </w:r>
      <w:r w:rsidR="002163C0" w:rsidRPr="00AB1AF9">
        <w:rPr>
          <w:rFonts w:ascii="Helvetica" w:eastAsia="Helvetica" w:hAnsi="Helvetica" w:cs="Helvetica"/>
          <w:b/>
          <w:bCs/>
          <w:sz w:val="22"/>
          <w:szCs w:val="22"/>
        </w:rPr>
        <w:br/>
      </w:r>
    </w:p>
    <w:p w14:paraId="17D3B3B4" w14:textId="732BAF12" w:rsidR="00FC53A0" w:rsidRDefault="00A25C7A" w:rsidP="00404BD3">
      <w:pPr>
        <w:pStyle w:val="Body"/>
        <w:jc w:val="both"/>
        <w:rPr>
          <w:rFonts w:ascii="Helvetica" w:hAnsi="Helvetica"/>
          <w:b/>
          <w:bCs/>
          <w:sz w:val="22"/>
          <w:szCs w:val="22"/>
        </w:rPr>
      </w:pPr>
      <w:r w:rsidRPr="00A25C7A">
        <w:rPr>
          <w:rFonts w:ascii="Helvetica" w:hAnsi="Helvetica"/>
          <w:b/>
          <w:bCs/>
          <w:sz w:val="22"/>
          <w:szCs w:val="22"/>
        </w:rPr>
        <w:t>„</w:t>
      </w:r>
      <w:proofErr w:type="spellStart"/>
      <w:r w:rsidRPr="00A25C7A">
        <w:rPr>
          <w:rFonts w:ascii="Helvetica" w:hAnsi="Helvetica"/>
          <w:b/>
          <w:bCs/>
          <w:sz w:val="22"/>
          <w:szCs w:val="22"/>
        </w:rPr>
        <w:t>Garmin</w:t>
      </w:r>
      <w:proofErr w:type="spellEnd"/>
      <w:r w:rsidRPr="00A25C7A">
        <w:rPr>
          <w:rFonts w:ascii="Helvetica" w:hAnsi="Helvetica"/>
          <w:b/>
          <w:bCs/>
          <w:sz w:val="22"/>
          <w:szCs w:val="22"/>
        </w:rPr>
        <w:t xml:space="preserve">“ pristato pažangius sporto įrenginius profesionalams: </w:t>
      </w:r>
      <w:r w:rsidR="003B7779" w:rsidRPr="00AB1AF9">
        <w:rPr>
          <w:rFonts w:ascii="Helvetica" w:hAnsi="Helvetica"/>
          <w:b/>
          <w:bCs/>
          <w:sz w:val="22"/>
          <w:szCs w:val="22"/>
        </w:rPr>
        <w:t>„</w:t>
      </w:r>
      <w:r w:rsidRPr="00AB1AF9">
        <w:rPr>
          <w:rFonts w:ascii="Helvetica" w:hAnsi="Helvetica"/>
          <w:b/>
          <w:bCs/>
          <w:sz w:val="22"/>
          <w:szCs w:val="22"/>
        </w:rPr>
        <w:t>HRM 600</w:t>
      </w:r>
      <w:r w:rsidR="003B7779" w:rsidRPr="00AB1AF9">
        <w:rPr>
          <w:rFonts w:ascii="Helvetica" w:hAnsi="Helvetica"/>
          <w:b/>
          <w:bCs/>
          <w:sz w:val="22"/>
          <w:szCs w:val="22"/>
        </w:rPr>
        <w:t>“</w:t>
      </w:r>
      <w:r w:rsidRPr="00AB1AF9">
        <w:rPr>
          <w:rFonts w:ascii="Helvetica" w:hAnsi="Helvetica"/>
          <w:b/>
          <w:bCs/>
          <w:sz w:val="22"/>
          <w:szCs w:val="22"/>
        </w:rPr>
        <w:t xml:space="preserve"> širdies</w:t>
      </w:r>
      <w:r w:rsidR="003B7779" w:rsidRPr="00AB1AF9">
        <w:rPr>
          <w:rFonts w:ascii="Helvetica" w:hAnsi="Helvetica"/>
          <w:b/>
          <w:bCs/>
          <w:sz w:val="22"/>
          <w:szCs w:val="22"/>
        </w:rPr>
        <w:t xml:space="preserve"> ritmo matuoklį</w:t>
      </w:r>
      <w:r w:rsidRPr="00AB1AF9">
        <w:rPr>
          <w:rFonts w:ascii="Helvetica" w:hAnsi="Helvetica"/>
          <w:b/>
          <w:bCs/>
          <w:sz w:val="22"/>
          <w:szCs w:val="22"/>
        </w:rPr>
        <w:t xml:space="preserve"> bei „</w:t>
      </w:r>
      <w:proofErr w:type="spellStart"/>
      <w:r w:rsidRPr="00AB1AF9">
        <w:rPr>
          <w:rFonts w:ascii="Helvetica" w:hAnsi="Helvetica"/>
          <w:b/>
          <w:bCs/>
          <w:sz w:val="22"/>
          <w:szCs w:val="22"/>
        </w:rPr>
        <w:t>Forerunner</w:t>
      </w:r>
      <w:proofErr w:type="spellEnd"/>
      <w:r w:rsidRPr="00AB1AF9">
        <w:rPr>
          <w:rFonts w:ascii="Helvetica" w:hAnsi="Helvetica"/>
          <w:b/>
          <w:bCs/>
          <w:sz w:val="22"/>
          <w:szCs w:val="22"/>
        </w:rPr>
        <w:t xml:space="preserve"> 570“ ir „</w:t>
      </w:r>
      <w:proofErr w:type="spellStart"/>
      <w:r w:rsidRPr="00AB1AF9">
        <w:rPr>
          <w:rFonts w:ascii="Helvetica" w:hAnsi="Helvetica"/>
          <w:b/>
          <w:bCs/>
          <w:sz w:val="22"/>
          <w:szCs w:val="22"/>
        </w:rPr>
        <w:t>Forerunner</w:t>
      </w:r>
      <w:proofErr w:type="spellEnd"/>
      <w:r w:rsidRPr="00AB1AF9">
        <w:rPr>
          <w:rFonts w:ascii="Helvetica" w:hAnsi="Helvetica"/>
          <w:b/>
          <w:bCs/>
          <w:sz w:val="22"/>
          <w:szCs w:val="22"/>
        </w:rPr>
        <w:t xml:space="preserve"> 970“ išmaniuosius laikrodžius.</w:t>
      </w:r>
      <w:r w:rsidRPr="00A25C7A">
        <w:rPr>
          <w:rFonts w:ascii="Helvetica" w:hAnsi="Helvetica"/>
          <w:b/>
          <w:bCs/>
          <w:sz w:val="22"/>
          <w:szCs w:val="22"/>
        </w:rPr>
        <w:t xml:space="preserve"> Šie naujos kartos </w:t>
      </w:r>
      <w:r w:rsidR="00DF1193">
        <w:rPr>
          <w:rFonts w:ascii="Helvetica" w:hAnsi="Helvetica"/>
          <w:b/>
          <w:bCs/>
          <w:sz w:val="22"/>
          <w:szCs w:val="22"/>
        </w:rPr>
        <w:t>įrenginiai</w:t>
      </w:r>
      <w:r w:rsidRPr="00A25C7A">
        <w:rPr>
          <w:rFonts w:ascii="Helvetica" w:hAnsi="Helvetica"/>
          <w:b/>
          <w:bCs/>
          <w:sz w:val="22"/>
          <w:szCs w:val="22"/>
        </w:rPr>
        <w:t xml:space="preserve"> sukurti sportininkams, siekiantiems </w:t>
      </w:r>
      <w:r w:rsidR="00253F93">
        <w:rPr>
          <w:rFonts w:ascii="Helvetica" w:hAnsi="Helvetica"/>
          <w:b/>
          <w:bCs/>
          <w:sz w:val="22"/>
          <w:szCs w:val="22"/>
        </w:rPr>
        <w:t xml:space="preserve">dar </w:t>
      </w:r>
      <w:r w:rsidRPr="00A25C7A">
        <w:rPr>
          <w:rFonts w:ascii="Helvetica" w:hAnsi="Helvetica"/>
          <w:b/>
          <w:bCs/>
          <w:sz w:val="22"/>
          <w:szCs w:val="22"/>
        </w:rPr>
        <w:t>aukštesnių rezultatų – jie užtikrina tikslius realaus laiko duomenis,</w:t>
      </w:r>
      <w:r w:rsidR="00AB1AF9">
        <w:rPr>
          <w:rFonts w:ascii="Helvetica" w:hAnsi="Helvetica"/>
          <w:b/>
          <w:bCs/>
          <w:sz w:val="22"/>
          <w:szCs w:val="22"/>
        </w:rPr>
        <w:t xml:space="preserve"> </w:t>
      </w:r>
      <w:r w:rsidRPr="00A25C7A">
        <w:rPr>
          <w:rFonts w:ascii="Helvetica" w:hAnsi="Helvetica"/>
          <w:b/>
          <w:bCs/>
          <w:sz w:val="22"/>
          <w:szCs w:val="22"/>
        </w:rPr>
        <w:t>siūlo pažangias treniruočių ir sveikatos stebėsenos funkcijas. Ryškūs AMOLED ekranai, įkraunamos baterijos, naujos įžvalgos bei integruoti išmanūs elementai leidžia dar efektyviau treniruotis ir pasiekti geriausią sportinę formą.</w:t>
      </w:r>
    </w:p>
    <w:p w14:paraId="5CA0753D" w14:textId="77777777" w:rsidR="00A25C7A" w:rsidRDefault="00A25C7A" w:rsidP="00404BD3">
      <w:pPr>
        <w:pStyle w:val="Body"/>
        <w:jc w:val="both"/>
        <w:rPr>
          <w:rFonts w:ascii="Helvetica" w:eastAsia="Helvetica" w:hAnsi="Helvetica" w:cs="Helvetica"/>
          <w:b/>
          <w:bCs/>
          <w:sz w:val="22"/>
          <w:szCs w:val="22"/>
        </w:rPr>
      </w:pPr>
    </w:p>
    <w:p w14:paraId="598CE80B" w14:textId="1A1EF2EA" w:rsidR="000D7B5D" w:rsidRPr="008C74AA" w:rsidRDefault="00DF1193" w:rsidP="00404BD3">
      <w:pPr>
        <w:pStyle w:val="Body"/>
        <w:jc w:val="both"/>
        <w:rPr>
          <w:rFonts w:ascii="Helvetica" w:eastAsia="Helvetica" w:hAnsi="Helvetica" w:cs="Helvetica"/>
          <w:sz w:val="22"/>
          <w:szCs w:val="22"/>
        </w:rPr>
      </w:pPr>
      <w:r w:rsidRPr="00DF1193">
        <w:rPr>
          <w:rFonts w:ascii="Helvetica" w:eastAsia="Helvetica" w:hAnsi="Helvetica" w:cs="Helvetica"/>
          <w:sz w:val="22"/>
          <w:szCs w:val="22"/>
        </w:rPr>
        <w:t>„</w:t>
      </w:r>
      <w:r w:rsidR="007C0D94" w:rsidRPr="00AB1AF9">
        <w:rPr>
          <w:rFonts w:ascii="Helvetica" w:eastAsia="Helvetica" w:hAnsi="Helvetica" w:cs="Helvetica"/>
          <w:sz w:val="22"/>
          <w:szCs w:val="22"/>
        </w:rPr>
        <w:t xml:space="preserve">Nuolat ieškome būdų, kaip padėti sportininkams treniruotis išmaniau ir siekti geresnių rezultatų, todėl </w:t>
      </w:r>
      <w:r w:rsidR="003B7779" w:rsidRPr="00AB1AF9">
        <w:rPr>
          <w:rFonts w:ascii="Helvetica" w:eastAsia="Helvetica" w:hAnsi="Helvetica" w:cs="Helvetica"/>
          <w:sz w:val="22"/>
          <w:szCs w:val="22"/>
        </w:rPr>
        <w:t>„</w:t>
      </w:r>
      <w:r w:rsidRPr="00AB1AF9">
        <w:rPr>
          <w:rFonts w:ascii="Helvetica" w:eastAsia="Helvetica" w:hAnsi="Helvetica" w:cs="Helvetica"/>
          <w:sz w:val="22"/>
          <w:szCs w:val="22"/>
        </w:rPr>
        <w:t>HRM 600</w:t>
      </w:r>
      <w:r w:rsidR="003B7779" w:rsidRPr="00AB1AF9">
        <w:rPr>
          <w:rFonts w:ascii="Helvetica" w:eastAsia="Helvetica" w:hAnsi="Helvetica" w:cs="Helvetica"/>
          <w:sz w:val="22"/>
          <w:szCs w:val="22"/>
        </w:rPr>
        <w:t>“</w:t>
      </w:r>
      <w:r w:rsidRPr="00AB1AF9">
        <w:rPr>
          <w:rFonts w:ascii="Helvetica" w:eastAsia="Helvetica" w:hAnsi="Helvetica" w:cs="Helvetica"/>
          <w:sz w:val="22"/>
          <w:szCs w:val="22"/>
        </w:rPr>
        <w:t>, „</w:t>
      </w:r>
      <w:proofErr w:type="spellStart"/>
      <w:r w:rsidRPr="00AB1AF9">
        <w:rPr>
          <w:rFonts w:ascii="Helvetica" w:eastAsia="Helvetica" w:hAnsi="Helvetica" w:cs="Helvetica"/>
          <w:sz w:val="22"/>
          <w:szCs w:val="22"/>
        </w:rPr>
        <w:t>Forerunner</w:t>
      </w:r>
      <w:proofErr w:type="spellEnd"/>
      <w:r w:rsidRPr="00AB1AF9">
        <w:rPr>
          <w:rFonts w:ascii="Helvetica" w:eastAsia="Helvetica" w:hAnsi="Helvetica" w:cs="Helvetica"/>
          <w:sz w:val="22"/>
          <w:szCs w:val="22"/>
        </w:rPr>
        <w:t xml:space="preserve"> 570“ ir „</w:t>
      </w:r>
      <w:proofErr w:type="spellStart"/>
      <w:r w:rsidRPr="00AB1AF9">
        <w:rPr>
          <w:rFonts w:ascii="Helvetica" w:eastAsia="Helvetica" w:hAnsi="Helvetica" w:cs="Helvetica"/>
          <w:sz w:val="22"/>
          <w:szCs w:val="22"/>
        </w:rPr>
        <w:t>Forerunner</w:t>
      </w:r>
      <w:proofErr w:type="spellEnd"/>
      <w:r w:rsidRPr="00AB1AF9">
        <w:rPr>
          <w:rFonts w:ascii="Helvetica" w:eastAsia="Helvetica" w:hAnsi="Helvetica" w:cs="Helvetica"/>
          <w:sz w:val="22"/>
          <w:szCs w:val="22"/>
        </w:rPr>
        <w:t xml:space="preserve"> 970“ sukurti tam, kad </w:t>
      </w:r>
      <w:r w:rsidR="007C0D94" w:rsidRPr="00AB1AF9">
        <w:rPr>
          <w:rFonts w:ascii="Helvetica" w:eastAsia="Helvetica" w:hAnsi="Helvetica" w:cs="Helvetica"/>
          <w:sz w:val="22"/>
          <w:szCs w:val="22"/>
        </w:rPr>
        <w:t>naudotojai</w:t>
      </w:r>
      <w:r w:rsidRPr="00AB1AF9">
        <w:rPr>
          <w:rFonts w:ascii="Helvetica" w:eastAsia="Helvetica" w:hAnsi="Helvetica" w:cs="Helvetica"/>
          <w:sz w:val="22"/>
          <w:szCs w:val="22"/>
        </w:rPr>
        <w:t xml:space="preserve"> galėtų stebėti tikslius duomenis realiuoju laiku ir treniruotis dar efektyviau</w:t>
      </w:r>
      <w:r w:rsidR="007C0D94" w:rsidRPr="00AB1AF9">
        <w:rPr>
          <w:rFonts w:ascii="Helvetica" w:eastAsia="Helvetica" w:hAnsi="Helvetica" w:cs="Helvetica"/>
          <w:sz w:val="22"/>
          <w:szCs w:val="22"/>
        </w:rPr>
        <w:t>.</w:t>
      </w:r>
      <w:r w:rsidRPr="00AB1AF9">
        <w:rPr>
          <w:rFonts w:ascii="Helvetica" w:eastAsia="Helvetica" w:hAnsi="Helvetica" w:cs="Helvetica"/>
          <w:sz w:val="22"/>
          <w:szCs w:val="22"/>
        </w:rPr>
        <w:t xml:space="preserve"> </w:t>
      </w:r>
      <w:r w:rsidR="000D7B5D" w:rsidRPr="00AB1AF9">
        <w:rPr>
          <w:rFonts w:ascii="Helvetica" w:eastAsia="Helvetica" w:hAnsi="Helvetica" w:cs="Helvetica"/>
          <w:sz w:val="22"/>
          <w:szCs w:val="22"/>
        </w:rPr>
        <w:t>Nesvarbu, ar siekiate naujo asmeninio rekordo, ar ruošiatės artėjančioms varžyboms – šie išmanieji įrenginiai sukurti tam, kad palaikytų jus kiekviename žingsnyje</w:t>
      </w:r>
      <w:r w:rsidR="007C0D94" w:rsidRPr="00AB1AF9">
        <w:rPr>
          <w:rFonts w:ascii="Helvetica" w:eastAsia="Helvetica" w:hAnsi="Helvetica" w:cs="Helvetica"/>
          <w:sz w:val="22"/>
          <w:szCs w:val="22"/>
        </w:rPr>
        <w:t>“, – sako „</w:t>
      </w:r>
      <w:proofErr w:type="spellStart"/>
      <w:r w:rsidR="007C0D94" w:rsidRPr="00AB1AF9">
        <w:rPr>
          <w:rFonts w:ascii="Helvetica" w:eastAsia="Helvetica" w:hAnsi="Helvetica" w:cs="Helvetica"/>
          <w:sz w:val="22"/>
          <w:szCs w:val="22"/>
        </w:rPr>
        <w:t>Garmin</w:t>
      </w:r>
      <w:proofErr w:type="spellEnd"/>
      <w:r w:rsidR="007C0D94" w:rsidRPr="00AB1AF9">
        <w:rPr>
          <w:rFonts w:ascii="Helvetica" w:eastAsia="Helvetica" w:hAnsi="Helvetica" w:cs="Helvetica"/>
          <w:sz w:val="22"/>
          <w:szCs w:val="22"/>
        </w:rPr>
        <w:t xml:space="preserve">“ pardavimų ir rinkodaros vadovas Baltijos šalyse </w:t>
      </w:r>
      <w:proofErr w:type="spellStart"/>
      <w:r w:rsidR="007C0D94" w:rsidRPr="00AB1AF9">
        <w:rPr>
          <w:rFonts w:ascii="Helvetica" w:eastAsia="Helvetica" w:hAnsi="Helvetica" w:cs="Helvetica"/>
          <w:sz w:val="22"/>
          <w:szCs w:val="22"/>
        </w:rPr>
        <w:t>Dmitrijs</w:t>
      </w:r>
      <w:proofErr w:type="spellEnd"/>
      <w:r w:rsidR="007C0D94" w:rsidRPr="00AB1AF9">
        <w:rPr>
          <w:rFonts w:ascii="Helvetica" w:eastAsia="Helvetica" w:hAnsi="Helvetica" w:cs="Helvetica"/>
          <w:sz w:val="22"/>
          <w:szCs w:val="22"/>
        </w:rPr>
        <w:t xml:space="preserve"> </w:t>
      </w:r>
      <w:proofErr w:type="spellStart"/>
      <w:r w:rsidR="007C0D94" w:rsidRPr="00AB1AF9">
        <w:rPr>
          <w:rFonts w:ascii="Helvetica" w:eastAsia="Helvetica" w:hAnsi="Helvetica" w:cs="Helvetica"/>
          <w:sz w:val="22"/>
          <w:szCs w:val="22"/>
        </w:rPr>
        <w:t>Lisicins</w:t>
      </w:r>
      <w:proofErr w:type="spellEnd"/>
      <w:r w:rsidR="007C0D94" w:rsidRPr="00AB1AF9">
        <w:rPr>
          <w:rFonts w:ascii="Helvetica" w:eastAsia="Helvetica" w:hAnsi="Helvetica" w:cs="Helvetica"/>
          <w:sz w:val="22"/>
          <w:szCs w:val="22"/>
        </w:rPr>
        <w:t>.</w:t>
      </w:r>
      <w:r w:rsidR="000D7B5D" w:rsidRPr="000D7B5D">
        <w:rPr>
          <w:rFonts w:ascii="Helvetica" w:eastAsia="Helvetica" w:hAnsi="Helvetica" w:cs="Helvetica"/>
          <w:sz w:val="22"/>
          <w:szCs w:val="22"/>
        </w:rPr>
        <w:t xml:space="preserve"> </w:t>
      </w:r>
    </w:p>
    <w:p w14:paraId="1BC468A6" w14:textId="77777777" w:rsidR="008C74AA" w:rsidRPr="00D45890" w:rsidRDefault="008C74AA" w:rsidP="00404BD3">
      <w:pPr>
        <w:pStyle w:val="Body"/>
        <w:jc w:val="both"/>
        <w:rPr>
          <w:rFonts w:ascii="Helvetica" w:eastAsia="Helvetica" w:hAnsi="Helvetica" w:cs="Helvetica"/>
          <w:b/>
          <w:bCs/>
          <w:sz w:val="22"/>
          <w:szCs w:val="22"/>
        </w:rPr>
      </w:pPr>
    </w:p>
    <w:p w14:paraId="6C04E038" w14:textId="0B150099" w:rsidR="00FC53A0" w:rsidRDefault="00183ABF" w:rsidP="00404BD3">
      <w:pPr>
        <w:pStyle w:val="Body"/>
        <w:jc w:val="both"/>
        <w:rPr>
          <w:rFonts w:ascii="Helvetica" w:hAnsi="Helvetica"/>
          <w:b/>
          <w:bCs/>
          <w:sz w:val="22"/>
          <w:szCs w:val="22"/>
        </w:rPr>
      </w:pPr>
      <w:r>
        <w:rPr>
          <w:rFonts w:ascii="Helvetica" w:hAnsi="Helvetica"/>
          <w:b/>
          <w:bCs/>
          <w:sz w:val="22"/>
          <w:szCs w:val="22"/>
        </w:rPr>
        <w:t>Išsamūs duomenys nenaudojant išmanaus laikrodžio</w:t>
      </w:r>
    </w:p>
    <w:p w14:paraId="1790E162" w14:textId="77777777" w:rsidR="007C0D94" w:rsidRDefault="007C0D94" w:rsidP="00404BD3">
      <w:pPr>
        <w:pStyle w:val="Body"/>
        <w:jc w:val="both"/>
        <w:rPr>
          <w:rFonts w:ascii="Helvetica" w:eastAsia="Helvetica" w:hAnsi="Helvetica" w:cs="Helvetica"/>
          <w:b/>
          <w:bCs/>
          <w:sz w:val="22"/>
          <w:szCs w:val="22"/>
        </w:rPr>
      </w:pPr>
    </w:p>
    <w:p w14:paraId="7917DB7B" w14:textId="4D6D9DA6" w:rsidR="003B7779" w:rsidRPr="003B7779" w:rsidRDefault="003B7779" w:rsidP="00404BD3">
      <w:pPr>
        <w:pStyle w:val="Body"/>
        <w:jc w:val="both"/>
        <w:rPr>
          <w:rFonts w:ascii="Helvetica" w:eastAsia="Helvetica" w:hAnsi="Helvetica" w:cs="Helvetica"/>
          <w:sz w:val="22"/>
          <w:szCs w:val="22"/>
        </w:rPr>
      </w:pPr>
      <w:r w:rsidRPr="00AB1AF9">
        <w:rPr>
          <w:rFonts w:ascii="Helvetica" w:eastAsia="Helvetica" w:hAnsi="Helvetica" w:cs="Helvetica"/>
          <w:sz w:val="22"/>
          <w:szCs w:val="22"/>
        </w:rPr>
        <w:t>Naujasis</w:t>
      </w:r>
      <w:r w:rsidR="00AB1AF9" w:rsidRPr="00AB1AF9">
        <w:rPr>
          <w:rFonts w:ascii="Helvetica" w:eastAsia="Helvetica" w:hAnsi="Helvetica" w:cs="Helvetica"/>
          <w:sz w:val="22"/>
          <w:szCs w:val="22"/>
        </w:rPr>
        <w:t xml:space="preserve"> </w:t>
      </w:r>
      <w:r w:rsidRPr="00AB1AF9">
        <w:rPr>
          <w:rFonts w:ascii="Helvetica" w:eastAsia="Helvetica" w:hAnsi="Helvetica" w:cs="Helvetica"/>
          <w:sz w:val="22"/>
          <w:szCs w:val="22"/>
        </w:rPr>
        <w:t xml:space="preserve">„HRM 600“ modelis pasižymi dar pažangesne bėgimo dinamikos analize – jame integruota nauja funkcija, leidžianti stebėti žingsnio lėtėjimą. Taip pat širdies ritmo matuoklis matuoja žingsnio ilgį, vertikalų svyravimą ir kontakto su žeme trukmę, taip padedant tiksliau įvertinti ir patobulinti savo bėgimo techniką </w:t>
      </w:r>
      <w:r w:rsidR="00AB1AF9" w:rsidRPr="00AB1AF9">
        <w:rPr>
          <w:rFonts w:ascii="Helvetica" w:eastAsia="Helvetica" w:hAnsi="Helvetica" w:cs="Helvetica"/>
          <w:sz w:val="22"/>
          <w:szCs w:val="22"/>
        </w:rPr>
        <w:t>bei</w:t>
      </w:r>
      <w:r w:rsidRPr="00AB1AF9">
        <w:rPr>
          <w:rFonts w:ascii="Helvetica" w:eastAsia="Helvetica" w:hAnsi="Helvetica" w:cs="Helvetica"/>
          <w:sz w:val="22"/>
          <w:szCs w:val="22"/>
        </w:rPr>
        <w:t xml:space="preserve"> efektyvumą.</w:t>
      </w:r>
      <w:r w:rsidRPr="003B7779">
        <w:rPr>
          <w:rFonts w:ascii="Helvetica" w:eastAsia="Helvetica" w:hAnsi="Helvetica" w:cs="Helvetica"/>
          <w:sz w:val="22"/>
          <w:szCs w:val="22"/>
        </w:rPr>
        <w:t xml:space="preserve"> </w:t>
      </w:r>
    </w:p>
    <w:p w14:paraId="33947397" w14:textId="77777777" w:rsidR="003B7779" w:rsidRPr="007C0D94" w:rsidRDefault="003B7779" w:rsidP="00404BD3">
      <w:pPr>
        <w:pStyle w:val="Body"/>
        <w:jc w:val="both"/>
        <w:rPr>
          <w:rFonts w:ascii="Helvetica" w:eastAsia="Helvetica" w:hAnsi="Helvetica" w:cs="Helvetica"/>
          <w:b/>
          <w:bCs/>
          <w:sz w:val="22"/>
          <w:szCs w:val="22"/>
        </w:rPr>
      </w:pPr>
    </w:p>
    <w:p w14:paraId="5CCF7E7D" w14:textId="68FE1FB9" w:rsidR="007C0D94" w:rsidRDefault="007C0D94" w:rsidP="00404BD3">
      <w:pPr>
        <w:pStyle w:val="Body"/>
        <w:jc w:val="both"/>
        <w:rPr>
          <w:rFonts w:ascii="Helvetica" w:eastAsia="Helvetica" w:hAnsi="Helvetica" w:cs="Helvetica"/>
          <w:sz w:val="22"/>
          <w:szCs w:val="22"/>
        </w:rPr>
      </w:pPr>
      <w:r>
        <w:rPr>
          <w:rFonts w:ascii="Helvetica" w:eastAsia="Helvetica" w:hAnsi="Helvetica" w:cs="Helvetica"/>
          <w:sz w:val="22"/>
          <w:szCs w:val="22"/>
        </w:rPr>
        <w:t>„</w:t>
      </w:r>
      <w:r w:rsidRPr="00AB1AF9">
        <w:rPr>
          <w:rFonts w:ascii="Helvetica" w:eastAsia="Helvetica" w:hAnsi="Helvetica" w:cs="Helvetica"/>
          <w:sz w:val="22"/>
          <w:szCs w:val="22"/>
        </w:rPr>
        <w:t xml:space="preserve">Treniruočių metu sportininkai gali </w:t>
      </w:r>
      <w:r w:rsidR="003B7779" w:rsidRPr="00AB1AF9">
        <w:rPr>
          <w:rFonts w:ascii="Helvetica" w:eastAsia="Helvetica" w:hAnsi="Helvetica" w:cs="Helvetica"/>
          <w:sz w:val="22"/>
          <w:szCs w:val="22"/>
        </w:rPr>
        <w:t xml:space="preserve">stebėti savo kūno parametrus </w:t>
      </w:r>
      <w:r w:rsidRPr="00AB1AF9">
        <w:rPr>
          <w:rFonts w:ascii="Helvetica" w:eastAsia="Helvetica" w:hAnsi="Helvetica" w:cs="Helvetica"/>
          <w:sz w:val="22"/>
          <w:szCs w:val="22"/>
        </w:rPr>
        <w:t xml:space="preserve">net tada, kai </w:t>
      </w:r>
      <w:r w:rsidR="00AB1AF9">
        <w:rPr>
          <w:rFonts w:ascii="Helvetica" w:eastAsia="Helvetica" w:hAnsi="Helvetica" w:cs="Helvetica"/>
          <w:sz w:val="22"/>
          <w:szCs w:val="22"/>
        </w:rPr>
        <w:t xml:space="preserve">neturi galimybės dėvėti </w:t>
      </w:r>
      <w:r w:rsidRPr="00AB1AF9">
        <w:rPr>
          <w:rFonts w:ascii="Helvetica" w:eastAsia="Helvetica" w:hAnsi="Helvetica" w:cs="Helvetica"/>
          <w:sz w:val="22"/>
          <w:szCs w:val="22"/>
        </w:rPr>
        <w:t>išmaniojo laikrodžio</w:t>
      </w:r>
      <w:r w:rsidR="00AB1AF9" w:rsidRPr="00AB1AF9">
        <w:rPr>
          <w:rFonts w:ascii="Helvetica" w:eastAsia="Helvetica" w:hAnsi="Helvetica" w:cs="Helvetica"/>
          <w:sz w:val="22"/>
          <w:szCs w:val="22"/>
        </w:rPr>
        <w:t>.</w:t>
      </w:r>
      <w:r w:rsidR="00AB1AF9">
        <w:rPr>
          <w:rFonts w:ascii="Helvetica" w:eastAsia="Helvetica" w:hAnsi="Helvetica" w:cs="Helvetica"/>
          <w:sz w:val="22"/>
          <w:szCs w:val="22"/>
        </w:rPr>
        <w:t xml:space="preserve"> </w:t>
      </w:r>
      <w:r w:rsidR="00070ED7">
        <w:rPr>
          <w:rFonts w:ascii="Helvetica" w:eastAsia="Helvetica" w:hAnsi="Helvetica" w:cs="Helvetica"/>
          <w:sz w:val="22"/>
          <w:szCs w:val="22"/>
        </w:rPr>
        <w:t>Ba</w:t>
      </w:r>
      <w:r w:rsidR="004573D9">
        <w:rPr>
          <w:rFonts w:ascii="Helvetica" w:eastAsia="Helvetica" w:hAnsi="Helvetica" w:cs="Helvetica"/>
          <w:sz w:val="22"/>
          <w:szCs w:val="22"/>
        </w:rPr>
        <w:t>t</w:t>
      </w:r>
      <w:r w:rsidR="00070ED7">
        <w:rPr>
          <w:rFonts w:ascii="Helvetica" w:eastAsia="Helvetica" w:hAnsi="Helvetica" w:cs="Helvetica"/>
          <w:sz w:val="22"/>
          <w:szCs w:val="22"/>
        </w:rPr>
        <w:t xml:space="preserve">erija </w:t>
      </w:r>
      <w:r w:rsidRPr="007C0D94">
        <w:rPr>
          <w:rFonts w:ascii="Helvetica" w:eastAsia="Helvetica" w:hAnsi="Helvetica" w:cs="Helvetica"/>
          <w:sz w:val="22"/>
          <w:szCs w:val="22"/>
        </w:rPr>
        <w:t>veikia iki 2 mėnesių</w:t>
      </w:r>
      <w:r w:rsidR="00070ED7">
        <w:rPr>
          <w:rFonts w:ascii="Helvetica" w:eastAsia="Helvetica" w:hAnsi="Helvetica" w:cs="Helvetica"/>
          <w:sz w:val="22"/>
          <w:szCs w:val="22"/>
        </w:rPr>
        <w:t xml:space="preserve"> be įkrovimo</w:t>
      </w:r>
      <w:r w:rsidRPr="007C0D94">
        <w:rPr>
          <w:rFonts w:ascii="Helvetica" w:eastAsia="Helvetica" w:hAnsi="Helvetica" w:cs="Helvetica"/>
          <w:sz w:val="22"/>
          <w:szCs w:val="22"/>
        </w:rPr>
        <w:t>, o vieno mygtuko paspaudimu pažadinamas įrenginys ir LED lemputė užtikrina sklandų kasdienį naudojimą</w:t>
      </w:r>
      <w:r w:rsidR="00FE6C5F">
        <w:rPr>
          <w:rFonts w:ascii="Helvetica" w:eastAsia="Helvetica" w:hAnsi="Helvetica" w:cs="Helvetica"/>
          <w:sz w:val="22"/>
          <w:szCs w:val="22"/>
        </w:rPr>
        <w:t xml:space="preserve">“, – teigia D. </w:t>
      </w:r>
      <w:proofErr w:type="spellStart"/>
      <w:r w:rsidR="00FE6C5F">
        <w:rPr>
          <w:rFonts w:ascii="Helvetica" w:eastAsia="Helvetica" w:hAnsi="Helvetica" w:cs="Helvetica"/>
          <w:sz w:val="22"/>
          <w:szCs w:val="22"/>
        </w:rPr>
        <w:t>Lisicins</w:t>
      </w:r>
      <w:proofErr w:type="spellEnd"/>
      <w:r w:rsidR="00FE6C5F">
        <w:rPr>
          <w:rFonts w:ascii="Helvetica" w:eastAsia="Helvetica" w:hAnsi="Helvetica" w:cs="Helvetica"/>
          <w:sz w:val="22"/>
          <w:szCs w:val="22"/>
        </w:rPr>
        <w:t xml:space="preserve">. </w:t>
      </w:r>
    </w:p>
    <w:p w14:paraId="1130DC59" w14:textId="77777777" w:rsidR="00FE6C5F" w:rsidRDefault="00FE6C5F" w:rsidP="00404BD3">
      <w:pPr>
        <w:pStyle w:val="Body"/>
        <w:jc w:val="both"/>
        <w:rPr>
          <w:rFonts w:ascii="Helvetica" w:eastAsia="Helvetica" w:hAnsi="Helvetica" w:cs="Helvetica"/>
          <w:sz w:val="22"/>
          <w:szCs w:val="22"/>
        </w:rPr>
      </w:pPr>
    </w:p>
    <w:p w14:paraId="0B13E05B" w14:textId="7CD7BE38" w:rsidR="00FE6C5F" w:rsidRDefault="003B7779" w:rsidP="00404BD3">
      <w:pPr>
        <w:pStyle w:val="Body"/>
        <w:jc w:val="both"/>
        <w:rPr>
          <w:rFonts w:ascii="Helvetica" w:eastAsia="Helvetica" w:hAnsi="Helvetica" w:cs="Helvetica"/>
          <w:sz w:val="22"/>
          <w:szCs w:val="22"/>
        </w:rPr>
      </w:pPr>
      <w:r w:rsidRPr="00AC113F">
        <w:rPr>
          <w:rFonts w:ascii="Helvetica" w:eastAsia="Helvetica" w:hAnsi="Helvetica" w:cs="Helvetica"/>
          <w:sz w:val="22"/>
          <w:szCs w:val="22"/>
        </w:rPr>
        <w:t>„</w:t>
      </w:r>
      <w:r w:rsidR="00FE6C5F" w:rsidRPr="00AC113F">
        <w:rPr>
          <w:rFonts w:ascii="Helvetica" w:eastAsia="Helvetica" w:hAnsi="Helvetica" w:cs="Helvetica"/>
          <w:sz w:val="22"/>
          <w:szCs w:val="22"/>
        </w:rPr>
        <w:t>HRM 600</w:t>
      </w:r>
      <w:r w:rsidRPr="00AC113F">
        <w:rPr>
          <w:rFonts w:ascii="Helvetica" w:eastAsia="Helvetica" w:hAnsi="Helvetica" w:cs="Helvetica"/>
          <w:sz w:val="22"/>
          <w:szCs w:val="22"/>
        </w:rPr>
        <w:t>“</w:t>
      </w:r>
      <w:r w:rsidR="00FE6C5F" w:rsidRPr="00AC113F">
        <w:rPr>
          <w:rFonts w:ascii="Helvetica" w:eastAsia="Helvetica" w:hAnsi="Helvetica" w:cs="Helvetica"/>
          <w:sz w:val="22"/>
          <w:szCs w:val="22"/>
        </w:rPr>
        <w:t xml:space="preserve"> </w:t>
      </w:r>
      <w:r w:rsidR="00B45999" w:rsidRPr="00AC113F">
        <w:rPr>
          <w:rFonts w:ascii="Helvetica" w:eastAsia="Helvetica" w:hAnsi="Helvetica" w:cs="Helvetica"/>
          <w:sz w:val="22"/>
          <w:szCs w:val="22"/>
        </w:rPr>
        <w:t>skirtas</w:t>
      </w:r>
      <w:r w:rsidR="00FE6C5F" w:rsidRPr="00AC113F">
        <w:rPr>
          <w:rFonts w:ascii="Helvetica" w:eastAsia="Helvetica" w:hAnsi="Helvetica" w:cs="Helvetica"/>
          <w:sz w:val="22"/>
          <w:szCs w:val="22"/>
        </w:rPr>
        <w:t xml:space="preserve"> ne tik tiksliai matuoti širdies ritmą, bet ir užtikrinti maksimalų patogumą bei universalumą įvairiose treniruočių situacijose. </w:t>
      </w:r>
      <w:r w:rsidR="00B45999" w:rsidRPr="00AC113F">
        <w:rPr>
          <w:rFonts w:ascii="Helvetica" w:eastAsia="Helvetica" w:hAnsi="Helvetica" w:cs="Helvetica"/>
          <w:sz w:val="22"/>
          <w:szCs w:val="22"/>
        </w:rPr>
        <w:t>Įrenginys</w:t>
      </w:r>
      <w:r w:rsidR="00FE6C5F" w:rsidRPr="00AC113F">
        <w:rPr>
          <w:rFonts w:ascii="Helvetica" w:eastAsia="Helvetica" w:hAnsi="Helvetica" w:cs="Helvetica"/>
          <w:sz w:val="22"/>
          <w:szCs w:val="22"/>
        </w:rPr>
        <w:t xml:space="preserve"> realiuoju laiku perduoda širdies ritmo ir </w:t>
      </w:r>
      <w:r w:rsidRPr="00AC113F">
        <w:rPr>
          <w:rFonts w:ascii="Helvetica" w:eastAsia="Helvetica" w:hAnsi="Helvetica" w:cs="Helvetica"/>
          <w:sz w:val="22"/>
          <w:szCs w:val="22"/>
        </w:rPr>
        <w:t>širdies dažnio kintamumo (ŠDK)</w:t>
      </w:r>
      <w:r w:rsidR="00FE6C5F" w:rsidRPr="00AC113F">
        <w:rPr>
          <w:rFonts w:ascii="Helvetica" w:eastAsia="Helvetica" w:hAnsi="Helvetica" w:cs="Helvetica"/>
          <w:sz w:val="22"/>
          <w:szCs w:val="22"/>
        </w:rPr>
        <w:t xml:space="preserve"> duomenis į naudojamus „</w:t>
      </w:r>
      <w:proofErr w:type="spellStart"/>
      <w:r w:rsidR="00FE6C5F" w:rsidRPr="00AC113F">
        <w:rPr>
          <w:rFonts w:ascii="Helvetica" w:eastAsia="Helvetica" w:hAnsi="Helvetica" w:cs="Helvetica"/>
          <w:sz w:val="22"/>
          <w:szCs w:val="22"/>
        </w:rPr>
        <w:t>Garmin</w:t>
      </w:r>
      <w:proofErr w:type="spellEnd"/>
      <w:r w:rsidR="00FE6C5F" w:rsidRPr="00AC113F">
        <w:rPr>
          <w:rFonts w:ascii="Helvetica" w:eastAsia="Helvetica" w:hAnsi="Helvetica" w:cs="Helvetica"/>
          <w:sz w:val="22"/>
          <w:szCs w:val="22"/>
        </w:rPr>
        <w:t>“ laikrodžius, „</w:t>
      </w:r>
      <w:proofErr w:type="spellStart"/>
      <w:r w:rsidR="00FE6C5F" w:rsidRPr="00AC113F">
        <w:rPr>
          <w:rFonts w:ascii="Helvetica" w:eastAsia="Helvetica" w:hAnsi="Helvetica" w:cs="Helvetica"/>
          <w:sz w:val="22"/>
          <w:szCs w:val="22"/>
        </w:rPr>
        <w:t>Edge</w:t>
      </w:r>
      <w:proofErr w:type="spellEnd"/>
      <w:r w:rsidR="00FE6C5F" w:rsidRPr="00AC113F">
        <w:rPr>
          <w:rFonts w:ascii="Helvetica" w:eastAsia="Helvetica" w:hAnsi="Helvetica" w:cs="Helvetica"/>
          <w:sz w:val="22"/>
          <w:szCs w:val="22"/>
        </w:rPr>
        <w:t xml:space="preserve">“ dviračių kompiuterius, treniruoklius </w:t>
      </w:r>
      <w:r w:rsidR="00B45999" w:rsidRPr="00AC113F">
        <w:rPr>
          <w:rFonts w:ascii="Helvetica" w:eastAsia="Helvetica" w:hAnsi="Helvetica" w:cs="Helvetica"/>
          <w:sz w:val="22"/>
          <w:szCs w:val="22"/>
        </w:rPr>
        <w:t>bei</w:t>
      </w:r>
      <w:r w:rsidR="00FE6C5F" w:rsidRPr="00AC113F">
        <w:rPr>
          <w:rFonts w:ascii="Helvetica" w:eastAsia="Helvetica" w:hAnsi="Helvetica" w:cs="Helvetica"/>
          <w:sz w:val="22"/>
          <w:szCs w:val="22"/>
        </w:rPr>
        <w:t xml:space="preserve"> „</w:t>
      </w:r>
      <w:proofErr w:type="spellStart"/>
      <w:r w:rsidR="00FE6C5F" w:rsidRPr="00AC113F">
        <w:rPr>
          <w:rFonts w:ascii="Helvetica" w:eastAsia="Helvetica" w:hAnsi="Helvetica" w:cs="Helvetica"/>
          <w:sz w:val="22"/>
          <w:szCs w:val="22"/>
        </w:rPr>
        <w:t>Garmin</w:t>
      </w:r>
      <w:proofErr w:type="spellEnd"/>
      <w:r w:rsidR="00FE6C5F" w:rsidRPr="00AC113F">
        <w:rPr>
          <w:rFonts w:ascii="Helvetica" w:eastAsia="Helvetica" w:hAnsi="Helvetica" w:cs="Helvetica"/>
          <w:sz w:val="22"/>
          <w:szCs w:val="22"/>
        </w:rPr>
        <w:t xml:space="preserve"> </w:t>
      </w:r>
      <w:proofErr w:type="spellStart"/>
      <w:r w:rsidR="00FE6C5F" w:rsidRPr="00AC113F">
        <w:rPr>
          <w:rFonts w:ascii="Helvetica" w:eastAsia="Helvetica" w:hAnsi="Helvetica" w:cs="Helvetica"/>
          <w:sz w:val="22"/>
          <w:szCs w:val="22"/>
        </w:rPr>
        <w:t>Connect</w:t>
      </w:r>
      <w:proofErr w:type="spellEnd"/>
      <w:r w:rsidR="00FE6C5F" w:rsidRPr="00AC113F">
        <w:rPr>
          <w:rFonts w:ascii="Helvetica" w:eastAsia="Helvetica" w:hAnsi="Helvetica" w:cs="Helvetica"/>
          <w:sz w:val="22"/>
          <w:szCs w:val="22"/>
        </w:rPr>
        <w:t>“ ar „</w:t>
      </w:r>
      <w:proofErr w:type="spellStart"/>
      <w:r w:rsidR="00FE6C5F" w:rsidRPr="00AC113F">
        <w:rPr>
          <w:rFonts w:ascii="Helvetica" w:eastAsia="Helvetica" w:hAnsi="Helvetica" w:cs="Helvetica"/>
          <w:sz w:val="22"/>
          <w:szCs w:val="22"/>
        </w:rPr>
        <w:t>Tacx</w:t>
      </w:r>
      <w:proofErr w:type="spellEnd"/>
      <w:r w:rsidR="00FE6C5F" w:rsidRPr="00AC113F">
        <w:rPr>
          <w:rFonts w:ascii="Helvetica" w:eastAsia="Helvetica" w:hAnsi="Helvetica" w:cs="Helvetica"/>
          <w:sz w:val="22"/>
          <w:szCs w:val="22"/>
        </w:rPr>
        <w:t xml:space="preserve"> </w:t>
      </w:r>
      <w:proofErr w:type="spellStart"/>
      <w:r w:rsidR="00FE6C5F" w:rsidRPr="00AC113F">
        <w:rPr>
          <w:rFonts w:ascii="Helvetica" w:eastAsia="Helvetica" w:hAnsi="Helvetica" w:cs="Helvetica"/>
          <w:sz w:val="22"/>
          <w:szCs w:val="22"/>
        </w:rPr>
        <w:t>Training</w:t>
      </w:r>
      <w:proofErr w:type="spellEnd"/>
      <w:r w:rsidR="00FE6C5F" w:rsidRPr="00AC113F">
        <w:rPr>
          <w:rFonts w:ascii="Helvetica" w:eastAsia="Helvetica" w:hAnsi="Helvetica" w:cs="Helvetica"/>
          <w:sz w:val="22"/>
          <w:szCs w:val="22"/>
        </w:rPr>
        <w:t xml:space="preserve">“ programėles. </w:t>
      </w:r>
      <w:r w:rsidRPr="00AC113F">
        <w:rPr>
          <w:rFonts w:ascii="Helvetica" w:eastAsia="Helvetica" w:hAnsi="Helvetica" w:cs="Helvetica"/>
          <w:sz w:val="22"/>
          <w:szCs w:val="22"/>
        </w:rPr>
        <w:t xml:space="preserve">Todėl net nedėvint </w:t>
      </w:r>
      <w:r w:rsidR="00FE6C5F" w:rsidRPr="00AC113F">
        <w:rPr>
          <w:rFonts w:ascii="Helvetica" w:eastAsia="Helvetica" w:hAnsi="Helvetica" w:cs="Helvetica"/>
          <w:sz w:val="22"/>
          <w:szCs w:val="22"/>
        </w:rPr>
        <w:t>laikrodžio galima sekti žingsnius, sudegintas kalorijas, širdies ritmą ir aktyvumo minutes – visa tai vėliau sinchronizuojama su „</w:t>
      </w:r>
      <w:proofErr w:type="spellStart"/>
      <w:r w:rsidR="00FE6C5F" w:rsidRPr="00AC113F">
        <w:rPr>
          <w:rFonts w:ascii="Helvetica" w:eastAsia="Helvetica" w:hAnsi="Helvetica" w:cs="Helvetica"/>
          <w:sz w:val="22"/>
          <w:szCs w:val="22"/>
        </w:rPr>
        <w:t>Garmin</w:t>
      </w:r>
      <w:proofErr w:type="spellEnd"/>
      <w:r w:rsidR="00FE6C5F" w:rsidRPr="00AC113F">
        <w:rPr>
          <w:rFonts w:ascii="Helvetica" w:eastAsia="Helvetica" w:hAnsi="Helvetica" w:cs="Helvetica"/>
          <w:sz w:val="22"/>
          <w:szCs w:val="22"/>
        </w:rPr>
        <w:t xml:space="preserve"> </w:t>
      </w:r>
      <w:proofErr w:type="spellStart"/>
      <w:r w:rsidR="00FE6C5F" w:rsidRPr="00AC113F">
        <w:rPr>
          <w:rFonts w:ascii="Helvetica" w:eastAsia="Helvetica" w:hAnsi="Helvetica" w:cs="Helvetica"/>
          <w:sz w:val="22"/>
          <w:szCs w:val="22"/>
        </w:rPr>
        <w:t>Connect</w:t>
      </w:r>
      <w:proofErr w:type="spellEnd"/>
      <w:r w:rsidR="00FE6C5F" w:rsidRPr="00AC113F">
        <w:rPr>
          <w:rFonts w:ascii="Helvetica" w:eastAsia="Helvetica" w:hAnsi="Helvetica" w:cs="Helvetica"/>
          <w:sz w:val="22"/>
          <w:szCs w:val="22"/>
        </w:rPr>
        <w:t>“, kad informacija būtų pasiekiama visuose įrenginiuose.</w:t>
      </w:r>
      <w:r w:rsidR="00FE6C5F">
        <w:rPr>
          <w:rFonts w:ascii="Helvetica" w:eastAsia="Helvetica" w:hAnsi="Helvetica" w:cs="Helvetica"/>
          <w:sz w:val="22"/>
          <w:szCs w:val="22"/>
        </w:rPr>
        <w:t xml:space="preserve"> </w:t>
      </w:r>
    </w:p>
    <w:p w14:paraId="740254AE" w14:textId="77777777" w:rsidR="00A2518E" w:rsidRDefault="00A2518E" w:rsidP="00404BD3">
      <w:pPr>
        <w:pStyle w:val="Body"/>
        <w:jc w:val="both"/>
        <w:rPr>
          <w:rFonts w:ascii="Helvetica" w:eastAsia="Helvetica" w:hAnsi="Helvetica" w:cs="Helvetica"/>
          <w:sz w:val="22"/>
          <w:szCs w:val="22"/>
        </w:rPr>
      </w:pPr>
    </w:p>
    <w:p w14:paraId="3EBC320C" w14:textId="76D7C8EE" w:rsidR="00A2518E" w:rsidRPr="007C0D94" w:rsidRDefault="00A2518E" w:rsidP="00404BD3">
      <w:pPr>
        <w:pStyle w:val="Body"/>
        <w:jc w:val="both"/>
        <w:rPr>
          <w:rFonts w:ascii="Helvetica" w:eastAsia="Helvetica" w:hAnsi="Helvetica" w:cs="Helvetica"/>
          <w:sz w:val="22"/>
          <w:szCs w:val="22"/>
        </w:rPr>
      </w:pPr>
      <w:r w:rsidRPr="00A2518E">
        <w:rPr>
          <w:rFonts w:ascii="Helvetica" w:eastAsia="Helvetica" w:hAnsi="Helvetica" w:cs="Helvetica"/>
          <w:sz w:val="22"/>
          <w:szCs w:val="22"/>
        </w:rPr>
        <w:t>Treniruotėse prietaisas fiksuoja tempą ir atstumą bėgant uždarose erdvėse</w:t>
      </w:r>
      <w:r>
        <w:rPr>
          <w:rFonts w:ascii="Helvetica" w:eastAsia="Helvetica" w:hAnsi="Helvetica" w:cs="Helvetica"/>
          <w:sz w:val="22"/>
          <w:szCs w:val="22"/>
        </w:rPr>
        <w:t xml:space="preserve"> ar ant bėgimo takelio,</w:t>
      </w:r>
      <w:r w:rsidRPr="00A2518E">
        <w:rPr>
          <w:rFonts w:ascii="Helvetica" w:eastAsia="Helvetica" w:hAnsi="Helvetica" w:cs="Helvetica"/>
          <w:sz w:val="22"/>
          <w:szCs w:val="22"/>
        </w:rPr>
        <w:t xml:space="preserve"> taip pat širdies ritmą plaukimo metu. Reguliuojamo dydžio</w:t>
      </w:r>
      <w:r w:rsidR="00AC113F">
        <w:rPr>
          <w:rFonts w:ascii="Helvetica" w:eastAsia="Helvetica" w:hAnsi="Helvetica" w:cs="Helvetica"/>
          <w:sz w:val="22"/>
          <w:szCs w:val="22"/>
        </w:rPr>
        <w:t xml:space="preserve"> </w:t>
      </w:r>
      <w:r w:rsidRPr="00A2518E">
        <w:rPr>
          <w:rFonts w:ascii="Helvetica" w:eastAsia="Helvetica" w:hAnsi="Helvetica" w:cs="Helvetica"/>
          <w:sz w:val="22"/>
          <w:szCs w:val="22"/>
        </w:rPr>
        <w:t xml:space="preserve">dirželis (XS-S ir M-XL) tinka skirtingiems kūno tipams, o dėl nuimamo modulio jį galima lengvai prižiūrėti – </w:t>
      </w:r>
      <w:r>
        <w:rPr>
          <w:rFonts w:ascii="Helvetica" w:eastAsia="Helvetica" w:hAnsi="Helvetica" w:cs="Helvetica"/>
          <w:sz w:val="22"/>
          <w:szCs w:val="22"/>
        </w:rPr>
        <w:t>skalbti skalbimo mašinoje.</w:t>
      </w:r>
    </w:p>
    <w:p w14:paraId="41148385" w14:textId="04E7A32A" w:rsidR="003F489A" w:rsidRDefault="00183ABF" w:rsidP="00404BD3">
      <w:pPr>
        <w:pStyle w:val="Default"/>
        <w:jc w:val="both"/>
        <w:rPr>
          <w:rFonts w:ascii="Helvetica" w:hAnsi="Helvetica"/>
          <w:b/>
          <w:bCs/>
          <w:sz w:val="22"/>
          <w:szCs w:val="22"/>
          <w:shd w:val="clear" w:color="auto" w:fill="FFFFFF"/>
        </w:rPr>
      </w:pPr>
      <w:r>
        <w:rPr>
          <w:rFonts w:ascii="Helvetica" w:hAnsi="Helvetica"/>
          <w:b/>
          <w:bCs/>
          <w:sz w:val="22"/>
          <w:szCs w:val="22"/>
          <w:shd w:val="clear" w:color="auto" w:fill="FFFFFF"/>
        </w:rPr>
        <w:t>Padės analizuoti treniruotės rezultatus</w:t>
      </w:r>
    </w:p>
    <w:p w14:paraId="47ABA0F3" w14:textId="0C32495A" w:rsidR="00B45999" w:rsidRPr="00AC113F" w:rsidRDefault="00B45999" w:rsidP="00404BD3">
      <w:pPr>
        <w:pStyle w:val="Default"/>
        <w:jc w:val="both"/>
        <w:rPr>
          <w:rFonts w:ascii="Helvetica" w:hAnsi="Helvetica"/>
          <w:sz w:val="22"/>
          <w:szCs w:val="22"/>
          <w:shd w:val="clear" w:color="auto" w:fill="FFFFFF"/>
        </w:rPr>
      </w:pPr>
      <w:r w:rsidRPr="00B45999">
        <w:rPr>
          <w:rFonts w:ascii="Helvetica" w:hAnsi="Helvetica"/>
          <w:sz w:val="22"/>
          <w:szCs w:val="22"/>
          <w:shd w:val="clear" w:color="auto" w:fill="FFFFFF"/>
        </w:rPr>
        <w:t>„</w:t>
      </w:r>
      <w:proofErr w:type="spellStart"/>
      <w:r w:rsidRPr="00B45999">
        <w:rPr>
          <w:rFonts w:ascii="Helvetica" w:hAnsi="Helvetica"/>
          <w:sz w:val="22"/>
          <w:szCs w:val="22"/>
          <w:shd w:val="clear" w:color="auto" w:fill="FFFFFF"/>
        </w:rPr>
        <w:t>Forerunner</w:t>
      </w:r>
      <w:proofErr w:type="spellEnd"/>
      <w:r w:rsidRPr="00B45999">
        <w:rPr>
          <w:rFonts w:ascii="Helvetica" w:hAnsi="Helvetica"/>
          <w:sz w:val="22"/>
          <w:szCs w:val="22"/>
          <w:shd w:val="clear" w:color="auto" w:fill="FFFFFF"/>
        </w:rPr>
        <w:t xml:space="preserve"> </w:t>
      </w:r>
      <w:r w:rsidR="00451AF1">
        <w:rPr>
          <w:rFonts w:ascii="Helvetica" w:hAnsi="Helvetica"/>
          <w:sz w:val="22"/>
          <w:szCs w:val="22"/>
          <w:shd w:val="clear" w:color="auto" w:fill="FFFFFF"/>
        </w:rPr>
        <w:t>570</w:t>
      </w:r>
      <w:r w:rsidRPr="00B45999">
        <w:rPr>
          <w:rFonts w:ascii="Helvetica" w:hAnsi="Helvetica"/>
          <w:sz w:val="22"/>
          <w:szCs w:val="22"/>
          <w:shd w:val="clear" w:color="auto" w:fill="FFFFFF"/>
        </w:rPr>
        <w:t xml:space="preserve">“ išmanusis laikrodis </w:t>
      </w:r>
      <w:r w:rsidRPr="00AC113F">
        <w:rPr>
          <w:rFonts w:ascii="Helvetica" w:hAnsi="Helvetica"/>
          <w:sz w:val="22"/>
          <w:szCs w:val="22"/>
          <w:shd w:val="clear" w:color="auto" w:fill="FFFFFF"/>
        </w:rPr>
        <w:t xml:space="preserve">skirtas </w:t>
      </w:r>
      <w:r w:rsidR="003B7779" w:rsidRPr="00AC113F">
        <w:rPr>
          <w:rFonts w:ascii="Helvetica" w:hAnsi="Helvetica"/>
          <w:sz w:val="22"/>
          <w:szCs w:val="22"/>
          <w:shd w:val="clear" w:color="auto" w:fill="FFFFFF"/>
        </w:rPr>
        <w:t>analizuoti ištvermę bei stebėti duomenis, siekiant geriausių rezultatų.</w:t>
      </w:r>
      <w:r w:rsidR="00AC113F" w:rsidRPr="00AC113F">
        <w:rPr>
          <w:rFonts w:ascii="Helvetica" w:hAnsi="Helvetica"/>
          <w:sz w:val="22"/>
          <w:szCs w:val="22"/>
          <w:shd w:val="clear" w:color="auto" w:fill="FFFFFF"/>
        </w:rPr>
        <w:t xml:space="preserve"> </w:t>
      </w:r>
      <w:r w:rsidR="003B7779" w:rsidRPr="00AC113F">
        <w:rPr>
          <w:rFonts w:ascii="Helvetica" w:hAnsi="Helvetica"/>
          <w:sz w:val="22"/>
          <w:szCs w:val="22"/>
          <w:shd w:val="clear" w:color="auto" w:fill="FFFFFF"/>
        </w:rPr>
        <w:t xml:space="preserve">Pasak D. </w:t>
      </w:r>
      <w:proofErr w:type="spellStart"/>
      <w:r w:rsidR="003B7779" w:rsidRPr="00AC113F">
        <w:rPr>
          <w:rFonts w:ascii="Helvetica" w:hAnsi="Helvetica"/>
          <w:sz w:val="22"/>
          <w:szCs w:val="22"/>
          <w:shd w:val="clear" w:color="auto" w:fill="FFFFFF"/>
        </w:rPr>
        <w:t>Lisicins</w:t>
      </w:r>
      <w:proofErr w:type="spellEnd"/>
      <w:r w:rsidR="003B7779" w:rsidRPr="00AC113F">
        <w:rPr>
          <w:rFonts w:ascii="Helvetica" w:hAnsi="Helvetica"/>
          <w:sz w:val="22"/>
          <w:szCs w:val="22"/>
          <w:shd w:val="clear" w:color="auto" w:fill="FFFFFF"/>
        </w:rPr>
        <w:t>, t</w:t>
      </w:r>
      <w:r w:rsidRPr="00AC113F">
        <w:rPr>
          <w:rFonts w:ascii="Helvetica" w:hAnsi="Helvetica"/>
          <w:sz w:val="22"/>
          <w:szCs w:val="22"/>
          <w:shd w:val="clear" w:color="auto" w:fill="FFFFFF"/>
        </w:rPr>
        <w:t xml:space="preserve">iek kuriant dizainą, tiek diegiant funkcijas, išskirtinis dėmesys buvo skiriamas galimybei naudotis laikrodžiu net ir ekstremaliomis sąlygomis. </w:t>
      </w:r>
    </w:p>
    <w:p w14:paraId="0EBA876B" w14:textId="56E04CBF" w:rsidR="00451AF1" w:rsidRPr="00AC113F" w:rsidRDefault="00B45999" w:rsidP="00404BD3">
      <w:pPr>
        <w:pStyle w:val="Default"/>
        <w:jc w:val="both"/>
        <w:rPr>
          <w:rFonts w:ascii="Helvetica" w:hAnsi="Helvetica"/>
          <w:sz w:val="22"/>
          <w:szCs w:val="22"/>
          <w:shd w:val="clear" w:color="auto" w:fill="FFFFFF"/>
        </w:rPr>
      </w:pPr>
      <w:r w:rsidRPr="00AC113F">
        <w:rPr>
          <w:rFonts w:ascii="Helvetica" w:hAnsi="Helvetica"/>
          <w:sz w:val="22"/>
          <w:szCs w:val="22"/>
          <w:shd w:val="clear" w:color="auto" w:fill="FFFFFF"/>
        </w:rPr>
        <w:lastRenderedPageBreak/>
        <w:t>„</w:t>
      </w:r>
      <w:r w:rsidR="003E3B21" w:rsidRPr="00AC113F">
        <w:rPr>
          <w:rFonts w:ascii="Helvetica" w:hAnsi="Helvetica"/>
          <w:sz w:val="22"/>
          <w:szCs w:val="22"/>
          <w:shd w:val="clear" w:color="auto" w:fill="FFFFFF"/>
        </w:rPr>
        <w:t>Laikrodis pateikia išsamias našumo įžvalgas – nuo bėgimo ištvermės ribos, padedančios įvertinti krūvio poveikį organizmui ir planuoti treniruočių savaitę,</w:t>
      </w:r>
      <w:r w:rsidR="00AC113F" w:rsidRPr="00AC113F">
        <w:rPr>
          <w:rFonts w:ascii="Helvetica" w:hAnsi="Helvetica"/>
          <w:sz w:val="22"/>
          <w:szCs w:val="22"/>
          <w:shd w:val="clear" w:color="auto" w:fill="FFFFFF"/>
        </w:rPr>
        <w:t xml:space="preserve"> </w:t>
      </w:r>
      <w:r w:rsidR="003E3B21" w:rsidRPr="00AC113F">
        <w:rPr>
          <w:rFonts w:ascii="Helvetica" w:hAnsi="Helvetica"/>
          <w:sz w:val="22"/>
          <w:szCs w:val="22"/>
          <w:shd w:val="clear" w:color="auto" w:fill="FFFFFF"/>
        </w:rPr>
        <w:t>iki bėgimo efektyvumo rodiklių. „</w:t>
      </w:r>
      <w:proofErr w:type="spellStart"/>
      <w:r w:rsidR="003E3B21" w:rsidRPr="00AC113F">
        <w:rPr>
          <w:rFonts w:ascii="Helvetica" w:hAnsi="Helvetica"/>
          <w:sz w:val="22"/>
          <w:szCs w:val="22"/>
          <w:shd w:val="clear" w:color="auto" w:fill="FFFFFF"/>
        </w:rPr>
        <w:t>Forerunner</w:t>
      </w:r>
      <w:proofErr w:type="spellEnd"/>
      <w:r w:rsidR="003E3B21" w:rsidRPr="00AC113F">
        <w:rPr>
          <w:rFonts w:ascii="Helvetica" w:hAnsi="Helvetica"/>
          <w:sz w:val="22"/>
          <w:szCs w:val="22"/>
          <w:shd w:val="clear" w:color="auto" w:fill="FFFFFF"/>
        </w:rPr>
        <w:t xml:space="preserve"> 570“ taip pat matuoja žingsnio greičio mažėjimą, atskleidžiantį, kiek sportininkas sulėtėja kiekvieno žingsnio metu. Be to, naudotojai gali pasinaudoti </w:t>
      </w:r>
      <w:r w:rsidR="00AC113F" w:rsidRPr="00AC113F">
        <w:rPr>
          <w:rFonts w:ascii="Helvetica" w:hAnsi="Helvetica"/>
          <w:sz w:val="22"/>
          <w:szCs w:val="22"/>
          <w:shd w:val="clear" w:color="auto" w:fill="FFFFFF"/>
        </w:rPr>
        <w:t>„</w:t>
      </w:r>
      <w:r w:rsidR="003E3B21" w:rsidRPr="00AC113F">
        <w:rPr>
          <w:rFonts w:ascii="Helvetica" w:hAnsi="Helvetica"/>
          <w:sz w:val="22"/>
          <w:szCs w:val="22"/>
          <w:shd w:val="clear" w:color="auto" w:fill="FFFFFF"/>
        </w:rPr>
        <w:t>EKG</w:t>
      </w:r>
      <w:r w:rsidR="00AC113F" w:rsidRPr="00AC113F">
        <w:rPr>
          <w:rFonts w:ascii="Helvetica" w:hAnsi="Helvetica"/>
          <w:sz w:val="22"/>
          <w:szCs w:val="22"/>
          <w:shd w:val="clear" w:color="auto" w:fill="FFFFFF"/>
        </w:rPr>
        <w:t>“</w:t>
      </w:r>
      <w:r w:rsidR="003E3B21" w:rsidRPr="00AC113F">
        <w:rPr>
          <w:rFonts w:ascii="Helvetica" w:hAnsi="Helvetica"/>
          <w:sz w:val="22"/>
          <w:szCs w:val="22"/>
          <w:shd w:val="clear" w:color="auto" w:fill="FFFFFF"/>
        </w:rPr>
        <w:t xml:space="preserve"> programėle, kuri padeda aptikti galimus prieširdžių virpėjimo požymius“, </w:t>
      </w:r>
      <w:r w:rsidR="00A2518E" w:rsidRPr="00AC113F">
        <w:rPr>
          <w:rFonts w:ascii="Helvetica" w:hAnsi="Helvetica"/>
          <w:sz w:val="22"/>
          <w:szCs w:val="22"/>
          <w:shd w:val="clear" w:color="auto" w:fill="FFFFFF"/>
        </w:rPr>
        <w:t xml:space="preserve">– pasakoja D. </w:t>
      </w:r>
      <w:proofErr w:type="spellStart"/>
      <w:r w:rsidR="00A2518E" w:rsidRPr="00AC113F">
        <w:rPr>
          <w:rFonts w:ascii="Helvetica" w:hAnsi="Helvetica"/>
          <w:sz w:val="22"/>
          <w:szCs w:val="22"/>
          <w:shd w:val="clear" w:color="auto" w:fill="FFFFFF"/>
        </w:rPr>
        <w:t>Lisicins</w:t>
      </w:r>
      <w:proofErr w:type="spellEnd"/>
      <w:r w:rsidR="00A2518E" w:rsidRPr="00AC113F">
        <w:rPr>
          <w:rFonts w:ascii="Helvetica" w:hAnsi="Helvetica"/>
          <w:sz w:val="22"/>
          <w:szCs w:val="22"/>
          <w:shd w:val="clear" w:color="auto" w:fill="FFFFFF"/>
        </w:rPr>
        <w:t>.</w:t>
      </w:r>
    </w:p>
    <w:p w14:paraId="5C1E3554" w14:textId="483BE22A" w:rsidR="00B45999" w:rsidRPr="00AC113F" w:rsidRDefault="003B7779" w:rsidP="00404BD3">
      <w:pPr>
        <w:pStyle w:val="Default"/>
        <w:jc w:val="both"/>
        <w:rPr>
          <w:rFonts w:ascii="Helvetica" w:hAnsi="Helvetica"/>
          <w:sz w:val="22"/>
          <w:szCs w:val="22"/>
          <w:shd w:val="clear" w:color="auto" w:fill="FFFFFF"/>
        </w:rPr>
      </w:pPr>
      <w:r w:rsidRPr="00AC113F">
        <w:rPr>
          <w:rFonts w:ascii="Helvetica" w:hAnsi="Helvetica"/>
          <w:sz w:val="22"/>
          <w:szCs w:val="22"/>
          <w:shd w:val="clear" w:color="auto" w:fill="FFFFFF"/>
        </w:rPr>
        <w:t>Jis priduria, kad</w:t>
      </w:r>
      <w:r w:rsidRPr="00AC113F">
        <w:t xml:space="preserve"> </w:t>
      </w:r>
      <w:r w:rsidRPr="00AC113F">
        <w:rPr>
          <w:rFonts w:ascii="Helvetica" w:hAnsi="Helvetica"/>
          <w:sz w:val="22"/>
          <w:szCs w:val="22"/>
          <w:shd w:val="clear" w:color="auto" w:fill="FFFFFF"/>
        </w:rPr>
        <w:t>safyro lęšis ir titano korpusas užtikrina atsparumą įbrėžimams, o LED žibintuvėlis leidžia reguliuoti apšvietimą, todėl treniruotis galima net ir esant prastam matomumui. Taip pat v</w:t>
      </w:r>
      <w:r w:rsidR="00451AF1" w:rsidRPr="00AC113F">
        <w:rPr>
          <w:rFonts w:ascii="Helvetica" w:hAnsi="Helvetica"/>
          <w:sz w:val="22"/>
          <w:szCs w:val="22"/>
          <w:shd w:val="clear" w:color="auto" w:fill="FFFFFF"/>
        </w:rPr>
        <w:t>artotojai gali rinktis iš dviejų skirtingų</w:t>
      </w:r>
      <w:r w:rsidR="005C0EBF" w:rsidRPr="00AC113F">
        <w:rPr>
          <w:rFonts w:ascii="Helvetica" w:hAnsi="Helvetica"/>
          <w:sz w:val="22"/>
          <w:szCs w:val="22"/>
          <w:shd w:val="clear" w:color="auto" w:fill="FFFFFF"/>
        </w:rPr>
        <w:t xml:space="preserve"> laikrodžio</w:t>
      </w:r>
      <w:r w:rsidR="00451AF1" w:rsidRPr="00AC113F">
        <w:rPr>
          <w:rFonts w:ascii="Helvetica" w:hAnsi="Helvetica"/>
          <w:sz w:val="22"/>
          <w:szCs w:val="22"/>
          <w:shd w:val="clear" w:color="auto" w:fill="FFFFFF"/>
        </w:rPr>
        <w:t xml:space="preserve"> dydžių – 42 mm bei 47 mm sker</w:t>
      </w:r>
      <w:r w:rsidR="007A154B" w:rsidRPr="00AC113F">
        <w:rPr>
          <w:rFonts w:ascii="Helvetica" w:hAnsi="Helvetica"/>
          <w:sz w:val="22"/>
          <w:szCs w:val="22"/>
          <w:shd w:val="clear" w:color="auto" w:fill="FFFFFF"/>
        </w:rPr>
        <w:t>s</w:t>
      </w:r>
      <w:r w:rsidR="00451AF1" w:rsidRPr="00AC113F">
        <w:rPr>
          <w:rFonts w:ascii="Helvetica" w:hAnsi="Helvetica"/>
          <w:sz w:val="22"/>
          <w:szCs w:val="22"/>
          <w:shd w:val="clear" w:color="auto" w:fill="FFFFFF"/>
        </w:rPr>
        <w:t xml:space="preserve">mens. </w:t>
      </w:r>
      <w:r w:rsidR="00A2518E" w:rsidRPr="00AC113F">
        <w:rPr>
          <w:rFonts w:ascii="Helvetica" w:hAnsi="Helvetica"/>
          <w:sz w:val="22"/>
          <w:szCs w:val="22"/>
          <w:shd w:val="clear" w:color="auto" w:fill="FFFFFF"/>
        </w:rPr>
        <w:t xml:space="preserve"> </w:t>
      </w:r>
    </w:p>
    <w:p w14:paraId="68216995" w14:textId="4EE47EA3" w:rsidR="007A6005" w:rsidRPr="00AC113F" w:rsidRDefault="00183ABF" w:rsidP="00404BD3">
      <w:pPr>
        <w:pStyle w:val="Default"/>
        <w:jc w:val="both"/>
        <w:rPr>
          <w:rFonts w:ascii="Helvetica" w:hAnsi="Helvetica"/>
          <w:b/>
          <w:bCs/>
          <w:sz w:val="22"/>
          <w:szCs w:val="22"/>
          <w:shd w:val="clear" w:color="auto" w:fill="FFFFFF"/>
        </w:rPr>
      </w:pPr>
      <w:r w:rsidRPr="00AC113F">
        <w:rPr>
          <w:rFonts w:ascii="Helvetica" w:hAnsi="Helvetica"/>
          <w:b/>
          <w:bCs/>
          <w:sz w:val="22"/>
          <w:szCs w:val="22"/>
          <w:shd w:val="clear" w:color="auto" w:fill="FFFFFF"/>
        </w:rPr>
        <w:t>„</w:t>
      </w:r>
      <w:proofErr w:type="spellStart"/>
      <w:r w:rsidR="00A81AD4" w:rsidRPr="00AC113F">
        <w:rPr>
          <w:rFonts w:ascii="Helvetica" w:hAnsi="Helvetica"/>
          <w:b/>
          <w:bCs/>
          <w:sz w:val="22"/>
          <w:szCs w:val="22"/>
          <w:shd w:val="clear" w:color="auto" w:fill="FFFFFF"/>
        </w:rPr>
        <w:t>Forerunner</w:t>
      </w:r>
      <w:proofErr w:type="spellEnd"/>
      <w:r w:rsidR="00A81AD4" w:rsidRPr="00AC113F">
        <w:rPr>
          <w:rFonts w:ascii="Helvetica" w:hAnsi="Helvetica"/>
          <w:b/>
          <w:bCs/>
          <w:sz w:val="22"/>
          <w:szCs w:val="22"/>
          <w:shd w:val="clear" w:color="auto" w:fill="FFFFFF"/>
        </w:rPr>
        <w:t xml:space="preserve"> 970</w:t>
      </w:r>
      <w:r w:rsidRPr="00AC113F">
        <w:rPr>
          <w:rFonts w:ascii="Helvetica" w:hAnsi="Helvetica"/>
          <w:b/>
          <w:bCs/>
          <w:sz w:val="22"/>
          <w:szCs w:val="22"/>
          <w:shd w:val="clear" w:color="auto" w:fill="FFFFFF"/>
        </w:rPr>
        <w:t>“ – asmeninių rekordų palydovas</w:t>
      </w:r>
    </w:p>
    <w:p w14:paraId="5460BC6A" w14:textId="255C6C56" w:rsidR="00A81AD4" w:rsidRPr="00AC113F" w:rsidRDefault="00451AF1" w:rsidP="00404BD3">
      <w:pPr>
        <w:pStyle w:val="Default"/>
        <w:jc w:val="both"/>
        <w:rPr>
          <w:rFonts w:ascii="Helvetica" w:hAnsi="Helvetica"/>
          <w:sz w:val="22"/>
          <w:szCs w:val="22"/>
          <w:shd w:val="clear" w:color="auto" w:fill="FFFFFF"/>
        </w:rPr>
      </w:pPr>
      <w:r w:rsidRPr="00AC113F">
        <w:rPr>
          <w:rFonts w:ascii="Helvetica" w:hAnsi="Helvetica"/>
          <w:sz w:val="22"/>
          <w:szCs w:val="22"/>
          <w:shd w:val="clear" w:color="auto" w:fill="FFFFFF"/>
        </w:rPr>
        <w:t xml:space="preserve">47 mm skersmens </w:t>
      </w:r>
      <w:r w:rsidR="00A81AD4" w:rsidRPr="00AC113F">
        <w:rPr>
          <w:rFonts w:ascii="Helvetica" w:hAnsi="Helvetica"/>
          <w:sz w:val="22"/>
          <w:szCs w:val="22"/>
          <w:shd w:val="clear" w:color="auto" w:fill="FFFFFF"/>
        </w:rPr>
        <w:t>„</w:t>
      </w:r>
      <w:proofErr w:type="spellStart"/>
      <w:r w:rsidR="00A81AD4" w:rsidRPr="00AC113F">
        <w:rPr>
          <w:rFonts w:ascii="Helvetica" w:hAnsi="Helvetica"/>
          <w:sz w:val="22"/>
          <w:szCs w:val="22"/>
          <w:shd w:val="clear" w:color="auto" w:fill="FFFFFF"/>
        </w:rPr>
        <w:t>Forerunner</w:t>
      </w:r>
      <w:proofErr w:type="spellEnd"/>
      <w:r w:rsidR="00A81AD4" w:rsidRPr="00AC113F">
        <w:rPr>
          <w:rFonts w:ascii="Helvetica" w:hAnsi="Helvetica"/>
          <w:sz w:val="22"/>
          <w:szCs w:val="22"/>
          <w:shd w:val="clear" w:color="auto" w:fill="FFFFFF"/>
        </w:rPr>
        <w:t xml:space="preserve"> 970“</w:t>
      </w:r>
      <w:r w:rsidRPr="00AC113F">
        <w:rPr>
          <w:rFonts w:ascii="Helvetica" w:hAnsi="Helvetica"/>
          <w:sz w:val="22"/>
          <w:szCs w:val="22"/>
          <w:shd w:val="clear" w:color="auto" w:fill="FFFFFF"/>
        </w:rPr>
        <w:t xml:space="preserve"> išmanusis laikrodis</w:t>
      </w:r>
      <w:r w:rsidR="00A81AD4" w:rsidRPr="00AC113F">
        <w:rPr>
          <w:rFonts w:ascii="Helvetica" w:hAnsi="Helvetica"/>
          <w:sz w:val="22"/>
          <w:szCs w:val="22"/>
          <w:shd w:val="clear" w:color="auto" w:fill="FFFFFF"/>
        </w:rPr>
        <w:t xml:space="preserve"> sukurtas sportininkams, siekiantiems nuolat gerinti savo asmeninius rezultatus.</w:t>
      </w:r>
      <w:r w:rsidR="00AC113F" w:rsidRPr="00AC113F">
        <w:rPr>
          <w:rFonts w:ascii="Helvetica" w:hAnsi="Helvetica"/>
          <w:sz w:val="22"/>
          <w:szCs w:val="22"/>
          <w:shd w:val="clear" w:color="auto" w:fill="FFFFFF"/>
        </w:rPr>
        <w:t xml:space="preserve"> </w:t>
      </w:r>
      <w:r w:rsidR="00A81AD4" w:rsidRPr="00AC113F">
        <w:rPr>
          <w:rFonts w:ascii="Helvetica" w:hAnsi="Helvetica"/>
          <w:sz w:val="22"/>
          <w:szCs w:val="22"/>
          <w:shd w:val="clear" w:color="auto" w:fill="FFFFFF"/>
        </w:rPr>
        <w:t>Tai pažangesnė „</w:t>
      </w:r>
      <w:proofErr w:type="spellStart"/>
      <w:r w:rsidR="00A81AD4" w:rsidRPr="00AC113F">
        <w:rPr>
          <w:rFonts w:ascii="Helvetica" w:hAnsi="Helvetica"/>
          <w:sz w:val="22"/>
          <w:szCs w:val="22"/>
          <w:shd w:val="clear" w:color="auto" w:fill="FFFFFF"/>
        </w:rPr>
        <w:t>Forerunner</w:t>
      </w:r>
      <w:proofErr w:type="spellEnd"/>
      <w:r w:rsidR="00A81AD4" w:rsidRPr="00AC113F">
        <w:rPr>
          <w:rFonts w:ascii="Helvetica" w:hAnsi="Helvetica"/>
          <w:sz w:val="22"/>
          <w:szCs w:val="22"/>
          <w:shd w:val="clear" w:color="auto" w:fill="FFFFFF"/>
        </w:rPr>
        <w:t xml:space="preserve"> 570“ versija, papildyta integruota žemėlapių sudarymo funkcija, kuri leidžia laisvai judėti tiek miesto gatvėmis, tiek miško takais</w:t>
      </w:r>
      <w:r w:rsidR="000D7B5D" w:rsidRPr="00AC113F">
        <w:rPr>
          <w:rFonts w:ascii="Helvetica" w:hAnsi="Helvetica"/>
          <w:sz w:val="22"/>
          <w:szCs w:val="22"/>
          <w:shd w:val="clear" w:color="auto" w:fill="FFFFFF"/>
        </w:rPr>
        <w:t xml:space="preserve">, o baterija be įkrovimo veikia iki 15 dienų. </w:t>
      </w:r>
    </w:p>
    <w:p w14:paraId="7A7F7A16" w14:textId="1CABA8BB" w:rsidR="00A81AD4" w:rsidRPr="00AC113F" w:rsidRDefault="00A81AD4" w:rsidP="00404BD3">
      <w:pPr>
        <w:pStyle w:val="Default"/>
        <w:jc w:val="both"/>
        <w:rPr>
          <w:rFonts w:ascii="Helvetica" w:hAnsi="Helvetica"/>
          <w:sz w:val="22"/>
          <w:szCs w:val="22"/>
          <w:shd w:val="clear" w:color="auto" w:fill="FFFFFF"/>
        </w:rPr>
      </w:pPr>
      <w:r w:rsidRPr="00AC113F">
        <w:rPr>
          <w:rFonts w:ascii="Helvetica" w:hAnsi="Helvetica"/>
          <w:sz w:val="22"/>
          <w:szCs w:val="22"/>
          <w:shd w:val="clear" w:color="auto" w:fill="FFFFFF"/>
        </w:rPr>
        <w:t>Prieš treniruotę naudotojai gali susikurti maršrutą „</w:t>
      </w:r>
      <w:proofErr w:type="spellStart"/>
      <w:r w:rsidRPr="00AC113F">
        <w:rPr>
          <w:rFonts w:ascii="Helvetica" w:hAnsi="Helvetica"/>
          <w:sz w:val="22"/>
          <w:szCs w:val="22"/>
          <w:shd w:val="clear" w:color="auto" w:fill="FFFFFF"/>
        </w:rPr>
        <w:t>Garmin</w:t>
      </w:r>
      <w:proofErr w:type="spellEnd"/>
      <w:r w:rsidRPr="00AC113F">
        <w:rPr>
          <w:rFonts w:ascii="Helvetica" w:hAnsi="Helvetica"/>
          <w:sz w:val="22"/>
          <w:szCs w:val="22"/>
          <w:shd w:val="clear" w:color="auto" w:fill="FFFFFF"/>
        </w:rPr>
        <w:t xml:space="preserve"> </w:t>
      </w:r>
      <w:proofErr w:type="spellStart"/>
      <w:r w:rsidRPr="00AC113F">
        <w:rPr>
          <w:rFonts w:ascii="Helvetica" w:hAnsi="Helvetica"/>
          <w:sz w:val="22"/>
          <w:szCs w:val="22"/>
          <w:shd w:val="clear" w:color="auto" w:fill="FFFFFF"/>
        </w:rPr>
        <w:t>Connect</w:t>
      </w:r>
      <w:proofErr w:type="spellEnd"/>
      <w:r w:rsidRPr="00AC113F">
        <w:rPr>
          <w:rFonts w:ascii="Helvetica" w:hAnsi="Helvetica"/>
          <w:sz w:val="22"/>
          <w:szCs w:val="22"/>
          <w:shd w:val="clear" w:color="auto" w:fill="FFFFFF"/>
        </w:rPr>
        <w:t>“ pr</w:t>
      </w:r>
      <w:r w:rsidR="00555E90" w:rsidRPr="00AC113F">
        <w:rPr>
          <w:rFonts w:ascii="Helvetica" w:hAnsi="Helvetica"/>
          <w:sz w:val="22"/>
          <w:szCs w:val="22"/>
          <w:shd w:val="clear" w:color="auto" w:fill="FFFFFF"/>
        </w:rPr>
        <w:t>og</w:t>
      </w:r>
      <w:r w:rsidRPr="00AC113F">
        <w:rPr>
          <w:rFonts w:ascii="Helvetica" w:hAnsi="Helvetica"/>
          <w:sz w:val="22"/>
          <w:szCs w:val="22"/>
          <w:shd w:val="clear" w:color="auto" w:fill="FFFFFF"/>
        </w:rPr>
        <w:t xml:space="preserve">ramėlėje ir </w:t>
      </w:r>
      <w:r w:rsidR="009B234B" w:rsidRPr="00AC113F">
        <w:rPr>
          <w:rFonts w:ascii="Helvetica" w:hAnsi="Helvetica"/>
          <w:sz w:val="22"/>
          <w:szCs w:val="22"/>
          <w:shd w:val="clear" w:color="auto" w:fill="FFFFFF"/>
        </w:rPr>
        <w:t>taip matyti</w:t>
      </w:r>
      <w:r w:rsidRPr="00AC113F">
        <w:rPr>
          <w:rFonts w:ascii="Helvetica" w:hAnsi="Helvetica"/>
          <w:sz w:val="22"/>
          <w:szCs w:val="22"/>
          <w:shd w:val="clear" w:color="auto" w:fill="FFFFFF"/>
        </w:rPr>
        <w:t xml:space="preserve"> aiškius nurodymus </w:t>
      </w:r>
      <w:r w:rsidR="009B234B" w:rsidRPr="00AC113F">
        <w:rPr>
          <w:rFonts w:ascii="Helvetica" w:hAnsi="Helvetica"/>
          <w:sz w:val="22"/>
          <w:szCs w:val="22"/>
          <w:shd w:val="clear" w:color="auto" w:fill="FFFFFF"/>
        </w:rPr>
        <w:t xml:space="preserve">laikrodyje. </w:t>
      </w:r>
      <w:r w:rsidRPr="00AC113F">
        <w:rPr>
          <w:rFonts w:ascii="Helvetica" w:hAnsi="Helvetica"/>
          <w:sz w:val="22"/>
          <w:szCs w:val="22"/>
          <w:shd w:val="clear" w:color="auto" w:fill="FFFFFF"/>
        </w:rPr>
        <w:t xml:space="preserve">Naujojo įrenginio funkcionalumas leidžia žygiuojant </w:t>
      </w:r>
      <w:r w:rsidR="009B234B" w:rsidRPr="00AC113F">
        <w:rPr>
          <w:rFonts w:ascii="Helvetica" w:hAnsi="Helvetica"/>
          <w:sz w:val="22"/>
          <w:szCs w:val="22"/>
          <w:shd w:val="clear" w:color="auto" w:fill="FFFFFF"/>
        </w:rPr>
        <w:t>nustatyti norimą atstumą</w:t>
      </w:r>
      <w:r w:rsidR="00AC113F" w:rsidRPr="00AC113F">
        <w:rPr>
          <w:rFonts w:ascii="Helvetica" w:hAnsi="Helvetica"/>
          <w:sz w:val="22"/>
          <w:szCs w:val="22"/>
          <w:shd w:val="clear" w:color="auto" w:fill="FFFFFF"/>
        </w:rPr>
        <w:t xml:space="preserve"> </w:t>
      </w:r>
      <w:r w:rsidRPr="00AC113F">
        <w:rPr>
          <w:rFonts w:ascii="Helvetica" w:hAnsi="Helvetica"/>
          <w:sz w:val="22"/>
          <w:szCs w:val="22"/>
          <w:shd w:val="clear" w:color="auto" w:fill="FFFFFF"/>
        </w:rPr>
        <w:t>ir gauti rekomenduojamus maršrutus</w:t>
      </w:r>
      <w:r w:rsidR="009B234B" w:rsidRPr="00AC113F">
        <w:rPr>
          <w:rFonts w:ascii="Helvetica" w:hAnsi="Helvetica"/>
          <w:sz w:val="22"/>
          <w:szCs w:val="22"/>
          <w:shd w:val="clear" w:color="auto" w:fill="FFFFFF"/>
        </w:rPr>
        <w:t xml:space="preserve">. </w:t>
      </w:r>
      <w:r w:rsidRPr="00AC113F">
        <w:rPr>
          <w:rFonts w:ascii="Helvetica" w:hAnsi="Helvetica"/>
          <w:sz w:val="22"/>
          <w:szCs w:val="22"/>
          <w:shd w:val="clear" w:color="auto" w:fill="FFFFFF"/>
        </w:rPr>
        <w:t xml:space="preserve"> </w:t>
      </w:r>
    </w:p>
    <w:p w14:paraId="3CF5EBEC" w14:textId="1EA71D5A" w:rsidR="00AC113F" w:rsidRDefault="00850AB5" w:rsidP="00404BD3">
      <w:pPr>
        <w:pStyle w:val="Default"/>
        <w:jc w:val="both"/>
        <w:rPr>
          <w:rFonts w:ascii="Helvetica" w:hAnsi="Helvetica"/>
          <w:sz w:val="22"/>
          <w:szCs w:val="22"/>
          <w:shd w:val="clear" w:color="auto" w:fill="FFFFFF"/>
        </w:rPr>
      </w:pPr>
      <w:r w:rsidRPr="00AC113F">
        <w:rPr>
          <w:rFonts w:ascii="Helvetica" w:hAnsi="Helvetica"/>
          <w:sz w:val="22"/>
          <w:szCs w:val="22"/>
          <w:shd w:val="clear" w:color="auto" w:fill="FFFFFF"/>
        </w:rPr>
        <w:t>„</w:t>
      </w:r>
      <w:proofErr w:type="spellStart"/>
      <w:r w:rsidRPr="00AC113F">
        <w:rPr>
          <w:rFonts w:ascii="Helvetica" w:hAnsi="Helvetica"/>
          <w:sz w:val="22"/>
          <w:szCs w:val="22"/>
          <w:shd w:val="clear" w:color="auto" w:fill="FFFFFF"/>
        </w:rPr>
        <w:t>Garmin</w:t>
      </w:r>
      <w:proofErr w:type="spellEnd"/>
      <w:r w:rsidRPr="00AC113F">
        <w:rPr>
          <w:rFonts w:ascii="Helvetica" w:hAnsi="Helvetica"/>
          <w:sz w:val="22"/>
          <w:szCs w:val="22"/>
          <w:shd w:val="clear" w:color="auto" w:fill="FFFFFF"/>
        </w:rPr>
        <w:t>“</w:t>
      </w:r>
      <w:r w:rsidR="00AC113F" w:rsidRPr="00AC113F">
        <w:rPr>
          <w:rFonts w:ascii="Helvetica" w:hAnsi="Helvetica"/>
          <w:sz w:val="22"/>
          <w:szCs w:val="22"/>
          <w:shd w:val="clear" w:color="auto" w:fill="FFFFFF"/>
        </w:rPr>
        <w:t xml:space="preserve"> š</w:t>
      </w:r>
      <w:r w:rsidR="00451AF1" w:rsidRPr="00AC113F">
        <w:rPr>
          <w:rFonts w:ascii="Helvetica" w:hAnsi="Helvetica"/>
          <w:sz w:val="22"/>
          <w:szCs w:val="22"/>
          <w:shd w:val="clear" w:color="auto" w:fill="FFFFFF"/>
        </w:rPr>
        <w:t xml:space="preserve">irdies ritmo </w:t>
      </w:r>
      <w:r w:rsidR="00AC113F" w:rsidRPr="00AC113F">
        <w:rPr>
          <w:rFonts w:ascii="Helvetica" w:hAnsi="Helvetica"/>
          <w:sz w:val="22"/>
          <w:szCs w:val="22"/>
          <w:shd w:val="clear" w:color="auto" w:fill="FFFFFF"/>
        </w:rPr>
        <w:t xml:space="preserve">monitorių, </w:t>
      </w:r>
      <w:r w:rsidR="00B54C75" w:rsidRPr="00AC113F">
        <w:rPr>
          <w:rFonts w:ascii="Helvetica" w:hAnsi="Helvetica"/>
          <w:sz w:val="22"/>
          <w:szCs w:val="22"/>
          <w:shd w:val="clear" w:color="auto" w:fill="FFFFFF"/>
        </w:rPr>
        <w:t>„</w:t>
      </w:r>
      <w:r w:rsidR="00451AF1" w:rsidRPr="00AC113F">
        <w:rPr>
          <w:rFonts w:ascii="Helvetica" w:hAnsi="Helvetica"/>
          <w:sz w:val="22"/>
          <w:szCs w:val="22"/>
          <w:shd w:val="clear" w:color="auto" w:fill="FFFFFF"/>
        </w:rPr>
        <w:t>HRM 600</w:t>
      </w:r>
      <w:r w:rsidR="00B54C75" w:rsidRPr="00AC113F">
        <w:rPr>
          <w:rFonts w:ascii="Helvetica" w:hAnsi="Helvetica"/>
          <w:sz w:val="22"/>
          <w:szCs w:val="22"/>
          <w:shd w:val="clear" w:color="auto" w:fill="FFFFFF"/>
        </w:rPr>
        <w:t>“</w:t>
      </w:r>
      <w:r w:rsidR="00AC113F" w:rsidRPr="00AC113F">
        <w:rPr>
          <w:rFonts w:ascii="Helvetica" w:hAnsi="Helvetica"/>
          <w:sz w:val="22"/>
          <w:szCs w:val="22"/>
          <w:shd w:val="clear" w:color="auto" w:fill="FFFFFF"/>
        </w:rPr>
        <w:t xml:space="preserve">, </w:t>
      </w:r>
      <w:r w:rsidR="009B234B" w:rsidRPr="00AC113F">
        <w:rPr>
          <w:rFonts w:ascii="Helvetica" w:hAnsi="Helvetica"/>
          <w:sz w:val="22"/>
          <w:szCs w:val="22"/>
          <w:shd w:val="clear" w:color="auto" w:fill="FFFFFF"/>
        </w:rPr>
        <w:t>galima įsigyti jau dabar, o naujos kartos išmanieji laikrodžiai „</w:t>
      </w:r>
      <w:proofErr w:type="spellStart"/>
      <w:r w:rsidR="009B234B" w:rsidRPr="00AC113F">
        <w:rPr>
          <w:rFonts w:ascii="Helvetica" w:hAnsi="Helvetica"/>
          <w:sz w:val="22"/>
          <w:szCs w:val="22"/>
          <w:shd w:val="clear" w:color="auto" w:fill="FFFFFF"/>
        </w:rPr>
        <w:t>Forerunner</w:t>
      </w:r>
      <w:proofErr w:type="spellEnd"/>
      <w:r w:rsidR="009B234B" w:rsidRPr="00AC113F">
        <w:rPr>
          <w:rFonts w:ascii="Helvetica" w:hAnsi="Helvetica"/>
          <w:sz w:val="22"/>
          <w:szCs w:val="22"/>
          <w:shd w:val="clear" w:color="auto" w:fill="FFFFFF"/>
        </w:rPr>
        <w:t xml:space="preserve"> 570“ ir „</w:t>
      </w:r>
      <w:proofErr w:type="spellStart"/>
      <w:r w:rsidR="009B234B" w:rsidRPr="00AC113F">
        <w:rPr>
          <w:rFonts w:ascii="Helvetica" w:hAnsi="Helvetica"/>
          <w:sz w:val="22"/>
          <w:szCs w:val="22"/>
          <w:shd w:val="clear" w:color="auto" w:fill="FFFFFF"/>
        </w:rPr>
        <w:t>Forerunner</w:t>
      </w:r>
      <w:proofErr w:type="spellEnd"/>
      <w:r w:rsidR="009B234B" w:rsidRPr="00AC113F">
        <w:rPr>
          <w:rFonts w:ascii="Helvetica" w:hAnsi="Helvetica"/>
          <w:sz w:val="22"/>
          <w:szCs w:val="22"/>
          <w:shd w:val="clear" w:color="auto" w:fill="FFFFFF"/>
        </w:rPr>
        <w:t xml:space="preserve"> 970“ prekyboje pasirodys gegužės 21 d.</w:t>
      </w:r>
      <w:r w:rsidR="009B234B">
        <w:rPr>
          <w:rFonts w:ascii="Helvetica" w:hAnsi="Helvetica"/>
          <w:sz w:val="22"/>
          <w:szCs w:val="22"/>
          <w:shd w:val="clear" w:color="auto" w:fill="FFFFFF"/>
        </w:rPr>
        <w:t xml:space="preserve"> </w:t>
      </w:r>
      <w:r w:rsidR="009B234B" w:rsidRPr="009B234B">
        <w:rPr>
          <w:rFonts w:ascii="Helvetica" w:hAnsi="Helvetica"/>
          <w:sz w:val="22"/>
          <w:szCs w:val="22"/>
          <w:shd w:val="clear" w:color="auto" w:fill="FFFFFF"/>
        </w:rPr>
        <w:t xml:space="preserve"> </w:t>
      </w:r>
    </w:p>
    <w:p w14:paraId="6C529346" w14:textId="77777777" w:rsidR="00AC113F" w:rsidRDefault="00AC113F" w:rsidP="00404BD3">
      <w:pPr>
        <w:pStyle w:val="Default"/>
        <w:jc w:val="both"/>
        <w:rPr>
          <w:rFonts w:ascii="Helvetica" w:hAnsi="Helvetica"/>
          <w:sz w:val="22"/>
          <w:szCs w:val="22"/>
          <w:shd w:val="clear" w:color="auto" w:fill="FFFFFF"/>
        </w:rPr>
      </w:pPr>
    </w:p>
    <w:p w14:paraId="67E7BA0F" w14:textId="19B41CEC" w:rsidR="0023516D" w:rsidRPr="00AC113F" w:rsidRDefault="00D314E0" w:rsidP="00D314E0">
      <w:pPr>
        <w:pStyle w:val="NormalWeb"/>
        <w:contextualSpacing/>
        <w:jc w:val="both"/>
        <w:rPr>
          <w:rFonts w:ascii="Helvetica" w:hAnsi="Helvetica" w:cs="Helvetica"/>
          <w:b/>
          <w:bCs/>
          <w:sz w:val="18"/>
          <w:szCs w:val="18"/>
          <w:lang w:val="lt-LT"/>
        </w:rPr>
      </w:pPr>
      <w:r w:rsidRPr="00AC113F">
        <w:rPr>
          <w:rStyle w:val="Strong"/>
          <w:rFonts w:ascii="Helvetica" w:hAnsi="Helvetica" w:cs="Helvetica"/>
          <w:sz w:val="18"/>
          <w:szCs w:val="18"/>
          <w:lang w:val="lt-LT"/>
        </w:rPr>
        <w:t>Apie „</w:t>
      </w:r>
      <w:proofErr w:type="spellStart"/>
      <w:r w:rsidRPr="00AC113F">
        <w:rPr>
          <w:rStyle w:val="Strong"/>
          <w:rFonts w:ascii="Helvetica" w:hAnsi="Helvetica" w:cs="Helvetica"/>
          <w:sz w:val="18"/>
          <w:szCs w:val="18"/>
          <w:lang w:val="lt-LT"/>
        </w:rPr>
        <w:t>Garmin</w:t>
      </w:r>
      <w:proofErr w:type="spellEnd"/>
      <w:r w:rsidRPr="00AC113F">
        <w:rPr>
          <w:rStyle w:val="Strong"/>
          <w:rFonts w:ascii="Helvetica" w:hAnsi="Helvetica" w:cs="Helvetica"/>
          <w:sz w:val="18"/>
          <w:szCs w:val="18"/>
          <w:lang w:val="lt-LT"/>
        </w:rPr>
        <w:t xml:space="preserve"> International, </w:t>
      </w:r>
      <w:proofErr w:type="spellStart"/>
      <w:r w:rsidRPr="00AC113F">
        <w:rPr>
          <w:rStyle w:val="Strong"/>
          <w:rFonts w:ascii="Helvetica" w:hAnsi="Helvetica" w:cs="Helvetica"/>
          <w:sz w:val="18"/>
          <w:szCs w:val="18"/>
          <w:lang w:val="lt-LT"/>
        </w:rPr>
        <w:t>Inc</w:t>
      </w:r>
      <w:proofErr w:type="spellEnd"/>
      <w:r w:rsidRPr="00AC113F">
        <w:rPr>
          <w:rStyle w:val="Strong"/>
          <w:rFonts w:ascii="Helvetica" w:hAnsi="Helvetica" w:cs="Helvetica"/>
          <w:sz w:val="18"/>
          <w:szCs w:val="18"/>
          <w:lang w:val="lt-LT"/>
        </w:rPr>
        <w:t>.“</w:t>
      </w:r>
      <w:r w:rsidRPr="00AC113F">
        <w:rPr>
          <w:rFonts w:ascii="Helvetica" w:hAnsi="Helvetica" w:cs="Helvetica"/>
          <w:sz w:val="18"/>
          <w:szCs w:val="18"/>
          <w:lang w:val="lt-LT"/>
        </w:rPr>
        <w:t>: „</w:t>
      </w:r>
      <w:proofErr w:type="spellStart"/>
      <w:r w:rsidRPr="00AC113F">
        <w:rPr>
          <w:rFonts w:ascii="Helvetica" w:hAnsi="Helvetica" w:cs="Helvetica"/>
          <w:sz w:val="18"/>
          <w:szCs w:val="18"/>
          <w:lang w:val="lt-LT"/>
        </w:rPr>
        <w:t>Garmin</w:t>
      </w:r>
      <w:proofErr w:type="spellEnd"/>
      <w:r w:rsidRPr="00AC113F">
        <w:rPr>
          <w:rFonts w:ascii="Helvetica" w:hAnsi="Helvetica" w:cs="Helvetica"/>
          <w:sz w:val="18"/>
          <w:szCs w:val="18"/>
          <w:lang w:val="lt-LT"/>
        </w:rPr>
        <w:t xml:space="preserve"> International, </w:t>
      </w:r>
      <w:proofErr w:type="spellStart"/>
      <w:r w:rsidRPr="00AC113F">
        <w:rPr>
          <w:rFonts w:ascii="Helvetica" w:hAnsi="Helvetica" w:cs="Helvetica"/>
          <w:sz w:val="18"/>
          <w:szCs w:val="18"/>
          <w:lang w:val="lt-LT"/>
        </w:rPr>
        <w:t>Inc</w:t>
      </w:r>
      <w:proofErr w:type="spellEnd"/>
      <w:r w:rsidRPr="00AC113F">
        <w:rPr>
          <w:rFonts w:ascii="Helvetica" w:hAnsi="Helvetica" w:cs="Helvetica"/>
          <w:sz w:val="18"/>
          <w:szCs w:val="18"/>
          <w:lang w:val="lt-LT"/>
        </w:rPr>
        <w:t>.“ yra „</w:t>
      </w:r>
      <w:proofErr w:type="spellStart"/>
      <w:r w:rsidRPr="00AC113F">
        <w:rPr>
          <w:rFonts w:ascii="Helvetica" w:hAnsi="Helvetica" w:cs="Helvetica"/>
          <w:sz w:val="18"/>
          <w:szCs w:val="18"/>
          <w:lang w:val="lt-LT"/>
        </w:rPr>
        <w:t>Garmin</w:t>
      </w:r>
      <w:proofErr w:type="spellEnd"/>
      <w:r w:rsidRPr="00AC113F">
        <w:rPr>
          <w:rFonts w:ascii="Helvetica" w:hAnsi="Helvetica" w:cs="Helvetica"/>
          <w:sz w:val="18"/>
          <w:szCs w:val="18"/>
          <w:lang w:val="lt-LT"/>
        </w:rPr>
        <w:t xml:space="preserve"> Ltd.“ (NYSE: GRMN) dukterinė įmonė. „</w:t>
      </w:r>
      <w:proofErr w:type="spellStart"/>
      <w:r w:rsidRPr="00AC113F">
        <w:rPr>
          <w:rFonts w:ascii="Helvetica" w:hAnsi="Helvetica" w:cs="Helvetica"/>
          <w:sz w:val="18"/>
          <w:szCs w:val="18"/>
          <w:lang w:val="lt-LT"/>
        </w:rPr>
        <w:t>Garmin</w:t>
      </w:r>
      <w:proofErr w:type="spellEnd"/>
      <w:r w:rsidRPr="00AC113F">
        <w:rPr>
          <w:rFonts w:ascii="Helvetica" w:hAnsi="Helvetica" w:cs="Helvetica"/>
          <w:sz w:val="18"/>
          <w:szCs w:val="18"/>
          <w:lang w:val="lt-LT"/>
        </w:rPr>
        <w:t xml:space="preserve"> Ltd.“ yra registruota Šveicarijoje, o pagrindinės jos dukterinės įmonės įsikūrusios Jungtinėse Amerikos Valstijose, Taivane ir Jungtinėje Karalystėje. „</w:t>
      </w:r>
      <w:proofErr w:type="spellStart"/>
      <w:r w:rsidRPr="00AC113F">
        <w:rPr>
          <w:rFonts w:ascii="Helvetica" w:hAnsi="Helvetica" w:cs="Helvetica"/>
          <w:sz w:val="18"/>
          <w:szCs w:val="18"/>
          <w:lang w:val="lt-LT"/>
        </w:rPr>
        <w:t>Garmin</w:t>
      </w:r>
      <w:proofErr w:type="spellEnd"/>
      <w:r w:rsidRPr="00AC113F">
        <w:rPr>
          <w:rFonts w:ascii="Helvetica" w:hAnsi="Helvetica" w:cs="Helvetica"/>
          <w:sz w:val="18"/>
          <w:szCs w:val="18"/>
          <w:lang w:val="lt-LT"/>
        </w:rPr>
        <w:t>“ ir „</w:t>
      </w:r>
      <w:proofErr w:type="spellStart"/>
      <w:r w:rsidRPr="00AC113F">
        <w:rPr>
          <w:rFonts w:ascii="Helvetica" w:hAnsi="Helvetica" w:cs="Helvetica"/>
          <w:sz w:val="18"/>
          <w:szCs w:val="18"/>
          <w:lang w:val="lt-LT"/>
        </w:rPr>
        <w:t>Edge</w:t>
      </w:r>
      <w:proofErr w:type="spellEnd"/>
      <w:r w:rsidRPr="00AC113F">
        <w:rPr>
          <w:rFonts w:ascii="Helvetica" w:hAnsi="Helvetica" w:cs="Helvetica"/>
          <w:sz w:val="18"/>
          <w:szCs w:val="18"/>
          <w:lang w:val="lt-LT"/>
        </w:rPr>
        <w:t>“ yra registruotieji prekių ženklai, o „</w:t>
      </w:r>
      <w:proofErr w:type="spellStart"/>
      <w:r w:rsidRPr="00AC113F">
        <w:rPr>
          <w:rFonts w:ascii="Helvetica" w:hAnsi="Helvetica" w:cs="Helvetica"/>
          <w:sz w:val="18"/>
          <w:szCs w:val="18"/>
          <w:lang w:val="lt-LT"/>
        </w:rPr>
        <w:t>Tacx</w:t>
      </w:r>
      <w:proofErr w:type="spellEnd"/>
      <w:r w:rsidRPr="00AC113F">
        <w:rPr>
          <w:rFonts w:ascii="Helvetica" w:hAnsi="Helvetica" w:cs="Helvetica"/>
          <w:sz w:val="18"/>
          <w:szCs w:val="18"/>
          <w:lang w:val="lt-LT"/>
        </w:rPr>
        <w:t xml:space="preserve"> </w:t>
      </w:r>
      <w:proofErr w:type="spellStart"/>
      <w:r w:rsidRPr="00AC113F">
        <w:rPr>
          <w:rFonts w:ascii="Helvetica" w:hAnsi="Helvetica" w:cs="Helvetica"/>
          <w:sz w:val="18"/>
          <w:szCs w:val="18"/>
          <w:lang w:val="lt-LT"/>
        </w:rPr>
        <w:t>Training</w:t>
      </w:r>
      <w:proofErr w:type="spellEnd"/>
      <w:r w:rsidRPr="00AC113F">
        <w:rPr>
          <w:rFonts w:ascii="Helvetica" w:hAnsi="Helvetica" w:cs="Helvetica"/>
          <w:sz w:val="18"/>
          <w:szCs w:val="18"/>
          <w:lang w:val="lt-LT"/>
        </w:rPr>
        <w:t>“ yra „</w:t>
      </w:r>
      <w:proofErr w:type="spellStart"/>
      <w:r w:rsidRPr="00AC113F">
        <w:rPr>
          <w:rFonts w:ascii="Helvetica" w:hAnsi="Helvetica" w:cs="Helvetica"/>
          <w:sz w:val="18"/>
          <w:szCs w:val="18"/>
          <w:lang w:val="lt-LT"/>
        </w:rPr>
        <w:t>Garmin</w:t>
      </w:r>
      <w:proofErr w:type="spellEnd"/>
      <w:r w:rsidRPr="00AC113F">
        <w:rPr>
          <w:rFonts w:ascii="Helvetica" w:hAnsi="Helvetica" w:cs="Helvetica"/>
          <w:sz w:val="18"/>
          <w:szCs w:val="18"/>
          <w:lang w:val="lt-LT"/>
        </w:rPr>
        <w:t xml:space="preserve"> Ltd.“ arba jos dukterinių įmonių prekių ženklas.</w:t>
      </w:r>
    </w:p>
    <w:p w14:paraId="1E05969E" w14:textId="77777777" w:rsidR="0023516D" w:rsidRPr="00AC113F" w:rsidRDefault="0060567A" w:rsidP="00D314E0">
      <w:pPr>
        <w:pStyle w:val="NormalWeb"/>
        <w:contextualSpacing/>
        <w:jc w:val="both"/>
        <w:rPr>
          <w:rFonts w:ascii="Helvetica" w:hAnsi="Helvetica" w:cs="Helvetica"/>
          <w:sz w:val="18"/>
          <w:szCs w:val="18"/>
          <w:lang w:val="lt-LT"/>
        </w:rPr>
      </w:pPr>
      <w:r w:rsidRPr="00AC113F">
        <w:rPr>
          <w:rFonts w:ascii="Helvetica" w:hAnsi="Helvetica" w:cs="Helvetica"/>
          <w:sz w:val="18"/>
          <w:szCs w:val="18"/>
          <w:lang w:val="lt-LT"/>
        </w:rPr>
        <w:t xml:space="preserve"> </w:t>
      </w:r>
    </w:p>
    <w:p w14:paraId="469B6E7A" w14:textId="3FD9B51B" w:rsidR="00D314E0" w:rsidRPr="00AC113F" w:rsidRDefault="00D314E0" w:rsidP="00D314E0">
      <w:pPr>
        <w:pStyle w:val="NormalWeb"/>
        <w:contextualSpacing/>
        <w:jc w:val="both"/>
        <w:rPr>
          <w:rFonts w:ascii="Helvetica" w:hAnsi="Helvetica" w:cs="Helvetica"/>
          <w:sz w:val="18"/>
          <w:szCs w:val="18"/>
          <w:lang w:val="lt-LT"/>
        </w:rPr>
      </w:pPr>
      <w:r w:rsidRPr="00AC113F">
        <w:rPr>
          <w:rFonts w:ascii="Helvetica" w:hAnsi="Helvetica" w:cs="Helvetica"/>
          <w:sz w:val="18"/>
          <w:szCs w:val="18"/>
          <w:lang w:val="lt-LT"/>
        </w:rPr>
        <w:t>Visi kiti prekių ženklai, produktų pavadinimai, įmonių pavadinimai, prekių ir paslaugų ženklai priklauso jų teisėtiems savininkams. Visos teisės saugomos.</w:t>
      </w:r>
    </w:p>
    <w:p w14:paraId="31060A71" w14:textId="77777777" w:rsidR="0060567A" w:rsidRPr="00AC113F" w:rsidRDefault="0060567A" w:rsidP="00D314E0">
      <w:pPr>
        <w:pStyle w:val="NormalWeb"/>
        <w:contextualSpacing/>
        <w:jc w:val="both"/>
        <w:rPr>
          <w:rFonts w:ascii="Helvetica" w:hAnsi="Helvetica" w:cs="Helvetica"/>
          <w:sz w:val="18"/>
          <w:szCs w:val="18"/>
          <w:lang w:val="lt-LT"/>
        </w:rPr>
      </w:pPr>
    </w:p>
    <w:p w14:paraId="53EA201A" w14:textId="77777777" w:rsidR="00D314E0" w:rsidRPr="00AC113F" w:rsidRDefault="00D314E0" w:rsidP="00D314E0">
      <w:pPr>
        <w:pStyle w:val="NormalWeb"/>
        <w:contextualSpacing/>
        <w:jc w:val="both"/>
        <w:rPr>
          <w:rStyle w:val="Strong"/>
          <w:rFonts w:ascii="Helvetica" w:hAnsi="Helvetica" w:cs="Helvetica"/>
          <w:sz w:val="18"/>
          <w:szCs w:val="18"/>
          <w:lang w:val="lt-LT"/>
        </w:rPr>
      </w:pPr>
      <w:r w:rsidRPr="00AC113F">
        <w:rPr>
          <w:rStyle w:val="Strong"/>
          <w:rFonts w:ascii="Helvetica" w:hAnsi="Helvetica" w:cs="Helvetica"/>
          <w:sz w:val="18"/>
          <w:szCs w:val="18"/>
          <w:lang w:val="lt-LT"/>
        </w:rPr>
        <w:t>Pranešimas apie perspektyvinius teiginius:</w:t>
      </w:r>
    </w:p>
    <w:p w14:paraId="792DE71A" w14:textId="77777777" w:rsidR="00820009" w:rsidRPr="00AC113F" w:rsidRDefault="00820009" w:rsidP="00D314E0">
      <w:pPr>
        <w:pStyle w:val="NormalWeb"/>
        <w:contextualSpacing/>
        <w:jc w:val="both"/>
        <w:rPr>
          <w:rFonts w:ascii="Helvetica" w:hAnsi="Helvetica" w:cs="Helvetica"/>
          <w:sz w:val="18"/>
          <w:szCs w:val="18"/>
          <w:lang w:val="lt-LT"/>
        </w:rPr>
      </w:pPr>
    </w:p>
    <w:p w14:paraId="57DE60DB" w14:textId="5215BF23" w:rsidR="00D314E0" w:rsidRPr="00AC113F" w:rsidRDefault="00D314E0" w:rsidP="00D314E0">
      <w:pPr>
        <w:pStyle w:val="NormalWeb"/>
        <w:contextualSpacing/>
        <w:jc w:val="both"/>
        <w:rPr>
          <w:rFonts w:ascii="Helvetica" w:hAnsi="Helvetica" w:cs="Helvetica"/>
          <w:sz w:val="18"/>
          <w:szCs w:val="18"/>
          <w:lang w:val="lt-LT"/>
        </w:rPr>
      </w:pPr>
      <w:r w:rsidRPr="00AC113F">
        <w:rPr>
          <w:rFonts w:ascii="Helvetica" w:hAnsi="Helvetica" w:cs="Helvetica"/>
          <w:sz w:val="18"/>
          <w:szCs w:val="18"/>
          <w:lang w:val="lt-LT"/>
        </w:rPr>
        <w:t>Šis pranešimas apima perspektyvinius teiginius apie „</w:t>
      </w:r>
      <w:proofErr w:type="spellStart"/>
      <w:r w:rsidRPr="00AC113F">
        <w:rPr>
          <w:rFonts w:ascii="Helvetica" w:hAnsi="Helvetica" w:cs="Helvetica"/>
          <w:sz w:val="18"/>
          <w:szCs w:val="18"/>
          <w:lang w:val="lt-LT"/>
        </w:rPr>
        <w:t>Garmin</w:t>
      </w:r>
      <w:proofErr w:type="spellEnd"/>
      <w:r w:rsidRPr="00AC113F">
        <w:rPr>
          <w:rFonts w:ascii="Helvetica" w:hAnsi="Helvetica" w:cs="Helvetica"/>
          <w:sz w:val="18"/>
          <w:szCs w:val="18"/>
          <w:lang w:val="lt-LT"/>
        </w:rPr>
        <w:t xml:space="preserve"> Ltd.“ ir jos veiklą. Tokie teiginiai grindžiami vadovybės dabartiniais lūkesčiais. Šiame pranešime aptarti perspektyviniai įvykiai ir aplinkybės gali neįvykti, o realūs rezultatai gali reikšmingai skirtis dėl žinomų ir nežinomų rizikos veiksnių bei neapibrėžtumų, turinčių įtakos „</w:t>
      </w:r>
      <w:proofErr w:type="spellStart"/>
      <w:r w:rsidRPr="00AC113F">
        <w:rPr>
          <w:rFonts w:ascii="Helvetica" w:hAnsi="Helvetica" w:cs="Helvetica"/>
          <w:sz w:val="18"/>
          <w:szCs w:val="18"/>
          <w:lang w:val="lt-LT"/>
        </w:rPr>
        <w:t>Garmin</w:t>
      </w:r>
      <w:proofErr w:type="spellEnd"/>
      <w:r w:rsidRPr="00AC113F">
        <w:rPr>
          <w:rFonts w:ascii="Helvetica" w:hAnsi="Helvetica" w:cs="Helvetica"/>
          <w:sz w:val="18"/>
          <w:szCs w:val="18"/>
          <w:lang w:val="lt-LT"/>
        </w:rPr>
        <w:t>“, įskaitant, bet neapsiribojant, rizikos veiksniais, išvardytais 2023 m. gruodžio 30 d. metinėje ataskaitoje „</w:t>
      </w:r>
      <w:proofErr w:type="spellStart"/>
      <w:r w:rsidRPr="00AC113F">
        <w:rPr>
          <w:rFonts w:ascii="Helvetica" w:hAnsi="Helvetica" w:cs="Helvetica"/>
          <w:sz w:val="18"/>
          <w:szCs w:val="18"/>
          <w:lang w:val="lt-LT"/>
        </w:rPr>
        <w:t>Form</w:t>
      </w:r>
      <w:proofErr w:type="spellEnd"/>
      <w:r w:rsidRPr="00AC113F">
        <w:rPr>
          <w:rFonts w:ascii="Helvetica" w:hAnsi="Helvetica" w:cs="Helvetica"/>
          <w:sz w:val="18"/>
          <w:szCs w:val="18"/>
          <w:lang w:val="lt-LT"/>
        </w:rPr>
        <w:t xml:space="preserve"> 10-K“, kurią „</w:t>
      </w:r>
      <w:proofErr w:type="spellStart"/>
      <w:r w:rsidRPr="00AC113F">
        <w:rPr>
          <w:rFonts w:ascii="Helvetica" w:hAnsi="Helvetica" w:cs="Helvetica"/>
          <w:sz w:val="18"/>
          <w:szCs w:val="18"/>
          <w:lang w:val="lt-LT"/>
        </w:rPr>
        <w:t>Garmin</w:t>
      </w:r>
      <w:proofErr w:type="spellEnd"/>
      <w:r w:rsidRPr="00AC113F">
        <w:rPr>
          <w:rFonts w:ascii="Helvetica" w:hAnsi="Helvetica" w:cs="Helvetica"/>
          <w:sz w:val="18"/>
          <w:szCs w:val="18"/>
          <w:lang w:val="lt-LT"/>
        </w:rPr>
        <w:t xml:space="preserve">“ pateikė Vertybinių popierių ir biržų komisijai (bylos numeris 0001-411180). Šios ataskaitos kopiją galima rasti adresu </w:t>
      </w:r>
      <w:hyperlink r:id="rId8" w:history="1">
        <w:r w:rsidRPr="00AC113F">
          <w:rPr>
            <w:rStyle w:val="Hyperlink"/>
            <w:rFonts w:ascii="Helvetica" w:hAnsi="Helvetica" w:cs="Helvetica"/>
            <w:sz w:val="18"/>
            <w:szCs w:val="18"/>
            <w:lang w:val="lt-LT"/>
          </w:rPr>
          <w:t>http://www.garmin.com/aboutGarmin/invRelations/finReports.html</w:t>
        </w:r>
      </w:hyperlink>
      <w:r w:rsidR="00E4486A" w:rsidRPr="00AC113F">
        <w:rPr>
          <w:rFonts w:ascii="Helvetica" w:hAnsi="Helvetica" w:cs="Helvetica"/>
          <w:sz w:val="18"/>
          <w:szCs w:val="18"/>
          <w:lang w:val="pl-PL"/>
        </w:rPr>
        <w:t xml:space="preserve"> </w:t>
      </w:r>
    </w:p>
    <w:p w14:paraId="70B06BF8" w14:textId="77777777" w:rsidR="00820009" w:rsidRPr="00AC113F" w:rsidRDefault="00820009" w:rsidP="00D314E0">
      <w:pPr>
        <w:pStyle w:val="NormalWeb"/>
        <w:contextualSpacing/>
        <w:jc w:val="both"/>
        <w:rPr>
          <w:rFonts w:ascii="Helvetica" w:hAnsi="Helvetica" w:cs="Helvetica"/>
          <w:sz w:val="18"/>
          <w:szCs w:val="18"/>
          <w:lang w:val="lt-LT"/>
        </w:rPr>
      </w:pPr>
    </w:p>
    <w:p w14:paraId="0936A27B" w14:textId="77777777" w:rsidR="00D314E0" w:rsidRPr="00AC113F" w:rsidRDefault="00D314E0" w:rsidP="00D314E0">
      <w:pPr>
        <w:pStyle w:val="NormalWeb"/>
        <w:contextualSpacing/>
        <w:jc w:val="both"/>
        <w:rPr>
          <w:rFonts w:ascii="Helvetica" w:hAnsi="Helvetica" w:cs="Helvetica"/>
          <w:sz w:val="18"/>
          <w:szCs w:val="18"/>
          <w:lang w:val="lt-LT"/>
        </w:rPr>
      </w:pPr>
      <w:r w:rsidRPr="00AC113F">
        <w:rPr>
          <w:rFonts w:ascii="Helvetica" w:hAnsi="Helvetica" w:cs="Helvetica"/>
          <w:sz w:val="18"/>
          <w:szCs w:val="18"/>
          <w:lang w:val="lt-LT"/>
        </w:rPr>
        <w:t>Joks perspektyvinis teiginys nėra garantuotas. Perspektyviniai teiginiai atspindi tik jų paskelbimo datą, o „</w:t>
      </w:r>
      <w:proofErr w:type="spellStart"/>
      <w:r w:rsidRPr="00AC113F">
        <w:rPr>
          <w:rFonts w:ascii="Helvetica" w:hAnsi="Helvetica" w:cs="Helvetica"/>
          <w:sz w:val="18"/>
          <w:szCs w:val="18"/>
          <w:lang w:val="lt-LT"/>
        </w:rPr>
        <w:t>Garmin</w:t>
      </w:r>
      <w:proofErr w:type="spellEnd"/>
      <w:r w:rsidRPr="00AC113F">
        <w:rPr>
          <w:rFonts w:ascii="Helvetica" w:hAnsi="Helvetica" w:cs="Helvetica"/>
          <w:sz w:val="18"/>
          <w:szCs w:val="18"/>
          <w:lang w:val="lt-LT"/>
        </w:rPr>
        <w:t>“ neprisiima įsipareigojimo viešai atnaujinti ar tikslinti jokio perspektyvinio teiginio, nesvarbu, ar tai būtų padaryta gavus naujos informacijos, dėl ateities įvykių ar kitų priežasčių.</w:t>
      </w:r>
    </w:p>
    <w:p w14:paraId="1003F1E6" w14:textId="77777777" w:rsidR="00D314E0" w:rsidRPr="00AC113F" w:rsidRDefault="00D314E0" w:rsidP="00D314E0">
      <w:pPr>
        <w:pStyle w:val="NormalWeb"/>
        <w:contextualSpacing/>
        <w:jc w:val="both"/>
        <w:rPr>
          <w:rFonts w:ascii="Helvetica" w:hAnsi="Helvetica" w:cs="Helvetica"/>
          <w:sz w:val="16"/>
          <w:szCs w:val="16"/>
          <w:lang w:val="lt-LT"/>
        </w:rPr>
      </w:pPr>
    </w:p>
    <w:p w14:paraId="0263B44A" w14:textId="77777777" w:rsidR="00D314E0" w:rsidRPr="00AC113F" w:rsidRDefault="00D314E0" w:rsidP="00D314E0">
      <w:pPr>
        <w:pStyle w:val="NormalWeb"/>
        <w:contextualSpacing/>
        <w:jc w:val="both"/>
        <w:rPr>
          <w:rFonts w:ascii="Helvetica" w:hAnsi="Helvetica" w:cs="Helvetica"/>
          <w:b/>
          <w:bCs/>
          <w:sz w:val="18"/>
          <w:szCs w:val="18"/>
          <w:lang w:val="lt-LT"/>
        </w:rPr>
      </w:pPr>
      <w:r w:rsidRPr="00AC113F">
        <w:rPr>
          <w:rFonts w:ascii="Helvetica" w:hAnsi="Helvetica" w:cs="Helvetica"/>
          <w:b/>
          <w:bCs/>
          <w:sz w:val="18"/>
          <w:szCs w:val="18"/>
          <w:lang w:val="lt-LT"/>
        </w:rPr>
        <w:t>Daugiau informacijos:</w:t>
      </w:r>
    </w:p>
    <w:p w14:paraId="035F0FB8" w14:textId="012AEA60" w:rsidR="00FC53A0" w:rsidRPr="00AC113F" w:rsidRDefault="00D314E0" w:rsidP="00AC113F">
      <w:pPr>
        <w:pStyle w:val="NormalWeb"/>
        <w:contextualSpacing/>
        <w:rPr>
          <w:rFonts w:ascii="Helvetica" w:hAnsi="Helvetica" w:cs="Helvetica"/>
          <w:sz w:val="18"/>
          <w:szCs w:val="18"/>
          <w:lang w:val="lt-LT"/>
        </w:rPr>
      </w:pPr>
      <w:r w:rsidRPr="00AC113F">
        <w:rPr>
          <w:rFonts w:ascii="Helvetica" w:hAnsi="Helvetica" w:cs="Helvetica"/>
          <w:sz w:val="18"/>
          <w:szCs w:val="18"/>
          <w:lang w:val="lt-LT"/>
        </w:rPr>
        <w:t xml:space="preserve">Kamilė </w:t>
      </w:r>
      <w:proofErr w:type="spellStart"/>
      <w:r w:rsidRPr="00AC113F">
        <w:rPr>
          <w:rFonts w:ascii="Helvetica" w:hAnsi="Helvetica" w:cs="Helvetica"/>
          <w:sz w:val="18"/>
          <w:szCs w:val="18"/>
          <w:lang w:val="lt-LT"/>
        </w:rPr>
        <w:t>Augėnaitė</w:t>
      </w:r>
      <w:proofErr w:type="spellEnd"/>
      <w:r w:rsidRPr="00AC113F">
        <w:rPr>
          <w:rFonts w:ascii="Helvetica" w:hAnsi="Helvetica" w:cs="Helvetica"/>
          <w:sz w:val="18"/>
          <w:szCs w:val="18"/>
          <w:lang w:val="lt-LT"/>
        </w:rPr>
        <w:br/>
      </w:r>
      <w:r w:rsidR="005F596A" w:rsidRPr="00AC113F">
        <w:rPr>
          <w:rFonts w:ascii="Helvetica" w:hAnsi="Helvetica" w:cs="Helvetica"/>
          <w:sz w:val="18"/>
          <w:szCs w:val="18"/>
          <w:lang w:val="lt-LT"/>
        </w:rPr>
        <w:t>P</w:t>
      </w:r>
      <w:r w:rsidRPr="00AC113F">
        <w:rPr>
          <w:rFonts w:ascii="Helvetica" w:hAnsi="Helvetica" w:cs="Helvetica"/>
          <w:sz w:val="18"/>
          <w:szCs w:val="18"/>
          <w:lang w:val="lt-LT"/>
        </w:rPr>
        <w:t>rojektų vadovė</w:t>
      </w:r>
      <w:r w:rsidRPr="00AC113F">
        <w:rPr>
          <w:rFonts w:ascii="Helvetica" w:hAnsi="Helvetica" w:cs="Helvetica"/>
          <w:sz w:val="18"/>
          <w:szCs w:val="18"/>
          <w:lang w:val="lt-LT"/>
        </w:rPr>
        <w:br/>
        <w:t xml:space="preserve">Komunikacijos agentūra </w:t>
      </w:r>
      <w:proofErr w:type="spellStart"/>
      <w:r w:rsidRPr="00AC113F">
        <w:rPr>
          <w:rFonts w:ascii="Helvetica" w:hAnsi="Helvetica" w:cs="Helvetica"/>
          <w:sz w:val="18"/>
          <w:szCs w:val="18"/>
          <w:lang w:val="lt-LT"/>
        </w:rPr>
        <w:t>co:agency</w:t>
      </w:r>
      <w:proofErr w:type="spellEnd"/>
      <w:r w:rsidRPr="00AC113F">
        <w:rPr>
          <w:rFonts w:ascii="Helvetica" w:hAnsi="Helvetica" w:cs="Helvetica"/>
          <w:sz w:val="18"/>
          <w:szCs w:val="18"/>
          <w:lang w:val="lt-LT"/>
        </w:rPr>
        <w:br/>
        <w:t xml:space="preserve">Tel. </w:t>
      </w:r>
      <w:r w:rsidRPr="00AC113F">
        <w:rPr>
          <w:rFonts w:ascii="Helvetica" w:hAnsi="Helvetica" w:cs="Helvetica"/>
          <w:sz w:val="18"/>
          <w:szCs w:val="18"/>
        </w:rPr>
        <w:t>+370 6 114 2737</w:t>
      </w:r>
      <w:r w:rsidRPr="00AC113F">
        <w:rPr>
          <w:rFonts w:ascii="Helvetica" w:hAnsi="Helvetica" w:cs="Helvetica"/>
          <w:sz w:val="18"/>
          <w:szCs w:val="18"/>
        </w:rPr>
        <w:br/>
      </w:r>
      <w:hyperlink r:id="rId9" w:history="1">
        <w:r w:rsidRPr="00AC113F">
          <w:rPr>
            <w:rStyle w:val="Hyperlink"/>
            <w:rFonts w:ascii="Helvetica" w:hAnsi="Helvetica" w:cs="Helvetica"/>
            <w:color w:val="2E74B5" w:themeColor="accent5" w:themeShade="BF"/>
            <w:sz w:val="18"/>
            <w:szCs w:val="18"/>
          </w:rPr>
          <w:t>kamile.a@cogency.lt</w:t>
        </w:r>
      </w:hyperlink>
    </w:p>
    <w:sectPr w:rsidR="00FC53A0" w:rsidRPr="00AC113F">
      <w:headerReference w:type="default" r:id="rId10"/>
      <w:footerReference w:type="default" r:id="rId11"/>
      <w:pgSz w:w="12240" w:h="15840"/>
      <w:pgMar w:top="245" w:right="1080" w:bottom="1454" w:left="1080" w:header="720" w:footer="720"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C44E30" w14:textId="77777777" w:rsidR="00787A88" w:rsidRDefault="00787A88">
      <w:r>
        <w:separator/>
      </w:r>
    </w:p>
  </w:endnote>
  <w:endnote w:type="continuationSeparator" w:id="0">
    <w:p w14:paraId="0BCD2895" w14:textId="77777777" w:rsidR="00787A88" w:rsidRDefault="00787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auto"/>
    <w:pitch w:val="variable"/>
    <w:sig w:usb0="E50002FF" w:usb1="500079DB" w:usb2="00000010" w:usb3="00000000" w:csb0="00000001" w:csb1="00000000"/>
  </w:font>
  <w:font w:name="Calibri">
    <w:panose1 w:val="020F0502020204030204"/>
    <w:charset w:val="BA"/>
    <w:family w:val="swiss"/>
    <w:pitch w:val="variable"/>
    <w:sig w:usb0="E4002EFF" w:usb1="C000247B" w:usb2="00000009" w:usb3="00000000" w:csb0="000001FF" w:csb1="00000000"/>
  </w:font>
  <w:font w:name="Times">
    <w:altName w:val="Times New Roman"/>
    <w:panose1 w:val="02020603050405020304"/>
    <w:charset w:val="00"/>
    <w:family w:val="roman"/>
    <w:pitch w:val="default"/>
  </w:font>
  <w:font w:name="Helvetica">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1736E" w14:textId="77777777" w:rsidR="00FC53A0" w:rsidRDefault="00FC53A0">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9A9A35" w14:textId="77777777" w:rsidR="00787A88" w:rsidRDefault="00787A88">
      <w:r>
        <w:separator/>
      </w:r>
    </w:p>
  </w:footnote>
  <w:footnote w:type="continuationSeparator" w:id="0">
    <w:p w14:paraId="366F476C" w14:textId="77777777" w:rsidR="00787A88" w:rsidRDefault="00787A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431BE" w14:textId="77777777" w:rsidR="00FC53A0" w:rsidRDefault="00FC53A0">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3A0"/>
    <w:rsid w:val="00023709"/>
    <w:rsid w:val="00070ED7"/>
    <w:rsid w:val="000C6884"/>
    <w:rsid w:val="000D7B5D"/>
    <w:rsid w:val="000E45EA"/>
    <w:rsid w:val="000E55D4"/>
    <w:rsid w:val="00134A16"/>
    <w:rsid w:val="00155811"/>
    <w:rsid w:val="00183ABF"/>
    <w:rsid w:val="001E214B"/>
    <w:rsid w:val="001E4534"/>
    <w:rsid w:val="001F2702"/>
    <w:rsid w:val="002163C0"/>
    <w:rsid w:val="002201F8"/>
    <w:rsid w:val="00220BF2"/>
    <w:rsid w:val="0023516D"/>
    <w:rsid w:val="002539C9"/>
    <w:rsid w:val="00253F93"/>
    <w:rsid w:val="00284DDB"/>
    <w:rsid w:val="00294EB5"/>
    <w:rsid w:val="002A07B4"/>
    <w:rsid w:val="002A0950"/>
    <w:rsid w:val="002D0D52"/>
    <w:rsid w:val="002D4573"/>
    <w:rsid w:val="002E252F"/>
    <w:rsid w:val="00303DCF"/>
    <w:rsid w:val="00316F29"/>
    <w:rsid w:val="00360657"/>
    <w:rsid w:val="00365571"/>
    <w:rsid w:val="003662C4"/>
    <w:rsid w:val="003A1CB2"/>
    <w:rsid w:val="003B5544"/>
    <w:rsid w:val="003B7779"/>
    <w:rsid w:val="003E3B21"/>
    <w:rsid w:val="003F489A"/>
    <w:rsid w:val="00400C1E"/>
    <w:rsid w:val="00402248"/>
    <w:rsid w:val="00404BD3"/>
    <w:rsid w:val="00451AF1"/>
    <w:rsid w:val="004573D9"/>
    <w:rsid w:val="00457670"/>
    <w:rsid w:val="004E73C6"/>
    <w:rsid w:val="004F4C6E"/>
    <w:rsid w:val="00520B55"/>
    <w:rsid w:val="00540872"/>
    <w:rsid w:val="00555E90"/>
    <w:rsid w:val="005836C3"/>
    <w:rsid w:val="005A0510"/>
    <w:rsid w:val="005A7E95"/>
    <w:rsid w:val="005C0EBF"/>
    <w:rsid w:val="005F596A"/>
    <w:rsid w:val="005F62D3"/>
    <w:rsid w:val="005F77AD"/>
    <w:rsid w:val="0060567A"/>
    <w:rsid w:val="00650ED8"/>
    <w:rsid w:val="006712F2"/>
    <w:rsid w:val="00685360"/>
    <w:rsid w:val="006C3099"/>
    <w:rsid w:val="006E0236"/>
    <w:rsid w:val="00706E7F"/>
    <w:rsid w:val="00770AF6"/>
    <w:rsid w:val="00787A88"/>
    <w:rsid w:val="007A154B"/>
    <w:rsid w:val="007A6005"/>
    <w:rsid w:val="007C0D94"/>
    <w:rsid w:val="007C7247"/>
    <w:rsid w:val="00820009"/>
    <w:rsid w:val="00850AB5"/>
    <w:rsid w:val="008C74AA"/>
    <w:rsid w:val="00937CD9"/>
    <w:rsid w:val="00952A8C"/>
    <w:rsid w:val="0097575F"/>
    <w:rsid w:val="00981D11"/>
    <w:rsid w:val="009A48FB"/>
    <w:rsid w:val="009B234B"/>
    <w:rsid w:val="009B687E"/>
    <w:rsid w:val="009E2571"/>
    <w:rsid w:val="00A10B08"/>
    <w:rsid w:val="00A2518E"/>
    <w:rsid w:val="00A25C7A"/>
    <w:rsid w:val="00A425ED"/>
    <w:rsid w:val="00A52A5E"/>
    <w:rsid w:val="00A744FE"/>
    <w:rsid w:val="00A81601"/>
    <w:rsid w:val="00A81AD4"/>
    <w:rsid w:val="00A90952"/>
    <w:rsid w:val="00AB1334"/>
    <w:rsid w:val="00AB1AF9"/>
    <w:rsid w:val="00AC113F"/>
    <w:rsid w:val="00AC515E"/>
    <w:rsid w:val="00AF723C"/>
    <w:rsid w:val="00B15987"/>
    <w:rsid w:val="00B45999"/>
    <w:rsid w:val="00B534B3"/>
    <w:rsid w:val="00B54C75"/>
    <w:rsid w:val="00B6449D"/>
    <w:rsid w:val="00B8446A"/>
    <w:rsid w:val="00BD36F6"/>
    <w:rsid w:val="00BE09A3"/>
    <w:rsid w:val="00BF62E7"/>
    <w:rsid w:val="00C27418"/>
    <w:rsid w:val="00C633AD"/>
    <w:rsid w:val="00C9630D"/>
    <w:rsid w:val="00CA342B"/>
    <w:rsid w:val="00CA4B5A"/>
    <w:rsid w:val="00CA73B1"/>
    <w:rsid w:val="00CC48B6"/>
    <w:rsid w:val="00D05475"/>
    <w:rsid w:val="00D225A7"/>
    <w:rsid w:val="00D314E0"/>
    <w:rsid w:val="00D45890"/>
    <w:rsid w:val="00D55597"/>
    <w:rsid w:val="00D65BF8"/>
    <w:rsid w:val="00DF1193"/>
    <w:rsid w:val="00E16B34"/>
    <w:rsid w:val="00E21122"/>
    <w:rsid w:val="00E40650"/>
    <w:rsid w:val="00E4486A"/>
    <w:rsid w:val="00E673D9"/>
    <w:rsid w:val="00E70B0C"/>
    <w:rsid w:val="00E85CE8"/>
    <w:rsid w:val="00F10C96"/>
    <w:rsid w:val="00F76CFB"/>
    <w:rsid w:val="00FC4F71"/>
    <w:rsid w:val="00FC53A0"/>
    <w:rsid w:val="00FC744A"/>
    <w:rsid w:val="00FD50C2"/>
    <w:rsid w:val="00FE6C5F"/>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D5746"/>
  <w15:docId w15:val="{B266FB13-B9C4-4E37-81E8-6F88F2FFD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rPr>
      <w:rFonts w:ascii="Calibri" w:hAnsi="Calibri" w:cs="Arial Unicode MS"/>
      <w:color w:val="000000"/>
      <w:sz w:val="24"/>
      <w:szCs w:val="24"/>
      <w:u w:color="000000"/>
      <w14:textOutline w14:w="0" w14:cap="flat" w14:cmpd="sng" w14:algn="ctr">
        <w14:noFill/>
        <w14:prstDash w14:val="solid"/>
        <w14:bevel/>
      </w14:textOutline>
    </w:rPr>
  </w:style>
  <w:style w:type="paragraph" w:customStyle="1" w:styleId="Default">
    <w:name w:val="Default"/>
    <w:pPr>
      <w:spacing w:before="160"/>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character" w:customStyle="1" w:styleId="None">
    <w:name w:val="None"/>
  </w:style>
  <w:style w:type="character" w:customStyle="1" w:styleId="Hyperlink0">
    <w:name w:val="Hyperlink.0"/>
    <w:basedOn w:val="None"/>
    <w:rPr>
      <w:outline w:val="0"/>
      <w:color w:val="1155CC"/>
      <w:u w:val="single"/>
    </w:rPr>
  </w:style>
  <w:style w:type="character" w:styleId="UnresolvedMention">
    <w:name w:val="Unresolved Mention"/>
    <w:basedOn w:val="DefaultParagraphFont"/>
    <w:uiPriority w:val="99"/>
    <w:semiHidden/>
    <w:unhideWhenUsed/>
    <w:rsid w:val="00685360"/>
    <w:rPr>
      <w:color w:val="605E5C"/>
      <w:shd w:val="clear" w:color="auto" w:fill="E1DFDD"/>
    </w:rPr>
  </w:style>
  <w:style w:type="paragraph" w:styleId="FootnoteText">
    <w:name w:val="footnote text"/>
    <w:basedOn w:val="Normal"/>
    <w:link w:val="FootnoteTextChar"/>
    <w:uiPriority w:val="99"/>
    <w:semiHidden/>
    <w:unhideWhenUsed/>
    <w:rsid w:val="002163C0"/>
    <w:rPr>
      <w:sz w:val="20"/>
      <w:szCs w:val="20"/>
    </w:rPr>
  </w:style>
  <w:style w:type="character" w:customStyle="1" w:styleId="FootnoteTextChar">
    <w:name w:val="Footnote Text Char"/>
    <w:basedOn w:val="DefaultParagraphFont"/>
    <w:link w:val="FootnoteText"/>
    <w:uiPriority w:val="99"/>
    <w:semiHidden/>
    <w:rsid w:val="002163C0"/>
    <w:rPr>
      <w:lang w:val="en-US" w:eastAsia="en-US"/>
    </w:rPr>
  </w:style>
  <w:style w:type="character" w:styleId="FootnoteReference">
    <w:name w:val="footnote reference"/>
    <w:basedOn w:val="DefaultParagraphFont"/>
    <w:uiPriority w:val="99"/>
    <w:semiHidden/>
    <w:unhideWhenUsed/>
    <w:rsid w:val="002163C0"/>
    <w:rPr>
      <w:vertAlign w:val="superscript"/>
    </w:rPr>
  </w:style>
  <w:style w:type="paragraph" w:styleId="NormalWeb">
    <w:name w:val="Normal (Web)"/>
    <w:basedOn w:val="Normal"/>
    <w:uiPriority w:val="99"/>
    <w:unhideWhenUsed/>
    <w:rsid w:val="00D314E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w:eastAsiaTheme="minorEastAsia" w:hAnsi="Times"/>
      <w:sz w:val="20"/>
      <w:szCs w:val="20"/>
      <w:bdr w:val="none" w:sz="0" w:space="0" w:color="auto"/>
    </w:rPr>
  </w:style>
  <w:style w:type="character" w:styleId="Strong">
    <w:name w:val="Strong"/>
    <w:basedOn w:val="DefaultParagraphFont"/>
    <w:uiPriority w:val="22"/>
    <w:qFormat/>
    <w:rsid w:val="00D314E0"/>
    <w:rPr>
      <w:b/>
      <w:bCs/>
    </w:rPr>
  </w:style>
  <w:style w:type="paragraph" w:styleId="Revision">
    <w:name w:val="Revision"/>
    <w:hidden/>
    <w:uiPriority w:val="99"/>
    <w:semiHidden/>
    <w:rsid w:val="002539C9"/>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styleId="CommentReference">
    <w:name w:val="annotation reference"/>
    <w:basedOn w:val="DefaultParagraphFont"/>
    <w:uiPriority w:val="99"/>
    <w:semiHidden/>
    <w:unhideWhenUsed/>
    <w:rsid w:val="00D225A7"/>
    <w:rPr>
      <w:sz w:val="16"/>
      <w:szCs w:val="16"/>
    </w:rPr>
  </w:style>
  <w:style w:type="paragraph" w:styleId="CommentText">
    <w:name w:val="annotation text"/>
    <w:basedOn w:val="Normal"/>
    <w:link w:val="CommentTextChar"/>
    <w:uiPriority w:val="99"/>
    <w:semiHidden/>
    <w:unhideWhenUsed/>
    <w:rsid w:val="00D225A7"/>
    <w:rPr>
      <w:sz w:val="20"/>
      <w:szCs w:val="20"/>
    </w:rPr>
  </w:style>
  <w:style w:type="character" w:customStyle="1" w:styleId="CommentTextChar">
    <w:name w:val="Comment Text Char"/>
    <w:basedOn w:val="DefaultParagraphFont"/>
    <w:link w:val="CommentText"/>
    <w:uiPriority w:val="99"/>
    <w:semiHidden/>
    <w:rsid w:val="00D225A7"/>
    <w:rPr>
      <w:lang w:val="en-US" w:eastAsia="en-US"/>
    </w:rPr>
  </w:style>
  <w:style w:type="paragraph" w:styleId="CommentSubject">
    <w:name w:val="annotation subject"/>
    <w:basedOn w:val="CommentText"/>
    <w:next w:val="CommentText"/>
    <w:link w:val="CommentSubjectChar"/>
    <w:uiPriority w:val="99"/>
    <w:semiHidden/>
    <w:unhideWhenUsed/>
    <w:rsid w:val="00D225A7"/>
    <w:rPr>
      <w:b/>
      <w:bCs/>
    </w:rPr>
  </w:style>
  <w:style w:type="character" w:customStyle="1" w:styleId="CommentSubjectChar">
    <w:name w:val="Comment Subject Char"/>
    <w:basedOn w:val="CommentTextChar"/>
    <w:link w:val="CommentSubject"/>
    <w:uiPriority w:val="99"/>
    <w:semiHidden/>
    <w:rsid w:val="00D225A7"/>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618119">
      <w:bodyDiv w:val="1"/>
      <w:marLeft w:val="0"/>
      <w:marRight w:val="0"/>
      <w:marTop w:val="0"/>
      <w:marBottom w:val="0"/>
      <w:divBdr>
        <w:top w:val="none" w:sz="0" w:space="0" w:color="auto"/>
        <w:left w:val="none" w:sz="0" w:space="0" w:color="auto"/>
        <w:bottom w:val="none" w:sz="0" w:space="0" w:color="auto"/>
        <w:right w:val="none" w:sz="0" w:space="0" w:color="auto"/>
      </w:divBdr>
    </w:div>
    <w:div w:id="733165464">
      <w:bodyDiv w:val="1"/>
      <w:marLeft w:val="0"/>
      <w:marRight w:val="0"/>
      <w:marTop w:val="0"/>
      <w:marBottom w:val="0"/>
      <w:divBdr>
        <w:top w:val="none" w:sz="0" w:space="0" w:color="auto"/>
        <w:left w:val="none" w:sz="0" w:space="0" w:color="auto"/>
        <w:bottom w:val="none" w:sz="0" w:space="0" w:color="auto"/>
        <w:right w:val="none" w:sz="0" w:space="0" w:color="auto"/>
      </w:divBdr>
      <w:divsChild>
        <w:div w:id="713429560">
          <w:marLeft w:val="0"/>
          <w:marRight w:val="0"/>
          <w:marTop w:val="0"/>
          <w:marBottom w:val="0"/>
          <w:divBdr>
            <w:top w:val="none" w:sz="0" w:space="0" w:color="auto"/>
            <w:left w:val="none" w:sz="0" w:space="0" w:color="auto"/>
            <w:bottom w:val="none" w:sz="0" w:space="0" w:color="auto"/>
            <w:right w:val="none" w:sz="0" w:space="0" w:color="auto"/>
          </w:divBdr>
          <w:divsChild>
            <w:div w:id="1272586020">
              <w:marLeft w:val="0"/>
              <w:marRight w:val="0"/>
              <w:marTop w:val="0"/>
              <w:marBottom w:val="0"/>
              <w:divBdr>
                <w:top w:val="none" w:sz="0" w:space="0" w:color="auto"/>
                <w:left w:val="none" w:sz="0" w:space="0" w:color="auto"/>
                <w:bottom w:val="none" w:sz="0" w:space="0" w:color="auto"/>
                <w:right w:val="none" w:sz="0" w:space="0" w:color="auto"/>
              </w:divBdr>
              <w:divsChild>
                <w:div w:id="1324505323">
                  <w:marLeft w:val="0"/>
                  <w:marRight w:val="0"/>
                  <w:marTop w:val="0"/>
                  <w:marBottom w:val="0"/>
                  <w:divBdr>
                    <w:top w:val="none" w:sz="0" w:space="0" w:color="auto"/>
                    <w:left w:val="none" w:sz="0" w:space="0" w:color="auto"/>
                    <w:bottom w:val="none" w:sz="0" w:space="0" w:color="auto"/>
                    <w:right w:val="none" w:sz="0" w:space="0" w:color="auto"/>
                  </w:divBdr>
                  <w:divsChild>
                    <w:div w:id="2051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580522">
          <w:marLeft w:val="0"/>
          <w:marRight w:val="0"/>
          <w:marTop w:val="0"/>
          <w:marBottom w:val="0"/>
          <w:divBdr>
            <w:top w:val="none" w:sz="0" w:space="0" w:color="auto"/>
            <w:left w:val="none" w:sz="0" w:space="0" w:color="auto"/>
            <w:bottom w:val="none" w:sz="0" w:space="0" w:color="auto"/>
            <w:right w:val="none" w:sz="0" w:space="0" w:color="auto"/>
          </w:divBdr>
          <w:divsChild>
            <w:div w:id="45837445">
              <w:marLeft w:val="0"/>
              <w:marRight w:val="0"/>
              <w:marTop w:val="0"/>
              <w:marBottom w:val="0"/>
              <w:divBdr>
                <w:top w:val="none" w:sz="0" w:space="0" w:color="auto"/>
                <w:left w:val="none" w:sz="0" w:space="0" w:color="auto"/>
                <w:bottom w:val="none" w:sz="0" w:space="0" w:color="auto"/>
                <w:right w:val="none" w:sz="0" w:space="0" w:color="auto"/>
              </w:divBdr>
              <w:divsChild>
                <w:div w:id="253589112">
                  <w:marLeft w:val="0"/>
                  <w:marRight w:val="0"/>
                  <w:marTop w:val="0"/>
                  <w:marBottom w:val="0"/>
                  <w:divBdr>
                    <w:top w:val="none" w:sz="0" w:space="0" w:color="auto"/>
                    <w:left w:val="none" w:sz="0" w:space="0" w:color="auto"/>
                    <w:bottom w:val="none" w:sz="0" w:space="0" w:color="auto"/>
                    <w:right w:val="none" w:sz="0" w:space="0" w:color="auto"/>
                  </w:divBdr>
                  <w:divsChild>
                    <w:div w:id="2028753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8965439">
      <w:bodyDiv w:val="1"/>
      <w:marLeft w:val="0"/>
      <w:marRight w:val="0"/>
      <w:marTop w:val="0"/>
      <w:marBottom w:val="0"/>
      <w:divBdr>
        <w:top w:val="none" w:sz="0" w:space="0" w:color="auto"/>
        <w:left w:val="none" w:sz="0" w:space="0" w:color="auto"/>
        <w:bottom w:val="none" w:sz="0" w:space="0" w:color="auto"/>
        <w:right w:val="none" w:sz="0" w:space="0" w:color="auto"/>
      </w:divBdr>
      <w:divsChild>
        <w:div w:id="1194996934">
          <w:marLeft w:val="0"/>
          <w:marRight w:val="0"/>
          <w:marTop w:val="0"/>
          <w:marBottom w:val="0"/>
          <w:divBdr>
            <w:top w:val="none" w:sz="0" w:space="0" w:color="auto"/>
            <w:left w:val="none" w:sz="0" w:space="0" w:color="auto"/>
            <w:bottom w:val="none" w:sz="0" w:space="0" w:color="auto"/>
            <w:right w:val="none" w:sz="0" w:space="0" w:color="auto"/>
          </w:divBdr>
          <w:divsChild>
            <w:div w:id="244805138">
              <w:marLeft w:val="0"/>
              <w:marRight w:val="0"/>
              <w:marTop w:val="0"/>
              <w:marBottom w:val="0"/>
              <w:divBdr>
                <w:top w:val="none" w:sz="0" w:space="0" w:color="auto"/>
                <w:left w:val="none" w:sz="0" w:space="0" w:color="auto"/>
                <w:bottom w:val="none" w:sz="0" w:space="0" w:color="auto"/>
                <w:right w:val="none" w:sz="0" w:space="0" w:color="auto"/>
              </w:divBdr>
              <w:divsChild>
                <w:div w:id="1631547587">
                  <w:marLeft w:val="0"/>
                  <w:marRight w:val="0"/>
                  <w:marTop w:val="0"/>
                  <w:marBottom w:val="0"/>
                  <w:divBdr>
                    <w:top w:val="none" w:sz="0" w:space="0" w:color="auto"/>
                    <w:left w:val="none" w:sz="0" w:space="0" w:color="auto"/>
                    <w:bottom w:val="none" w:sz="0" w:space="0" w:color="auto"/>
                    <w:right w:val="none" w:sz="0" w:space="0" w:color="auto"/>
                  </w:divBdr>
                  <w:divsChild>
                    <w:div w:id="192178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930529">
          <w:marLeft w:val="0"/>
          <w:marRight w:val="0"/>
          <w:marTop w:val="0"/>
          <w:marBottom w:val="0"/>
          <w:divBdr>
            <w:top w:val="none" w:sz="0" w:space="0" w:color="auto"/>
            <w:left w:val="none" w:sz="0" w:space="0" w:color="auto"/>
            <w:bottom w:val="none" w:sz="0" w:space="0" w:color="auto"/>
            <w:right w:val="none" w:sz="0" w:space="0" w:color="auto"/>
          </w:divBdr>
          <w:divsChild>
            <w:div w:id="1682462755">
              <w:marLeft w:val="0"/>
              <w:marRight w:val="0"/>
              <w:marTop w:val="0"/>
              <w:marBottom w:val="0"/>
              <w:divBdr>
                <w:top w:val="none" w:sz="0" w:space="0" w:color="auto"/>
                <w:left w:val="none" w:sz="0" w:space="0" w:color="auto"/>
                <w:bottom w:val="none" w:sz="0" w:space="0" w:color="auto"/>
                <w:right w:val="none" w:sz="0" w:space="0" w:color="auto"/>
              </w:divBdr>
              <w:divsChild>
                <w:div w:id="1059130548">
                  <w:marLeft w:val="0"/>
                  <w:marRight w:val="0"/>
                  <w:marTop w:val="0"/>
                  <w:marBottom w:val="0"/>
                  <w:divBdr>
                    <w:top w:val="none" w:sz="0" w:space="0" w:color="auto"/>
                    <w:left w:val="none" w:sz="0" w:space="0" w:color="auto"/>
                    <w:bottom w:val="none" w:sz="0" w:space="0" w:color="auto"/>
                    <w:right w:val="none" w:sz="0" w:space="0" w:color="auto"/>
                  </w:divBdr>
                  <w:divsChild>
                    <w:div w:id="56159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garmin.com/aboutGarmin/invRelations/finReports.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kamile.a@cogency.lt"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D9CC3F-71CF-4F01-B321-580268577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4091</Words>
  <Characters>2333</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Kamilė Augėnaitė | Coagency</dc:creator>
  <cp:lastModifiedBy>Naujas | Coagency</cp:lastModifiedBy>
  <cp:revision>2</cp:revision>
  <dcterms:created xsi:type="dcterms:W3CDTF">2025-05-13T11:23:00Z</dcterms:created>
  <dcterms:modified xsi:type="dcterms:W3CDTF">2025-05-13T11:23:00Z</dcterms:modified>
</cp:coreProperties>
</file>