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5E3AD0" w14:textId="0B8AAF1A" w:rsidR="00B14CDD" w:rsidRPr="00184D37" w:rsidRDefault="00B14CDD" w:rsidP="009A0710">
      <w:pPr>
        <w:jc w:val="center"/>
        <w:rPr>
          <w:b/>
          <w:bCs/>
        </w:rPr>
      </w:pPr>
      <w:r w:rsidRPr="00184D37">
        <w:rPr>
          <w:b/>
          <w:bCs/>
        </w:rPr>
        <w:t xml:space="preserve">Lietuvos užsienio prekyba yra dvigubai </w:t>
      </w:r>
      <w:r w:rsidR="0067565F">
        <w:rPr>
          <w:b/>
          <w:bCs/>
        </w:rPr>
        <w:t>aktyvesnė</w:t>
      </w:r>
      <w:r w:rsidRPr="00184D37">
        <w:rPr>
          <w:b/>
          <w:bCs/>
        </w:rPr>
        <w:t xml:space="preserve"> nei Latvijo</w:t>
      </w:r>
      <w:r w:rsidR="00310E92">
        <w:rPr>
          <w:b/>
          <w:bCs/>
        </w:rPr>
        <w:t>s</w:t>
      </w:r>
      <w:r w:rsidRPr="00184D37">
        <w:rPr>
          <w:b/>
          <w:bCs/>
        </w:rPr>
        <w:t xml:space="preserve"> </w:t>
      </w:r>
      <w:r w:rsidR="00310E92">
        <w:rPr>
          <w:b/>
          <w:bCs/>
        </w:rPr>
        <w:t>a</w:t>
      </w:r>
      <w:r w:rsidRPr="00184D37">
        <w:rPr>
          <w:b/>
          <w:bCs/>
        </w:rPr>
        <w:t>r Estijo</w:t>
      </w:r>
      <w:r w:rsidR="00310E92">
        <w:rPr>
          <w:b/>
          <w:bCs/>
        </w:rPr>
        <w:t>s</w:t>
      </w:r>
    </w:p>
    <w:p w14:paraId="1E0308A5" w14:textId="77777777" w:rsidR="00B14CDD" w:rsidRPr="00184D37" w:rsidRDefault="00B14CDD" w:rsidP="00B14CDD">
      <w:pPr>
        <w:rPr>
          <w:i/>
          <w:iCs/>
        </w:rPr>
      </w:pPr>
      <w:r w:rsidRPr="00184D37">
        <w:rPr>
          <w:i/>
          <w:iCs/>
        </w:rPr>
        <w:t>Raul Eamets, „</w:t>
      </w:r>
      <w:proofErr w:type="spellStart"/>
      <w:r w:rsidRPr="00184D37">
        <w:rPr>
          <w:i/>
          <w:iCs/>
        </w:rPr>
        <w:t>Bigbank</w:t>
      </w:r>
      <w:proofErr w:type="spellEnd"/>
      <w:r w:rsidRPr="00184D37">
        <w:rPr>
          <w:i/>
          <w:iCs/>
        </w:rPr>
        <w:t>“ vyriausiasis ekonomistas</w:t>
      </w:r>
    </w:p>
    <w:p w14:paraId="756F5590" w14:textId="01943F1C" w:rsidR="00B14CDD" w:rsidRDefault="00B14CDD" w:rsidP="009A0710">
      <w:pPr>
        <w:jc w:val="both"/>
      </w:pPr>
      <w:r>
        <w:t xml:space="preserve">Lietuvoje kovo mėnesį, palyginti su vasario mėnesiu, eksportas </w:t>
      </w:r>
      <w:r w:rsidR="00184D37">
        <w:t>išaugo</w:t>
      </w:r>
      <w:r>
        <w:t xml:space="preserve"> 14 </w:t>
      </w:r>
      <w:r w:rsidR="00184D37">
        <w:t>proc.</w:t>
      </w:r>
      <w:r>
        <w:t xml:space="preserve">, o importas </w:t>
      </w:r>
      <w:r w:rsidR="00184D37">
        <w:t>–</w:t>
      </w:r>
      <w:r>
        <w:t xml:space="preserve"> 13 </w:t>
      </w:r>
      <w:r w:rsidR="00184D37">
        <w:t>proc</w:t>
      </w:r>
      <w:r>
        <w:t>. Per metus eksportas</w:t>
      </w:r>
      <w:r w:rsidR="00184D37">
        <w:t xml:space="preserve"> šalyje</w:t>
      </w:r>
      <w:r>
        <w:t xml:space="preserve"> padidėjo 6 </w:t>
      </w:r>
      <w:r w:rsidR="00184D37">
        <w:t>proc.</w:t>
      </w:r>
      <w:r>
        <w:t xml:space="preserve">, o importas </w:t>
      </w:r>
      <w:r w:rsidR="00184D37">
        <w:t>–</w:t>
      </w:r>
      <w:r>
        <w:t xml:space="preserve"> 17 </w:t>
      </w:r>
      <w:r w:rsidR="00184D37">
        <w:t>proc</w:t>
      </w:r>
      <w:r>
        <w:t xml:space="preserve">. Daugiausia prie eksporto augimo prisidėjo mineralinės alyvos, transporto priemonės ir farmacijos produktai. Importo augimą lėmė mineralinis kuras, </w:t>
      </w:r>
      <w:r w:rsidR="00AC6D86">
        <w:t>įvairi technika</w:t>
      </w:r>
      <w:r>
        <w:t xml:space="preserve"> bei transporto priemonės.</w:t>
      </w:r>
    </w:p>
    <w:p w14:paraId="4B327B49" w14:textId="22DAC6CA" w:rsidR="00B14CDD" w:rsidRDefault="00B14CDD" w:rsidP="009A0710">
      <w:pPr>
        <w:jc w:val="both"/>
      </w:pPr>
      <w:r>
        <w:t xml:space="preserve">Pagrindinės Lietuvos eksporto partnerės yra Latvija, Lenkija ir Vokietija. Pagal importą pirmoje vietoje yra Lenkija, po jos </w:t>
      </w:r>
      <w:r w:rsidR="00AC6D86">
        <w:t>–</w:t>
      </w:r>
      <w:r>
        <w:t xml:space="preserve"> Vokietija ir Latvija.</w:t>
      </w:r>
    </w:p>
    <w:p w14:paraId="0DDF1F19" w14:textId="643C7066" w:rsidR="00B14CDD" w:rsidRDefault="00B14CDD" w:rsidP="009A0710">
      <w:pPr>
        <w:jc w:val="both"/>
      </w:pPr>
      <w:r>
        <w:t xml:space="preserve">Panašūs augimo rodikliai buvo stebimi ir kaimyninėse šalyse </w:t>
      </w:r>
      <w:r w:rsidR="00AC6D86">
        <w:t>–</w:t>
      </w:r>
      <w:r>
        <w:t xml:space="preserve"> Estijoje ir Latvijoje.</w:t>
      </w:r>
      <w:r w:rsidR="00310E92">
        <w:t xml:space="preserve"> </w:t>
      </w:r>
      <w:r>
        <w:t xml:space="preserve">Estijoje kovo mėn. eksportas padidėjo 17 </w:t>
      </w:r>
      <w:r w:rsidR="00AC6D86">
        <w:t>proc.</w:t>
      </w:r>
      <w:r>
        <w:t xml:space="preserve">, o importas </w:t>
      </w:r>
      <w:r w:rsidR="00310E92">
        <w:t>–</w:t>
      </w:r>
      <w:r>
        <w:t xml:space="preserve"> 13 </w:t>
      </w:r>
      <w:r w:rsidR="00AC6D86">
        <w:t>proc.</w:t>
      </w:r>
      <w:r>
        <w:t xml:space="preserve">. Latvijoje ir eksportas, ir importas </w:t>
      </w:r>
      <w:r w:rsidR="00AC6D86">
        <w:t>augo</w:t>
      </w:r>
      <w:r>
        <w:t xml:space="preserve"> 8,1 </w:t>
      </w:r>
      <w:r w:rsidR="00AC6D86">
        <w:t>proc.</w:t>
      </w:r>
      <w:r>
        <w:t xml:space="preserve">. Kovo mėn. svarbiausi Estijos eksporto produktai buvo elektros įranga, mediena ir medienos gaminiai bei maisto pramonės produktai. Latvijos eksporto struktūra buvo panaši, tačiau, be medienos gaminių ir elektros įrangos, eksportuota ir mineralinių alyvų. Latvija importavo transporto priemones, mineralines alyvas ir elektros įrangą, o Estija </w:t>
      </w:r>
      <w:r w:rsidR="00AC6D86">
        <w:t>–</w:t>
      </w:r>
      <w:r>
        <w:t xml:space="preserve"> mineralinius produktus, žemės ūkio </w:t>
      </w:r>
      <w:r w:rsidR="00AC6D86">
        <w:t>produkciją</w:t>
      </w:r>
      <w:r>
        <w:t xml:space="preserve"> ir chemijos pramonės žaliavas.</w:t>
      </w:r>
    </w:p>
    <w:p w14:paraId="43B8C6CB" w14:textId="06434240" w:rsidR="00B14CDD" w:rsidRDefault="00B14CDD" w:rsidP="009A0710">
      <w:pPr>
        <w:jc w:val="both"/>
      </w:pPr>
      <w:r>
        <w:t xml:space="preserve">Kai prekių grupės dominuoja ir eksporto, ir importo eilutėse, tai dažnai rodo reeksportą </w:t>
      </w:r>
      <w:r w:rsidR="00AC6D86">
        <w:t>–</w:t>
      </w:r>
      <w:r>
        <w:t xml:space="preserve"> prekių pirkimą iš pigesnių šalių ir jų pardavimą brangesnėms rinkoms.</w:t>
      </w:r>
    </w:p>
    <w:p w14:paraId="22AF22E1" w14:textId="364077E5" w:rsidR="00B14CDD" w:rsidRDefault="00B14CDD" w:rsidP="009A0710">
      <w:pPr>
        <w:jc w:val="both"/>
      </w:pPr>
      <w:r>
        <w:t xml:space="preserve">Didžiausios Estijos prekybos partnerės eksporto srityje buvo Suomija, Latvija ir Švedija, importo srityje </w:t>
      </w:r>
      <w:r w:rsidR="00AC6D86">
        <w:t>–</w:t>
      </w:r>
      <w:r>
        <w:t xml:space="preserve"> Latvija, Vokietija ir Suomija. Latvijos pagrindinės eksporto partnerės buvo Lietuva, Estija ir Vokietija, o importo </w:t>
      </w:r>
      <w:r w:rsidR="00AC6D86">
        <w:t>–</w:t>
      </w:r>
      <w:r>
        <w:t xml:space="preserve"> Lietuva, Vokietija ir Lenkija.</w:t>
      </w:r>
    </w:p>
    <w:p w14:paraId="33D9D001" w14:textId="5BAD6D96" w:rsidR="00B14CDD" w:rsidRDefault="00B14CDD" w:rsidP="009A0710">
      <w:pPr>
        <w:jc w:val="both"/>
      </w:pPr>
      <w:r>
        <w:t xml:space="preserve">Kaip matyti iš šio šalių sąrašo, visos jos yra glaudžiai tarpusavyje susijusios ir visos turi svarbių užsienio prekybos ryšių su Vokietija. Net jei Vokietija nėra pagrindinė partnerė (kaip Latvijoje ir Estijoje), ji yra svarbiausia prekybos partnerė tokioms šalims kaip Lenkija, Suomija ir Švedija. Vokietija yra didžiausia ES eksportuotoja </w:t>
      </w:r>
      <w:r w:rsidR="00AC6D86">
        <w:t>–</w:t>
      </w:r>
      <w:r>
        <w:t xml:space="preserve"> jai tenka apie 33 </w:t>
      </w:r>
      <w:r w:rsidR="00AC6D86">
        <w:t>proc.</w:t>
      </w:r>
      <w:r>
        <w:t xml:space="preserve"> viso ES eksporto. Todėl yra pagrindo nerimauti dėl JAV prezidento D</w:t>
      </w:r>
      <w:r w:rsidR="00AC6D86">
        <w:t>onaldo</w:t>
      </w:r>
      <w:r>
        <w:t xml:space="preserve"> Trumpo veiksmų, nes jei po 90 dienų ES bus įvesti didesni muitai, Vokietija neabejotinai nukentės.</w:t>
      </w:r>
    </w:p>
    <w:p w14:paraId="460D8E08" w14:textId="02477B88" w:rsidR="00B14CDD" w:rsidRDefault="00B14CDD" w:rsidP="009A0710">
      <w:pPr>
        <w:jc w:val="both"/>
      </w:pPr>
      <w:r>
        <w:t xml:space="preserve">Lietuvos prekybos apimtys yra beveik dvigubai didesnės nei kaimyninių Latvijos ir Estijos. Visų trijų šalių prekybos balansas yra neigiamas, </w:t>
      </w:r>
      <w:r w:rsidR="00310E92">
        <w:t>bet</w:t>
      </w:r>
      <w:r>
        <w:t xml:space="preserve"> Lietuvos deficitas yra didžiausias. Per trijų mėnesių laikotarpį Latvijoje prekybos deficitas buvo mažiausias.</w:t>
      </w:r>
    </w:p>
    <w:p w14:paraId="02EE0AB2" w14:textId="47D3BA94" w:rsidR="00FB00C8" w:rsidRDefault="00B14CDD" w:rsidP="009A0710">
      <w:pPr>
        <w:jc w:val="both"/>
      </w:pPr>
      <w:r>
        <w:t>Kaip jau minėta, reeksportas Baltijos šalyse yra paplitęs</w:t>
      </w:r>
      <w:r w:rsidR="00AC6D86">
        <w:t xml:space="preserve"> gan smarkiai</w:t>
      </w:r>
      <w:r>
        <w:t xml:space="preserve">. Žvelgiant į Lietuvos duomenis, 2025 m. pirmus tris mėnesius lietuviškos kilmės prekės sudarė 70 </w:t>
      </w:r>
      <w:r w:rsidR="00AC6D86">
        <w:t>proc.</w:t>
      </w:r>
      <w:r>
        <w:t xml:space="preserve"> viso eksporto. Metais anksčiau šis rodiklis buvo 66 </w:t>
      </w:r>
      <w:r w:rsidR="00AC6D86">
        <w:t>proc.</w:t>
      </w:r>
      <w:r>
        <w:t xml:space="preserve"> Tai taip pat didžiausias rodiklis tarp Baltijos šalių </w:t>
      </w:r>
      <w:r w:rsidR="00AC6D86">
        <w:t>–</w:t>
      </w:r>
      <w:r>
        <w:t xml:space="preserve"> Estijoje 2025 m. pirmąjį ketvirtį estiškos kilmės prekės sudarė 65 </w:t>
      </w:r>
      <w:r w:rsidR="00AC6D86">
        <w:t>proc.</w:t>
      </w:r>
      <w:r>
        <w:t xml:space="preserve"> viso eksporto. Palyginamų Latvijos duomenų nepavyko rasti, tačiau </w:t>
      </w:r>
      <w:r w:rsidR="009A0710">
        <w:t>bent jau</w:t>
      </w:r>
      <w:r>
        <w:t xml:space="preserve"> 2024 m. latviškos kilmės prekės sudarė 47 </w:t>
      </w:r>
      <w:r w:rsidR="009A0710">
        <w:t>proc.</w:t>
      </w:r>
      <w:r>
        <w:t xml:space="preserve"> eksporto į ES, o tai savo ruožtu sudarė 74 </w:t>
      </w:r>
      <w:r w:rsidR="009A0710">
        <w:t>proc.</w:t>
      </w:r>
      <w:r>
        <w:t xml:space="preserve"> viso Latvijos eksporto.</w:t>
      </w:r>
    </w:p>
    <w:p w14:paraId="2E69397B" w14:textId="61270D89" w:rsidR="009A0710" w:rsidRDefault="009A0710" w:rsidP="009A0710">
      <w:pPr>
        <w:rPr>
          <w:b/>
          <w:bCs/>
          <w:lang w:val="et-EE"/>
        </w:rPr>
      </w:pPr>
      <w:r>
        <w:rPr>
          <w:noProof/>
        </w:rPr>
        <w:lastRenderedPageBreak/>
        <w:drawing>
          <wp:inline distT="0" distB="0" distL="0" distR="0" wp14:anchorId="2B632764" wp14:editId="10A1ABAA">
            <wp:extent cx="5838825" cy="3086100"/>
            <wp:effectExtent l="0" t="0" r="0" b="0"/>
            <wp:docPr id="601142611" name="Chart 1">
              <a:extLst xmlns:a="http://schemas.openxmlformats.org/drawingml/2006/main">
                <a:ext uri="{FF2B5EF4-FFF2-40B4-BE49-F238E27FC236}">
                  <a16:creationId xmlns:a16="http://schemas.microsoft.com/office/drawing/2014/main" id="{9D613A28-F730-ED16-1273-CF16DE15966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14:paraId="15CEEE3D" w14:textId="77777777" w:rsidR="009A0710" w:rsidRDefault="009A0710" w:rsidP="009A0710">
      <w:pPr>
        <w:rPr>
          <w:b/>
          <w:bCs/>
          <w:lang w:val="et-EE"/>
        </w:rPr>
      </w:pPr>
      <w:r>
        <w:rPr>
          <w:noProof/>
        </w:rPr>
        <w:drawing>
          <wp:inline distT="0" distB="0" distL="0" distR="0" wp14:anchorId="71E693D2" wp14:editId="0D55D4F2">
            <wp:extent cx="5819775" cy="3429000"/>
            <wp:effectExtent l="0" t="0" r="0" b="0"/>
            <wp:docPr id="947167552" name="Chart 1">
              <a:extLst xmlns:a="http://schemas.openxmlformats.org/drawingml/2006/main">
                <a:ext uri="{FF2B5EF4-FFF2-40B4-BE49-F238E27FC236}">
                  <a16:creationId xmlns:a16="http://schemas.microsoft.com/office/drawing/2014/main" id="{AE6A1729-6735-A507-EDCF-E8DE4F7DB28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3E9669BC" w14:textId="77777777" w:rsidR="009A0710" w:rsidRDefault="009A0710" w:rsidP="009A0710">
      <w:pPr>
        <w:rPr>
          <w:b/>
          <w:bCs/>
          <w:lang w:val="et-EE"/>
        </w:rPr>
      </w:pPr>
    </w:p>
    <w:p w14:paraId="4B1898C4" w14:textId="77777777" w:rsidR="009A0710" w:rsidRDefault="009A0710" w:rsidP="00B14CDD"/>
    <w:sectPr w:rsidR="009A07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CDD"/>
    <w:rsid w:val="00017F83"/>
    <w:rsid w:val="00184D37"/>
    <w:rsid w:val="00310E92"/>
    <w:rsid w:val="003C3ABC"/>
    <w:rsid w:val="0067565F"/>
    <w:rsid w:val="009A0710"/>
    <w:rsid w:val="00A66476"/>
    <w:rsid w:val="00AC6D86"/>
    <w:rsid w:val="00B14CDD"/>
    <w:rsid w:val="00B57906"/>
    <w:rsid w:val="00D36239"/>
    <w:rsid w:val="00FB00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B9692"/>
  <w15:chartTrackingRefBased/>
  <w15:docId w15:val="{D914B9B8-554B-41B4-B4CC-09D3B1617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1">
    <w:name w:val="heading 1"/>
    <w:basedOn w:val="Normal"/>
    <w:next w:val="Normal"/>
    <w:link w:val="Heading1Char"/>
    <w:uiPriority w:val="9"/>
    <w:qFormat/>
    <w:rsid w:val="00B14CD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14CD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14CD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14CD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14CD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14CD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14CD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14CD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14CD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4CDD"/>
    <w:rPr>
      <w:rFonts w:asciiTheme="majorHAnsi" w:eastAsiaTheme="majorEastAsia" w:hAnsiTheme="majorHAnsi" w:cstheme="majorBidi"/>
      <w:color w:val="2F5496" w:themeColor="accent1" w:themeShade="BF"/>
      <w:sz w:val="40"/>
      <w:szCs w:val="40"/>
      <w:lang w:val="lt-LT"/>
    </w:rPr>
  </w:style>
  <w:style w:type="character" w:customStyle="1" w:styleId="Heading2Char">
    <w:name w:val="Heading 2 Char"/>
    <w:basedOn w:val="DefaultParagraphFont"/>
    <w:link w:val="Heading2"/>
    <w:uiPriority w:val="9"/>
    <w:semiHidden/>
    <w:rsid w:val="00B14CDD"/>
    <w:rPr>
      <w:rFonts w:asciiTheme="majorHAnsi" w:eastAsiaTheme="majorEastAsia" w:hAnsiTheme="majorHAnsi" w:cstheme="majorBidi"/>
      <w:color w:val="2F5496" w:themeColor="accent1" w:themeShade="BF"/>
      <w:sz w:val="32"/>
      <w:szCs w:val="32"/>
      <w:lang w:val="lt-LT"/>
    </w:rPr>
  </w:style>
  <w:style w:type="character" w:customStyle="1" w:styleId="Heading3Char">
    <w:name w:val="Heading 3 Char"/>
    <w:basedOn w:val="DefaultParagraphFont"/>
    <w:link w:val="Heading3"/>
    <w:uiPriority w:val="9"/>
    <w:semiHidden/>
    <w:rsid w:val="00B14CDD"/>
    <w:rPr>
      <w:rFonts w:eastAsiaTheme="majorEastAsia" w:cstheme="majorBidi"/>
      <w:color w:val="2F5496" w:themeColor="accent1" w:themeShade="BF"/>
      <w:sz w:val="28"/>
      <w:szCs w:val="28"/>
      <w:lang w:val="lt-LT"/>
    </w:rPr>
  </w:style>
  <w:style w:type="character" w:customStyle="1" w:styleId="Heading4Char">
    <w:name w:val="Heading 4 Char"/>
    <w:basedOn w:val="DefaultParagraphFont"/>
    <w:link w:val="Heading4"/>
    <w:uiPriority w:val="9"/>
    <w:semiHidden/>
    <w:rsid w:val="00B14CDD"/>
    <w:rPr>
      <w:rFonts w:eastAsiaTheme="majorEastAsia" w:cstheme="majorBidi"/>
      <w:i/>
      <w:iCs/>
      <w:color w:val="2F5496" w:themeColor="accent1" w:themeShade="BF"/>
      <w:lang w:val="lt-LT"/>
    </w:rPr>
  </w:style>
  <w:style w:type="character" w:customStyle="1" w:styleId="Heading5Char">
    <w:name w:val="Heading 5 Char"/>
    <w:basedOn w:val="DefaultParagraphFont"/>
    <w:link w:val="Heading5"/>
    <w:uiPriority w:val="9"/>
    <w:semiHidden/>
    <w:rsid w:val="00B14CDD"/>
    <w:rPr>
      <w:rFonts w:eastAsiaTheme="majorEastAsia" w:cstheme="majorBidi"/>
      <w:color w:val="2F5496" w:themeColor="accent1" w:themeShade="BF"/>
      <w:lang w:val="lt-LT"/>
    </w:rPr>
  </w:style>
  <w:style w:type="character" w:customStyle="1" w:styleId="Heading6Char">
    <w:name w:val="Heading 6 Char"/>
    <w:basedOn w:val="DefaultParagraphFont"/>
    <w:link w:val="Heading6"/>
    <w:uiPriority w:val="9"/>
    <w:semiHidden/>
    <w:rsid w:val="00B14CDD"/>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B14CDD"/>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B14CDD"/>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B14CDD"/>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B14C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4CDD"/>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B14CD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14CDD"/>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B14CDD"/>
    <w:pPr>
      <w:spacing w:before="160"/>
      <w:jc w:val="center"/>
    </w:pPr>
    <w:rPr>
      <w:i/>
      <w:iCs/>
      <w:color w:val="404040" w:themeColor="text1" w:themeTint="BF"/>
    </w:rPr>
  </w:style>
  <w:style w:type="character" w:customStyle="1" w:styleId="QuoteChar">
    <w:name w:val="Quote Char"/>
    <w:basedOn w:val="DefaultParagraphFont"/>
    <w:link w:val="Quote"/>
    <w:uiPriority w:val="29"/>
    <w:rsid w:val="00B14CDD"/>
    <w:rPr>
      <w:i/>
      <w:iCs/>
      <w:color w:val="404040" w:themeColor="text1" w:themeTint="BF"/>
      <w:lang w:val="lt-LT"/>
    </w:rPr>
  </w:style>
  <w:style w:type="paragraph" w:styleId="ListParagraph">
    <w:name w:val="List Paragraph"/>
    <w:basedOn w:val="Normal"/>
    <w:uiPriority w:val="34"/>
    <w:qFormat/>
    <w:rsid w:val="00B14CDD"/>
    <w:pPr>
      <w:ind w:left="720"/>
      <w:contextualSpacing/>
    </w:pPr>
  </w:style>
  <w:style w:type="character" w:styleId="IntenseEmphasis">
    <w:name w:val="Intense Emphasis"/>
    <w:basedOn w:val="DefaultParagraphFont"/>
    <w:uiPriority w:val="21"/>
    <w:qFormat/>
    <w:rsid w:val="00B14CDD"/>
    <w:rPr>
      <w:i/>
      <w:iCs/>
      <w:color w:val="2F5496" w:themeColor="accent1" w:themeShade="BF"/>
    </w:rPr>
  </w:style>
  <w:style w:type="paragraph" w:styleId="IntenseQuote">
    <w:name w:val="Intense Quote"/>
    <w:basedOn w:val="Normal"/>
    <w:next w:val="Normal"/>
    <w:link w:val="IntenseQuoteChar"/>
    <w:uiPriority w:val="30"/>
    <w:qFormat/>
    <w:rsid w:val="00B14CD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14CDD"/>
    <w:rPr>
      <w:i/>
      <w:iCs/>
      <w:color w:val="2F5496" w:themeColor="accent1" w:themeShade="BF"/>
      <w:lang w:val="lt-LT"/>
    </w:rPr>
  </w:style>
  <w:style w:type="character" w:styleId="IntenseReference">
    <w:name w:val="Intense Reference"/>
    <w:basedOn w:val="DefaultParagraphFont"/>
    <w:uiPriority w:val="32"/>
    <w:qFormat/>
    <w:rsid w:val="00B14CD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hart" Target="charts/chart2.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a:t>Prekyba</a:t>
            </a:r>
            <a:r>
              <a:rPr lang="lt-LT" baseline="0"/>
              <a:t> (mln. eurų)</a:t>
            </a:r>
            <a:endParaRPr lang="en-GB"/>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GB"/>
        </a:p>
      </c:txPr>
    </c:title>
    <c:autoTitleDeleted val="0"/>
    <c:plotArea>
      <c:layout/>
      <c:barChart>
        <c:barDir val="col"/>
        <c:grouping val="clustered"/>
        <c:varyColors val="0"/>
        <c:ser>
          <c:idx val="0"/>
          <c:order val="0"/>
          <c:tx>
            <c:strRef>
              <c:f>Sheet1!$C$5</c:f>
              <c:strCache>
                <c:ptCount val="1"/>
                <c:pt idx="0">
                  <c:v>Lithuania</c:v>
                </c:pt>
              </c:strCache>
            </c:strRef>
          </c:tx>
          <c:spPr>
            <a:solidFill>
              <a:srgbClr val="FFC000"/>
            </a:solidFill>
            <a:ln>
              <a:noFill/>
            </a:ln>
            <a:effectLst/>
          </c:spPr>
          <c:invertIfNegative val="0"/>
          <c:cat>
            <c:multiLvlStrRef>
              <c:f>Sheet1!$D$3:$I$4</c:f>
              <c:multiLvlStrCache>
                <c:ptCount val="6"/>
                <c:lvl>
                  <c:pt idx="0">
                    <c:v>Jan</c:v>
                  </c:pt>
                  <c:pt idx="1">
                    <c:v>Feb</c:v>
                  </c:pt>
                  <c:pt idx="2">
                    <c:v>March</c:v>
                  </c:pt>
                  <c:pt idx="3">
                    <c:v>Jan</c:v>
                  </c:pt>
                  <c:pt idx="4">
                    <c:v>Feb</c:v>
                  </c:pt>
                  <c:pt idx="5">
                    <c:v>March</c:v>
                  </c:pt>
                </c:lvl>
                <c:lvl>
                  <c:pt idx="0">
                    <c:v>export</c:v>
                  </c:pt>
                  <c:pt idx="3">
                    <c:v>import</c:v>
                  </c:pt>
                </c:lvl>
              </c:multiLvlStrCache>
            </c:multiLvlStrRef>
          </c:cat>
          <c:val>
            <c:numRef>
              <c:f>Sheet1!$D$5:$I$5</c:f>
              <c:numCache>
                <c:formatCode>General</c:formatCode>
                <c:ptCount val="6"/>
                <c:pt idx="0">
                  <c:v>3140.4</c:v>
                </c:pt>
                <c:pt idx="1">
                  <c:v>2847.5</c:v>
                </c:pt>
                <c:pt idx="2">
                  <c:v>3248.5</c:v>
                </c:pt>
                <c:pt idx="3">
                  <c:v>3436.1</c:v>
                </c:pt>
                <c:pt idx="4">
                  <c:v>3463</c:v>
                </c:pt>
                <c:pt idx="5">
                  <c:v>3914.4</c:v>
                </c:pt>
              </c:numCache>
            </c:numRef>
          </c:val>
          <c:extLst>
            <c:ext xmlns:c16="http://schemas.microsoft.com/office/drawing/2014/chart" uri="{C3380CC4-5D6E-409C-BE32-E72D297353CC}">
              <c16:uniqueId val="{00000000-4B09-42AF-BB16-D479FEAFF2FA}"/>
            </c:ext>
          </c:extLst>
        </c:ser>
        <c:ser>
          <c:idx val="1"/>
          <c:order val="1"/>
          <c:tx>
            <c:strRef>
              <c:f>Sheet1!$C$6</c:f>
              <c:strCache>
                <c:ptCount val="1"/>
                <c:pt idx="0">
                  <c:v>Latvia</c:v>
                </c:pt>
              </c:strCache>
            </c:strRef>
          </c:tx>
          <c:spPr>
            <a:solidFill>
              <a:srgbClr val="C00000"/>
            </a:solidFill>
            <a:ln>
              <a:noFill/>
            </a:ln>
            <a:effectLst/>
          </c:spPr>
          <c:invertIfNegative val="0"/>
          <c:cat>
            <c:multiLvlStrRef>
              <c:f>Sheet1!$D$3:$I$4</c:f>
              <c:multiLvlStrCache>
                <c:ptCount val="6"/>
                <c:lvl>
                  <c:pt idx="0">
                    <c:v>Jan</c:v>
                  </c:pt>
                  <c:pt idx="1">
                    <c:v>Feb</c:v>
                  </c:pt>
                  <c:pt idx="2">
                    <c:v>March</c:v>
                  </c:pt>
                  <c:pt idx="3">
                    <c:v>Jan</c:v>
                  </c:pt>
                  <c:pt idx="4">
                    <c:v>Feb</c:v>
                  </c:pt>
                  <c:pt idx="5">
                    <c:v>March</c:v>
                  </c:pt>
                </c:lvl>
                <c:lvl>
                  <c:pt idx="0">
                    <c:v>export</c:v>
                  </c:pt>
                  <c:pt idx="3">
                    <c:v>import</c:v>
                  </c:pt>
                </c:lvl>
              </c:multiLvlStrCache>
            </c:multiLvlStrRef>
          </c:cat>
          <c:val>
            <c:numRef>
              <c:f>Sheet1!$D$6:$I$6</c:f>
              <c:numCache>
                <c:formatCode>General</c:formatCode>
                <c:ptCount val="6"/>
                <c:pt idx="0">
                  <c:v>1642.1</c:v>
                </c:pt>
                <c:pt idx="1">
                  <c:v>1579.2</c:v>
                </c:pt>
                <c:pt idx="2">
                  <c:v>1701.2</c:v>
                </c:pt>
                <c:pt idx="3">
                  <c:v>1882.1</c:v>
                </c:pt>
                <c:pt idx="4">
                  <c:v>1726.3</c:v>
                </c:pt>
                <c:pt idx="5">
                  <c:v>1973.9</c:v>
                </c:pt>
              </c:numCache>
            </c:numRef>
          </c:val>
          <c:extLst>
            <c:ext xmlns:c16="http://schemas.microsoft.com/office/drawing/2014/chart" uri="{C3380CC4-5D6E-409C-BE32-E72D297353CC}">
              <c16:uniqueId val="{00000001-4B09-42AF-BB16-D479FEAFF2FA}"/>
            </c:ext>
          </c:extLst>
        </c:ser>
        <c:ser>
          <c:idx val="2"/>
          <c:order val="2"/>
          <c:tx>
            <c:strRef>
              <c:f>Sheet1!$C$7</c:f>
              <c:strCache>
                <c:ptCount val="1"/>
                <c:pt idx="0">
                  <c:v>Estonia</c:v>
                </c:pt>
              </c:strCache>
            </c:strRef>
          </c:tx>
          <c:spPr>
            <a:solidFill>
              <a:schemeClr val="tx2">
                <a:lumMod val="50000"/>
                <a:lumOff val="50000"/>
              </a:schemeClr>
            </a:solidFill>
            <a:ln>
              <a:noFill/>
            </a:ln>
            <a:effectLst/>
          </c:spPr>
          <c:invertIfNegative val="0"/>
          <c:cat>
            <c:multiLvlStrRef>
              <c:f>Sheet1!$D$3:$I$4</c:f>
              <c:multiLvlStrCache>
                <c:ptCount val="6"/>
                <c:lvl>
                  <c:pt idx="0">
                    <c:v>Jan</c:v>
                  </c:pt>
                  <c:pt idx="1">
                    <c:v>Feb</c:v>
                  </c:pt>
                  <c:pt idx="2">
                    <c:v>March</c:v>
                  </c:pt>
                  <c:pt idx="3">
                    <c:v>Jan</c:v>
                  </c:pt>
                  <c:pt idx="4">
                    <c:v>Feb</c:v>
                  </c:pt>
                  <c:pt idx="5">
                    <c:v>March</c:v>
                  </c:pt>
                </c:lvl>
                <c:lvl>
                  <c:pt idx="0">
                    <c:v>export</c:v>
                  </c:pt>
                  <c:pt idx="3">
                    <c:v>import</c:v>
                  </c:pt>
                </c:lvl>
              </c:multiLvlStrCache>
            </c:multiLvlStrRef>
          </c:cat>
          <c:val>
            <c:numRef>
              <c:f>Sheet1!$D$7:$I$7</c:f>
              <c:numCache>
                <c:formatCode>General</c:formatCode>
                <c:ptCount val="6"/>
                <c:pt idx="0">
                  <c:v>1509</c:v>
                </c:pt>
                <c:pt idx="1">
                  <c:v>1476</c:v>
                </c:pt>
                <c:pt idx="2">
                  <c:v>1696</c:v>
                </c:pt>
                <c:pt idx="3">
                  <c:v>1847</c:v>
                </c:pt>
                <c:pt idx="4">
                  <c:v>1762</c:v>
                </c:pt>
                <c:pt idx="5">
                  <c:v>1933</c:v>
                </c:pt>
              </c:numCache>
            </c:numRef>
          </c:val>
          <c:extLst>
            <c:ext xmlns:c16="http://schemas.microsoft.com/office/drawing/2014/chart" uri="{C3380CC4-5D6E-409C-BE32-E72D297353CC}">
              <c16:uniqueId val="{00000002-4B09-42AF-BB16-D479FEAFF2FA}"/>
            </c:ext>
          </c:extLst>
        </c:ser>
        <c:dLbls>
          <c:showLegendKey val="0"/>
          <c:showVal val="0"/>
          <c:showCatName val="0"/>
          <c:showSerName val="0"/>
          <c:showPercent val="0"/>
          <c:showBubbleSize val="0"/>
        </c:dLbls>
        <c:gapWidth val="219"/>
        <c:overlap val="-27"/>
        <c:axId val="1514492992"/>
        <c:axId val="1514532384"/>
      </c:barChart>
      <c:catAx>
        <c:axId val="15144929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EE"/>
          </a:p>
        </c:txPr>
        <c:crossAx val="1514532384"/>
        <c:crosses val="autoZero"/>
        <c:auto val="1"/>
        <c:lblAlgn val="ctr"/>
        <c:lblOffset val="100"/>
        <c:noMultiLvlLbl val="0"/>
      </c:catAx>
      <c:valAx>
        <c:axId val="15145323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EE"/>
          </a:p>
        </c:txPr>
        <c:crossAx val="15144929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E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EE"/>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a:t>Prekybos balansas</a:t>
            </a:r>
            <a:r>
              <a:rPr lang="en-GB"/>
              <a:t>, (m</a:t>
            </a:r>
            <a:r>
              <a:rPr lang="lt-LT"/>
              <a:t>ln</a:t>
            </a:r>
            <a:r>
              <a:rPr lang="en-GB"/>
              <a:t>.</a:t>
            </a:r>
            <a:r>
              <a:rPr lang="en-GB" baseline="0"/>
              <a:t> eur</a:t>
            </a:r>
            <a:r>
              <a:rPr lang="lt-LT" baseline="0"/>
              <a:t>ų</a:t>
            </a:r>
            <a:r>
              <a:rPr lang="en-GB" baseline="0"/>
              <a:t>)</a:t>
            </a:r>
            <a:endParaRPr lang="en-GB"/>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GB"/>
        </a:p>
      </c:txPr>
    </c:title>
    <c:autoTitleDeleted val="0"/>
    <c:plotArea>
      <c:layout/>
      <c:barChart>
        <c:barDir val="col"/>
        <c:grouping val="clustered"/>
        <c:varyColors val="0"/>
        <c:ser>
          <c:idx val="0"/>
          <c:order val="0"/>
          <c:tx>
            <c:strRef>
              <c:f>Sheet1!$C$10</c:f>
              <c:strCache>
                <c:ptCount val="1"/>
                <c:pt idx="0">
                  <c:v>Lithuania</c:v>
                </c:pt>
              </c:strCache>
            </c:strRef>
          </c:tx>
          <c:spPr>
            <a:solidFill>
              <a:srgbClr val="FFC000"/>
            </a:solidFill>
            <a:ln>
              <a:noFill/>
            </a:ln>
            <a:effectLst/>
          </c:spPr>
          <c:invertIfNegative val="0"/>
          <c:cat>
            <c:strRef>
              <c:f>Sheet1!$D$9:$F$9</c:f>
              <c:strCache>
                <c:ptCount val="3"/>
                <c:pt idx="0">
                  <c:v>Jan</c:v>
                </c:pt>
                <c:pt idx="1">
                  <c:v>Feb</c:v>
                </c:pt>
                <c:pt idx="2">
                  <c:v>March</c:v>
                </c:pt>
              </c:strCache>
            </c:strRef>
          </c:cat>
          <c:val>
            <c:numRef>
              <c:f>Sheet1!$D$10:$F$10</c:f>
              <c:numCache>
                <c:formatCode>General</c:formatCode>
                <c:ptCount val="3"/>
                <c:pt idx="0">
                  <c:v>-295.69999999999982</c:v>
                </c:pt>
                <c:pt idx="1">
                  <c:v>-615.5</c:v>
                </c:pt>
                <c:pt idx="2">
                  <c:v>-665.90000000000009</c:v>
                </c:pt>
              </c:numCache>
            </c:numRef>
          </c:val>
          <c:extLst>
            <c:ext xmlns:c16="http://schemas.microsoft.com/office/drawing/2014/chart" uri="{C3380CC4-5D6E-409C-BE32-E72D297353CC}">
              <c16:uniqueId val="{00000000-61B3-4E11-AF4E-3EEBE8303C67}"/>
            </c:ext>
          </c:extLst>
        </c:ser>
        <c:ser>
          <c:idx val="1"/>
          <c:order val="1"/>
          <c:tx>
            <c:strRef>
              <c:f>Sheet1!$C$11</c:f>
              <c:strCache>
                <c:ptCount val="1"/>
                <c:pt idx="0">
                  <c:v>Latvia</c:v>
                </c:pt>
              </c:strCache>
            </c:strRef>
          </c:tx>
          <c:spPr>
            <a:solidFill>
              <a:srgbClr val="C00000"/>
            </a:solidFill>
            <a:ln>
              <a:noFill/>
            </a:ln>
            <a:effectLst/>
          </c:spPr>
          <c:invertIfNegative val="0"/>
          <c:cat>
            <c:strRef>
              <c:f>Sheet1!$D$9:$F$9</c:f>
              <c:strCache>
                <c:ptCount val="3"/>
                <c:pt idx="0">
                  <c:v>Jan</c:v>
                </c:pt>
                <c:pt idx="1">
                  <c:v>Feb</c:v>
                </c:pt>
                <c:pt idx="2">
                  <c:v>March</c:v>
                </c:pt>
              </c:strCache>
            </c:strRef>
          </c:cat>
          <c:val>
            <c:numRef>
              <c:f>Sheet1!$D$11:$F$11</c:f>
              <c:numCache>
                <c:formatCode>General</c:formatCode>
                <c:ptCount val="3"/>
                <c:pt idx="0">
                  <c:v>-240</c:v>
                </c:pt>
                <c:pt idx="1">
                  <c:v>-147.09999999999991</c:v>
                </c:pt>
                <c:pt idx="2">
                  <c:v>-272.70000000000005</c:v>
                </c:pt>
              </c:numCache>
            </c:numRef>
          </c:val>
          <c:extLst>
            <c:ext xmlns:c16="http://schemas.microsoft.com/office/drawing/2014/chart" uri="{C3380CC4-5D6E-409C-BE32-E72D297353CC}">
              <c16:uniqueId val="{00000001-61B3-4E11-AF4E-3EEBE8303C67}"/>
            </c:ext>
          </c:extLst>
        </c:ser>
        <c:ser>
          <c:idx val="2"/>
          <c:order val="2"/>
          <c:tx>
            <c:strRef>
              <c:f>Sheet1!$C$12</c:f>
              <c:strCache>
                <c:ptCount val="1"/>
                <c:pt idx="0">
                  <c:v>Estonia</c:v>
                </c:pt>
              </c:strCache>
            </c:strRef>
          </c:tx>
          <c:spPr>
            <a:solidFill>
              <a:schemeClr val="tx2">
                <a:lumMod val="50000"/>
                <a:lumOff val="50000"/>
              </a:schemeClr>
            </a:solidFill>
            <a:ln>
              <a:noFill/>
            </a:ln>
            <a:effectLst/>
          </c:spPr>
          <c:invertIfNegative val="0"/>
          <c:cat>
            <c:strRef>
              <c:f>Sheet1!$D$9:$F$9</c:f>
              <c:strCache>
                <c:ptCount val="3"/>
                <c:pt idx="0">
                  <c:v>Jan</c:v>
                </c:pt>
                <c:pt idx="1">
                  <c:v>Feb</c:v>
                </c:pt>
                <c:pt idx="2">
                  <c:v>March</c:v>
                </c:pt>
              </c:strCache>
            </c:strRef>
          </c:cat>
          <c:val>
            <c:numRef>
              <c:f>Sheet1!$D$12:$F$12</c:f>
              <c:numCache>
                <c:formatCode>General</c:formatCode>
                <c:ptCount val="3"/>
                <c:pt idx="0">
                  <c:v>-338</c:v>
                </c:pt>
                <c:pt idx="1">
                  <c:v>-286</c:v>
                </c:pt>
                <c:pt idx="2">
                  <c:v>-237</c:v>
                </c:pt>
              </c:numCache>
            </c:numRef>
          </c:val>
          <c:extLst>
            <c:ext xmlns:c16="http://schemas.microsoft.com/office/drawing/2014/chart" uri="{C3380CC4-5D6E-409C-BE32-E72D297353CC}">
              <c16:uniqueId val="{00000002-61B3-4E11-AF4E-3EEBE8303C67}"/>
            </c:ext>
          </c:extLst>
        </c:ser>
        <c:dLbls>
          <c:showLegendKey val="0"/>
          <c:showVal val="0"/>
          <c:showCatName val="0"/>
          <c:showSerName val="0"/>
          <c:showPercent val="0"/>
          <c:showBubbleSize val="0"/>
        </c:dLbls>
        <c:gapWidth val="219"/>
        <c:overlap val="-27"/>
        <c:axId val="160110959"/>
        <c:axId val="69199167"/>
      </c:barChart>
      <c:catAx>
        <c:axId val="160110959"/>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EE"/>
          </a:p>
        </c:txPr>
        <c:crossAx val="69199167"/>
        <c:crosses val="autoZero"/>
        <c:auto val="1"/>
        <c:lblAlgn val="ctr"/>
        <c:lblOffset val="100"/>
        <c:noMultiLvlLbl val="0"/>
      </c:catAx>
      <c:valAx>
        <c:axId val="6919916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EE"/>
          </a:p>
        </c:txPr>
        <c:crossAx val="160110959"/>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E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E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2</Pages>
  <Words>452</Words>
  <Characters>2582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Murin</dc:creator>
  <cp:keywords/>
  <dc:description/>
  <cp:lastModifiedBy>Erik Murin</cp:lastModifiedBy>
  <cp:revision>2</cp:revision>
  <dcterms:created xsi:type="dcterms:W3CDTF">2025-05-19T11:52:00Z</dcterms:created>
  <dcterms:modified xsi:type="dcterms:W3CDTF">2025-05-21T04:56:00Z</dcterms:modified>
</cp:coreProperties>
</file>