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2817D9" w14:textId="3CB21778" w:rsidR="00E9206B" w:rsidRPr="00672F13" w:rsidRDefault="00F230FE">
      <w:pPr>
        <w:rPr>
          <w:rFonts w:ascii="Segoe UI" w:eastAsia="Quattrocento Sans" w:hAnsi="Segoe UI" w:cs="Segoe UI"/>
        </w:rPr>
      </w:pPr>
      <w:r w:rsidRPr="00672F13">
        <w:rPr>
          <w:rFonts w:ascii="Segoe UI" w:eastAsia="Quattrocento Sans" w:hAnsi="Segoe UI" w:cs="Segoe UI"/>
        </w:rPr>
        <w:t>PRANEŠIMAS ŽINIASKLAIDAI</w:t>
      </w:r>
      <w:r w:rsidRPr="00672F13">
        <w:rPr>
          <w:rFonts w:ascii="Segoe UI" w:eastAsia="Quattrocento Sans" w:hAnsi="Segoe UI" w:cs="Segoe UI"/>
        </w:rPr>
        <w:br/>
        <w:t>2025 m. gegužės</w:t>
      </w:r>
      <w:r w:rsidR="00BB56CE">
        <w:rPr>
          <w:rFonts w:ascii="Segoe UI" w:eastAsia="Quattrocento Sans" w:hAnsi="Segoe UI" w:cs="Segoe UI"/>
        </w:rPr>
        <w:t xml:space="preserve"> 28</w:t>
      </w:r>
      <w:r w:rsidRPr="00672F13">
        <w:rPr>
          <w:rFonts w:ascii="Segoe UI" w:eastAsia="Quattrocento Sans" w:hAnsi="Segoe UI" w:cs="Segoe UI"/>
        </w:rPr>
        <w:t xml:space="preserve"> d.</w:t>
      </w:r>
    </w:p>
    <w:p w14:paraId="4046D392" w14:textId="77777777" w:rsidR="00E9206B" w:rsidRPr="00672F13" w:rsidRDefault="00672F13">
      <w:pPr>
        <w:jc w:val="both"/>
        <w:rPr>
          <w:rFonts w:ascii="Segoe UI" w:eastAsia="Quattrocento Sans" w:hAnsi="Segoe UI" w:cs="Segoe UI"/>
          <w:b/>
          <w:sz w:val="28"/>
          <w:szCs w:val="28"/>
        </w:rPr>
      </w:pPr>
      <w:r>
        <w:rPr>
          <w:rFonts w:ascii="Segoe UI" w:eastAsia="Quattrocento Sans" w:hAnsi="Segoe UI" w:cs="Segoe UI"/>
          <w:b/>
          <w:sz w:val="28"/>
          <w:szCs w:val="28"/>
        </w:rPr>
        <w:t>Kaip</w:t>
      </w:r>
      <w:r w:rsidRPr="00672F13">
        <w:rPr>
          <w:rFonts w:ascii="Segoe UI" w:eastAsia="Quattrocento Sans" w:hAnsi="Segoe UI" w:cs="Segoe UI"/>
          <w:b/>
          <w:sz w:val="28"/>
          <w:szCs w:val="28"/>
        </w:rPr>
        <w:t xml:space="preserve"> finansiškai pasiruošti šeimos pagausėjimui</w:t>
      </w:r>
      <w:r>
        <w:rPr>
          <w:rFonts w:ascii="Segoe UI" w:eastAsia="Quattrocento Sans" w:hAnsi="Segoe UI" w:cs="Segoe UI"/>
          <w:b/>
          <w:sz w:val="28"/>
          <w:szCs w:val="28"/>
        </w:rPr>
        <w:t>: ekspertės patarimai</w:t>
      </w:r>
    </w:p>
    <w:p w14:paraId="782F60FA" w14:textId="77777777" w:rsidR="00E9206B" w:rsidRPr="00672F13" w:rsidRDefault="00F230FE">
      <w:pPr>
        <w:shd w:val="clear" w:color="auto" w:fill="FFFFFF"/>
        <w:spacing w:before="240" w:after="240" w:line="240" w:lineRule="auto"/>
        <w:jc w:val="both"/>
        <w:rPr>
          <w:rFonts w:ascii="Segoe UI" w:eastAsia="Quattrocento Sans" w:hAnsi="Segoe UI" w:cs="Segoe UI"/>
          <w:b/>
        </w:rPr>
      </w:pPr>
      <w:r w:rsidRPr="00672F13">
        <w:rPr>
          <w:rFonts w:ascii="Segoe UI" w:eastAsia="Quattrocento Sans" w:hAnsi="Segoe UI" w:cs="Segoe UI"/>
          <w:b/>
        </w:rPr>
        <w:t>Šeimos pagausėjimas – vienas reikšmingiausių gyvenimo įvykių, atnešantis ne tik džiaugsmą, bet ir papildomų atsakomybių. Naujagimio laukimas dažnai reiškia ir išaugusias išlaidas, todėl tėvams svarbu iš anksto peržiūrėti šeimos biudžetą, suplanuoti būsimas pajamas ir pasinaudoti galimomis valstybės teikiamomis išmokomis bei finansinių institucijų siūlomais sprendimais. Kaip tai padaryti, pasakoja „Luminor“ banko kasdienės bankininkystės vadovė Aušrinė Mincienė.</w:t>
      </w:r>
    </w:p>
    <w:p w14:paraId="4CA847F6" w14:textId="77777777" w:rsidR="00E9206B" w:rsidRPr="00672F13" w:rsidRDefault="00F230FE">
      <w:pPr>
        <w:shd w:val="clear" w:color="auto" w:fill="FFFFFF"/>
        <w:spacing w:before="240" w:after="240" w:line="240" w:lineRule="auto"/>
        <w:jc w:val="both"/>
        <w:rPr>
          <w:rFonts w:ascii="Segoe UI" w:eastAsia="Quattrocento Sans" w:hAnsi="Segoe UI" w:cs="Segoe UI"/>
        </w:rPr>
      </w:pPr>
      <w:r w:rsidRPr="00672F13">
        <w:rPr>
          <w:rFonts w:ascii="Segoe UI" w:eastAsia="Quattrocento Sans" w:hAnsi="Segoe UI" w:cs="Segoe UI"/>
        </w:rPr>
        <w:t xml:space="preserve">„Šiuo svarbiu gyvenimo momentu </w:t>
      </w:r>
      <w:r w:rsidR="00672F13">
        <w:rPr>
          <w:rFonts w:ascii="Segoe UI" w:eastAsia="Quattrocento Sans" w:hAnsi="Segoe UI" w:cs="Segoe UI"/>
        </w:rPr>
        <w:t>būtina</w:t>
      </w:r>
      <w:r w:rsidRPr="00672F13">
        <w:rPr>
          <w:rFonts w:ascii="Segoe UI" w:eastAsia="Quattrocento Sans" w:hAnsi="Segoe UI" w:cs="Segoe UI"/>
        </w:rPr>
        <w:t xml:space="preserve"> skirti laiko ne tik emociniam pasiruošimui, bet ir tvirtam finansiniam pagrindui. Aiškus biudžeto planas, žinojimas apie valstybės išmokas ir banko siūlomas galimybes leidžia sumažinti nerimą ir visą dėmesį skirti kokybiškam buvimui su naujagimiu,“ – sako A. Mincienė.</w:t>
      </w:r>
    </w:p>
    <w:p w14:paraId="6EDD8CFE" w14:textId="77777777" w:rsidR="00E9206B" w:rsidRPr="00672F13" w:rsidRDefault="00F230FE">
      <w:pPr>
        <w:pStyle w:val="Antrat3"/>
        <w:keepNext w:val="0"/>
        <w:keepLines w:val="0"/>
        <w:shd w:val="clear" w:color="auto" w:fill="FFFFFF"/>
        <w:spacing w:line="240" w:lineRule="auto"/>
        <w:jc w:val="both"/>
        <w:rPr>
          <w:rFonts w:ascii="Segoe UI" w:eastAsia="Quattrocento Sans" w:hAnsi="Segoe UI" w:cs="Segoe UI"/>
          <w:sz w:val="22"/>
          <w:szCs w:val="22"/>
        </w:rPr>
      </w:pPr>
      <w:bookmarkStart w:id="0" w:name="_heading=h.j6ign5vumupa" w:colFirst="0" w:colLast="0"/>
      <w:bookmarkEnd w:id="0"/>
      <w:r w:rsidRPr="00672F13">
        <w:rPr>
          <w:rFonts w:ascii="Segoe UI" w:eastAsia="Quattrocento Sans" w:hAnsi="Segoe UI" w:cs="Segoe UI"/>
          <w:sz w:val="22"/>
          <w:szCs w:val="22"/>
        </w:rPr>
        <w:t>Didesnė parama tėvams</w:t>
      </w:r>
    </w:p>
    <w:p w14:paraId="4476EA4E" w14:textId="77777777" w:rsidR="00E9206B" w:rsidRPr="00672F13" w:rsidRDefault="00F230FE">
      <w:pPr>
        <w:shd w:val="clear" w:color="auto" w:fill="FFFFFF"/>
        <w:spacing w:before="240" w:after="240" w:line="240" w:lineRule="auto"/>
        <w:jc w:val="both"/>
        <w:rPr>
          <w:rFonts w:ascii="Segoe UI" w:eastAsia="Quattrocento Sans" w:hAnsi="Segoe UI" w:cs="Segoe UI"/>
        </w:rPr>
      </w:pPr>
      <w:r w:rsidRPr="00672F13">
        <w:rPr>
          <w:rFonts w:ascii="Segoe UI" w:eastAsia="Quattrocento Sans" w:hAnsi="Segoe UI" w:cs="Segoe UI"/>
        </w:rPr>
        <w:t>Nuo 2025 m. įsigalioję pokyčiai valstybės išmokų sistemoje užtikrina daugiau finansinio saugumo šeimoms, planuojančioms ar jau sulaukusioms kūdikio. Ši parama padeda padengti pradines išlaidas ir leidžia lanksčiau organizuoti vaiko priežiūrą bei suplanuoti biudžetą ilgesniam laikotarpiui.</w:t>
      </w:r>
    </w:p>
    <w:p w14:paraId="210779E5" w14:textId="77777777" w:rsidR="00E9206B" w:rsidRPr="00672F13" w:rsidRDefault="00F230FE">
      <w:pPr>
        <w:numPr>
          <w:ilvl w:val="0"/>
          <w:numId w:val="1"/>
        </w:numPr>
        <w:shd w:val="clear" w:color="auto" w:fill="FFFFFF"/>
        <w:spacing w:before="240" w:after="0" w:line="240" w:lineRule="auto"/>
        <w:jc w:val="both"/>
        <w:rPr>
          <w:rFonts w:ascii="Segoe UI" w:eastAsia="Quattrocento Sans" w:hAnsi="Segoe UI" w:cs="Segoe UI"/>
        </w:rPr>
      </w:pPr>
      <w:r w:rsidRPr="00672F13">
        <w:rPr>
          <w:rFonts w:ascii="Segoe UI" w:eastAsia="Quattrocento Sans" w:hAnsi="Segoe UI" w:cs="Segoe UI"/>
        </w:rPr>
        <w:t>Universali išmoka vaikui siekia 122,5 Eur per mėnesį kiekvienam vaikui.</w:t>
      </w:r>
      <w:r w:rsidRPr="00672F13">
        <w:rPr>
          <w:rFonts w:ascii="Segoe UI" w:eastAsia="Quattrocento Sans" w:hAnsi="Segoe UI" w:cs="Segoe UI"/>
        </w:rPr>
        <w:br/>
      </w:r>
    </w:p>
    <w:p w14:paraId="36DC0B93" w14:textId="77777777" w:rsidR="00E9206B" w:rsidRPr="00672F13" w:rsidRDefault="00F230FE">
      <w:pPr>
        <w:numPr>
          <w:ilvl w:val="0"/>
          <w:numId w:val="1"/>
        </w:numPr>
        <w:shd w:val="clear" w:color="auto" w:fill="FFFFFF"/>
        <w:spacing w:after="0" w:line="240" w:lineRule="auto"/>
        <w:jc w:val="both"/>
        <w:rPr>
          <w:rFonts w:ascii="Segoe UI" w:eastAsia="Quattrocento Sans" w:hAnsi="Segoe UI" w:cs="Segoe UI"/>
        </w:rPr>
      </w:pPr>
      <w:r w:rsidRPr="00672F13">
        <w:rPr>
          <w:rFonts w:ascii="Segoe UI" w:eastAsia="Quattrocento Sans" w:hAnsi="Segoe UI" w:cs="Segoe UI"/>
        </w:rPr>
        <w:t>Papildoma išmoka nepasiturinčioms, daugiavaikėms šeimoms ar šeimoms, auginančioms vaiką su negalia – dar 72,1 Eur, todėl bendra suma gali siekti 194,6 Eur per mėnesį.</w:t>
      </w:r>
      <w:r w:rsidRPr="00672F13">
        <w:rPr>
          <w:rFonts w:ascii="Segoe UI" w:eastAsia="Quattrocento Sans" w:hAnsi="Segoe UI" w:cs="Segoe UI"/>
        </w:rPr>
        <w:br/>
      </w:r>
    </w:p>
    <w:p w14:paraId="32B4E7E3" w14:textId="77777777" w:rsidR="00E9206B" w:rsidRPr="00672F13" w:rsidRDefault="00F230FE">
      <w:pPr>
        <w:numPr>
          <w:ilvl w:val="0"/>
          <w:numId w:val="1"/>
        </w:numPr>
        <w:shd w:val="clear" w:color="auto" w:fill="FFFFFF"/>
        <w:spacing w:after="240" w:line="240" w:lineRule="auto"/>
        <w:jc w:val="both"/>
        <w:rPr>
          <w:rFonts w:ascii="Segoe UI" w:eastAsia="Quattrocento Sans" w:hAnsi="Segoe UI" w:cs="Segoe UI"/>
        </w:rPr>
      </w:pPr>
      <w:r w:rsidRPr="00672F13">
        <w:rPr>
          <w:rFonts w:ascii="Segoe UI" w:eastAsia="Quattrocento Sans" w:hAnsi="Segoe UI" w:cs="Segoe UI"/>
        </w:rPr>
        <w:t>Vienkartinė išmoka gimus vaikui padidinta nuo 605 Eur iki 770 Eur.</w:t>
      </w:r>
    </w:p>
    <w:p w14:paraId="6130AF01" w14:textId="77777777" w:rsidR="00E9206B" w:rsidRPr="00672F13" w:rsidRDefault="00F230FE">
      <w:pPr>
        <w:shd w:val="clear" w:color="auto" w:fill="FFFFFF"/>
        <w:spacing w:before="240" w:after="240" w:line="240" w:lineRule="auto"/>
        <w:jc w:val="both"/>
        <w:rPr>
          <w:rFonts w:ascii="Segoe UI" w:eastAsia="Quattrocento Sans" w:hAnsi="Segoe UI" w:cs="Segoe UI"/>
        </w:rPr>
      </w:pPr>
      <w:r w:rsidRPr="00672F13">
        <w:rPr>
          <w:rFonts w:ascii="Segoe UI" w:eastAsia="Quattrocento Sans" w:hAnsi="Segoe UI" w:cs="Segoe UI"/>
        </w:rPr>
        <w:t>„Šios sumos leidžia padengti pagrindinius kūdikio poreikius – nuo vežimėlio, lovytės iki pirmųjų drabužėlių, higienos priemonių ar net medicininių paslaugų. Tačiau vis daugiau šeimų šią paramą planuoja ne tik trumpalaikiams poreikiams, bet ir nukreipia į ilgalaikius tikslus. Tai gali būti kaupimas vaiko ugdymui, sveikatos išlaidoms ar net pirmam būstui ateityje. Toks finansinis įžvalgumas leidžia tėvams jaustis tvirčiau ne tik šiandien, bet ir žvelgiant į šeimos perspektyvą keliolikai metų į priekį“, – teigia „Luminor“ banko kasdienės bankininkystės vadovė.</w:t>
      </w:r>
    </w:p>
    <w:p w14:paraId="23B69467" w14:textId="63D042B3" w:rsidR="00E9206B" w:rsidRPr="00672F13" w:rsidRDefault="00F230FE">
      <w:pPr>
        <w:shd w:val="clear" w:color="auto" w:fill="FFFFFF"/>
        <w:spacing w:before="240" w:after="240" w:line="240" w:lineRule="auto"/>
        <w:jc w:val="both"/>
        <w:rPr>
          <w:rFonts w:ascii="Segoe UI" w:eastAsia="Quattrocento Sans" w:hAnsi="Segoe UI" w:cs="Segoe UI"/>
        </w:rPr>
      </w:pPr>
      <w:r w:rsidRPr="00672F13">
        <w:rPr>
          <w:rFonts w:ascii="Segoe UI" w:eastAsia="Quattrocento Sans" w:hAnsi="Segoe UI" w:cs="Segoe UI"/>
        </w:rPr>
        <w:t>Kaupimui tėvai dažnai pasirenka terminuotus indėlius arba investavimo priemones – pavyzdžiui, vertybinių popierių fondus</w:t>
      </w:r>
      <w:r w:rsidR="00672F13">
        <w:rPr>
          <w:rFonts w:ascii="Segoe UI" w:eastAsia="Quattrocento Sans" w:hAnsi="Segoe UI" w:cs="Segoe UI"/>
        </w:rPr>
        <w:t>, III pakopos pensijų fondą</w:t>
      </w:r>
      <w:r w:rsidRPr="00672F13">
        <w:rPr>
          <w:rFonts w:ascii="Segoe UI" w:eastAsia="Quattrocento Sans" w:hAnsi="Segoe UI" w:cs="Segoe UI"/>
        </w:rPr>
        <w:t>. Tokiu būdu galima ilgainiui sukaupti reikšmingą sumą, tačiau būtina įvertinti ir riziką: investicijos susijusios su svyravimais, o p</w:t>
      </w:r>
      <w:r w:rsidR="004201FB">
        <w:rPr>
          <w:rFonts w:ascii="Segoe UI" w:eastAsia="Quattrocento Sans" w:hAnsi="Segoe UI" w:cs="Segoe UI"/>
        </w:rPr>
        <w:t xml:space="preserve">ajamos </w:t>
      </w:r>
      <w:r w:rsidRPr="00672F13">
        <w:rPr>
          <w:rFonts w:ascii="Segoe UI" w:eastAsia="Quattrocento Sans" w:hAnsi="Segoe UI" w:cs="Segoe UI"/>
        </w:rPr>
        <w:t>nuo tam tikros sumos yra apmokestinam</w:t>
      </w:r>
      <w:r w:rsidR="004201FB">
        <w:rPr>
          <w:rFonts w:ascii="Segoe UI" w:eastAsia="Quattrocento Sans" w:hAnsi="Segoe UI" w:cs="Segoe UI"/>
        </w:rPr>
        <w:t>o</w:t>
      </w:r>
      <w:r w:rsidRPr="00672F13">
        <w:rPr>
          <w:rFonts w:ascii="Segoe UI" w:eastAsia="Quattrocento Sans" w:hAnsi="Segoe UI" w:cs="Segoe UI"/>
        </w:rPr>
        <w:t>s.</w:t>
      </w:r>
    </w:p>
    <w:p w14:paraId="2E68017F" w14:textId="77777777" w:rsidR="00E9206B" w:rsidRPr="00672F13" w:rsidRDefault="00F230FE">
      <w:pPr>
        <w:pStyle w:val="Antrat3"/>
        <w:keepNext w:val="0"/>
        <w:keepLines w:val="0"/>
        <w:shd w:val="clear" w:color="auto" w:fill="FFFFFF"/>
        <w:spacing w:line="240" w:lineRule="auto"/>
        <w:jc w:val="both"/>
        <w:rPr>
          <w:rFonts w:ascii="Segoe UI" w:eastAsia="Quattrocento Sans" w:hAnsi="Segoe UI" w:cs="Segoe UI"/>
          <w:sz w:val="22"/>
          <w:szCs w:val="22"/>
        </w:rPr>
      </w:pPr>
      <w:bookmarkStart w:id="1" w:name="_heading=h.1vt0831jropc" w:colFirst="0" w:colLast="0"/>
      <w:bookmarkEnd w:id="1"/>
      <w:r w:rsidRPr="00672F13">
        <w:rPr>
          <w:rFonts w:ascii="Segoe UI" w:eastAsia="Quattrocento Sans" w:hAnsi="Segoe UI" w:cs="Segoe UI"/>
          <w:sz w:val="22"/>
          <w:szCs w:val="22"/>
        </w:rPr>
        <w:t>Naujas biudžetas – pagal naujus poreikius</w:t>
      </w:r>
    </w:p>
    <w:p w14:paraId="670E22F3" w14:textId="77777777" w:rsidR="00E9206B" w:rsidRPr="00672F13" w:rsidRDefault="00F230FE">
      <w:pPr>
        <w:shd w:val="clear" w:color="auto" w:fill="FFFFFF"/>
        <w:spacing w:before="240" w:after="240" w:line="240" w:lineRule="auto"/>
        <w:jc w:val="both"/>
        <w:rPr>
          <w:rFonts w:ascii="Segoe UI" w:eastAsia="Quattrocento Sans" w:hAnsi="Segoe UI" w:cs="Segoe UI"/>
        </w:rPr>
      </w:pPr>
      <w:r w:rsidRPr="00672F13">
        <w:rPr>
          <w:rFonts w:ascii="Segoe UI" w:eastAsia="Quattrocento Sans" w:hAnsi="Segoe UI" w:cs="Segoe UI"/>
        </w:rPr>
        <w:t>Finansinis planavimas tampa ypač svarbus, kai šeimoje atsiranda naujas narys. Vienas iš svarbių sprendimų – kuris iš tėvų išeis vaiko priežiūros atostogų ir kuriam laikui. Pasirinkus vienerių metų trukmę, mokama 100 proc. kompensuojama išmoka, o pasirinkus dvejus metus – 70 proc. pirmaisiais ir 40 proc. antraisiais metais. Vis dėlto, išmokoms taikomos lubos – 2025 m. jos negali viršyti apie 4000 Eur bruto atlyginimo per mėnesį.</w:t>
      </w:r>
    </w:p>
    <w:p w14:paraId="245FBEDD" w14:textId="77777777" w:rsidR="00E9206B" w:rsidRPr="00672F13" w:rsidRDefault="00F230FE">
      <w:pPr>
        <w:shd w:val="clear" w:color="auto" w:fill="FFFFFF"/>
        <w:spacing w:before="240" w:after="240" w:line="240" w:lineRule="auto"/>
        <w:jc w:val="both"/>
        <w:rPr>
          <w:rFonts w:ascii="Segoe UI" w:eastAsia="Quattrocento Sans" w:hAnsi="Segoe UI" w:cs="Segoe UI"/>
        </w:rPr>
      </w:pPr>
      <w:r w:rsidRPr="00672F13">
        <w:rPr>
          <w:rFonts w:ascii="Segoe UI" w:eastAsia="Quattrocento Sans" w:hAnsi="Segoe UI" w:cs="Segoe UI"/>
        </w:rPr>
        <w:lastRenderedPageBreak/>
        <w:t>„Gimus vaikui, keičiasi kasdieniai poreikiai – padidėja išlaidos kūdikio priežiūrai, tačiau sumažėja laisvalaikio ar kelionių biudžetas. Todėl tėvams svarbu iš naujo įvertinti išlaidų struktūrą, pasirengti nenumatytiems scenarijams ir užtikrinti finansinį stabilumą. Tai etapas, kai finansinė disciplina ir aiškus planas padeda sumažinti įtampą ir visą dėmesį skirti šeimos gerovei“, – pabrėžia A. Mincienė.</w:t>
      </w:r>
    </w:p>
    <w:p w14:paraId="6EF394E4" w14:textId="2DFDCDEF" w:rsidR="00E9206B" w:rsidRDefault="00F230FE">
      <w:pPr>
        <w:shd w:val="clear" w:color="auto" w:fill="FFFFFF"/>
        <w:spacing w:before="240" w:after="240" w:line="240" w:lineRule="auto"/>
        <w:jc w:val="both"/>
        <w:rPr>
          <w:rFonts w:ascii="Segoe UI" w:eastAsia="Quattrocento Sans" w:hAnsi="Segoe UI" w:cs="Segoe UI"/>
        </w:rPr>
      </w:pPr>
      <w:r w:rsidRPr="00672F13">
        <w:rPr>
          <w:rFonts w:ascii="Segoe UI" w:eastAsia="Quattrocento Sans" w:hAnsi="Segoe UI" w:cs="Segoe UI"/>
        </w:rPr>
        <w:t xml:space="preserve">Planuojant pirkinius, verta apgalvoti ir daiktų įsigijimo strategiją. Ne viską būtina pirkti nauja – kūdikystėje vaikai itin greitai išauga rūbelius ar praranda susidomėjimą žaislais. Dėvėti, tačiau kokybiški daiktai dažnai niekuo nenusileidžia naujiems, o kainuoja gerokai mažiau. Šiuolaikiniai namų ūkiai, turintys </w:t>
      </w:r>
      <w:proofErr w:type="spellStart"/>
      <w:r w:rsidRPr="00672F13">
        <w:rPr>
          <w:rFonts w:ascii="Segoe UI" w:eastAsia="Quattrocento Sans" w:hAnsi="Segoe UI" w:cs="Segoe UI"/>
        </w:rPr>
        <w:t>skalbykles</w:t>
      </w:r>
      <w:proofErr w:type="spellEnd"/>
      <w:r w:rsidRPr="00672F13">
        <w:rPr>
          <w:rFonts w:ascii="Segoe UI" w:eastAsia="Quattrocento Sans" w:hAnsi="Segoe UI" w:cs="Segoe UI"/>
        </w:rPr>
        <w:t xml:space="preserve"> ir džiovykles, gali išsiversti ir su keliais pagrindiniais drabužių komplektais, taip sumažindami finansines išlaidas.</w:t>
      </w:r>
      <w:bookmarkStart w:id="2" w:name="_heading=h.ejgto0xsjn73" w:colFirst="0" w:colLast="0"/>
      <w:bookmarkEnd w:id="2"/>
    </w:p>
    <w:p w14:paraId="20700D75" w14:textId="77777777" w:rsidR="00BB56CE" w:rsidRPr="00672F13" w:rsidRDefault="00BB56CE">
      <w:pPr>
        <w:shd w:val="clear" w:color="auto" w:fill="FFFFFF"/>
        <w:spacing w:before="240" w:after="240" w:line="240" w:lineRule="auto"/>
        <w:jc w:val="both"/>
        <w:rPr>
          <w:rFonts w:ascii="Segoe UI" w:eastAsia="Quattrocento Sans" w:hAnsi="Segoe UI" w:cs="Segoe UI"/>
        </w:rPr>
      </w:pPr>
    </w:p>
    <w:p w14:paraId="11A3DCAD" w14:textId="77777777" w:rsidR="00E9206B" w:rsidRPr="00672F13" w:rsidRDefault="00F230FE">
      <w:pPr>
        <w:spacing w:line="256" w:lineRule="auto"/>
        <w:jc w:val="both"/>
        <w:rPr>
          <w:rFonts w:ascii="Segoe UI" w:eastAsia="Quattrocento Sans" w:hAnsi="Segoe UI" w:cs="Segoe UI"/>
          <w:sz w:val="20"/>
          <w:szCs w:val="20"/>
        </w:rPr>
      </w:pPr>
      <w:r w:rsidRPr="00672F13">
        <w:rPr>
          <w:rFonts w:ascii="Segoe UI" w:eastAsia="Quattrocento Sans" w:hAnsi="Segoe UI" w:cs="Segoe UI"/>
          <w:b/>
          <w:sz w:val="20"/>
          <w:szCs w:val="20"/>
        </w:rPr>
        <w:t>Apie „Luminor“:</w:t>
      </w:r>
    </w:p>
    <w:p w14:paraId="56559769" w14:textId="77777777" w:rsidR="00E9206B" w:rsidRPr="00672F13" w:rsidRDefault="00F230FE">
      <w:pPr>
        <w:spacing w:after="0" w:line="240" w:lineRule="auto"/>
        <w:rPr>
          <w:rFonts w:ascii="Segoe UI" w:eastAsia="Quattrocento Sans" w:hAnsi="Segoe UI" w:cs="Segoe UI"/>
          <w:sz w:val="20"/>
          <w:szCs w:val="20"/>
        </w:rPr>
      </w:pPr>
      <w:r w:rsidRPr="00672F13">
        <w:rPr>
          <w:rFonts w:ascii="Segoe UI" w:eastAsia="Quattrocento Sans" w:hAnsi="Segoe UI" w:cs="Segoe UI"/>
          <w:sz w:val="20"/>
          <w:szCs w:val="20"/>
        </w:rPr>
        <w:t xml:space="preserve">„Luminor“ yra pirmaujantis nepriklausomas bankas Baltijos šalyse ir trečias pagal dydį finansinių paslaugų tiekėjas regione. Mes aptarnaujame asmenų, šeimų ir verslo finansinius poreikius. „Luminor“ siekia gerinti savo klientų ir namų rinkų finansinę sveikatą bei skatinti jų augimą. Daugiau informacijos rasite </w:t>
      </w:r>
      <w:hyperlink r:id="rId8" w:anchor="financial-calendar">
        <w:r w:rsidRPr="00672F13">
          <w:rPr>
            <w:rFonts w:ascii="Segoe UI" w:eastAsia="Quattrocento Sans" w:hAnsi="Segoe UI" w:cs="Segoe UI"/>
            <w:sz w:val="20"/>
            <w:szCs w:val="20"/>
            <w:u w:val="single"/>
          </w:rPr>
          <w:t>čia</w:t>
        </w:r>
      </w:hyperlink>
      <w:r w:rsidRPr="00672F13">
        <w:rPr>
          <w:rFonts w:ascii="Segoe UI" w:eastAsia="Quattrocento Sans" w:hAnsi="Segoe UI" w:cs="Segoe UI"/>
          <w:sz w:val="20"/>
          <w:szCs w:val="20"/>
        </w:rPr>
        <w:t xml:space="preserve">. </w:t>
      </w:r>
    </w:p>
    <w:p w14:paraId="2C9E8AAF" w14:textId="77777777" w:rsidR="00E9206B" w:rsidRPr="00672F13" w:rsidRDefault="00E9206B">
      <w:pPr>
        <w:spacing w:after="0" w:line="240" w:lineRule="auto"/>
        <w:rPr>
          <w:rFonts w:ascii="Segoe UI" w:eastAsia="Quattrocento Sans" w:hAnsi="Segoe UI" w:cs="Segoe UI"/>
          <w:sz w:val="20"/>
          <w:szCs w:val="20"/>
        </w:rPr>
      </w:pPr>
    </w:p>
    <w:p w14:paraId="593B38DC" w14:textId="77777777" w:rsidR="00E9206B" w:rsidRPr="00672F13" w:rsidRDefault="00F230FE">
      <w:pPr>
        <w:spacing w:after="0" w:line="240" w:lineRule="auto"/>
        <w:rPr>
          <w:rFonts w:ascii="Segoe UI" w:eastAsia="Quattrocento Sans" w:hAnsi="Segoe UI" w:cs="Segoe UI"/>
          <w:b/>
          <w:sz w:val="20"/>
          <w:szCs w:val="20"/>
        </w:rPr>
      </w:pPr>
      <w:r w:rsidRPr="00672F13">
        <w:rPr>
          <w:rFonts w:ascii="Segoe UI" w:eastAsia="Quattrocento Sans" w:hAnsi="Segoe UI" w:cs="Segoe UI"/>
          <w:b/>
          <w:sz w:val="20"/>
          <w:szCs w:val="20"/>
        </w:rPr>
        <w:t>Daugiau informacijos:</w:t>
      </w:r>
    </w:p>
    <w:p w14:paraId="50012F3B" w14:textId="77777777" w:rsidR="00E9206B" w:rsidRPr="00672F13" w:rsidRDefault="00F230FE">
      <w:pPr>
        <w:spacing w:after="0" w:line="240" w:lineRule="auto"/>
        <w:rPr>
          <w:rFonts w:ascii="Segoe UI" w:eastAsia="Quattrocento Sans" w:hAnsi="Segoe UI" w:cs="Segoe UI"/>
          <w:sz w:val="20"/>
          <w:szCs w:val="20"/>
        </w:rPr>
      </w:pPr>
      <w:r w:rsidRPr="00672F13">
        <w:rPr>
          <w:rFonts w:ascii="Segoe UI" w:eastAsia="Quattrocento Sans" w:hAnsi="Segoe UI" w:cs="Segoe UI"/>
          <w:sz w:val="20"/>
          <w:szCs w:val="20"/>
        </w:rPr>
        <w:t>Severa Augusta Lukošaitytė</w:t>
      </w:r>
      <w:r w:rsidRPr="00672F13">
        <w:rPr>
          <w:rFonts w:ascii="Segoe UI" w:eastAsia="Quattrocento Sans" w:hAnsi="Segoe UI" w:cs="Segoe UI"/>
          <w:sz w:val="20"/>
          <w:szCs w:val="20"/>
        </w:rPr>
        <w:br/>
        <w:t>„Luminor“ komunikacijos projektų vadovė</w:t>
      </w:r>
      <w:r w:rsidRPr="00672F13">
        <w:rPr>
          <w:rFonts w:ascii="Segoe UI" w:eastAsia="Quattrocento Sans" w:hAnsi="Segoe UI" w:cs="Segoe UI"/>
          <w:sz w:val="20"/>
          <w:szCs w:val="20"/>
        </w:rPr>
        <w:br/>
        <w:t>Tel.: +370 61143579</w:t>
      </w:r>
      <w:r w:rsidRPr="00672F13">
        <w:rPr>
          <w:rFonts w:ascii="Segoe UI" w:eastAsia="Quattrocento Sans" w:hAnsi="Segoe UI" w:cs="Segoe UI"/>
          <w:sz w:val="20"/>
          <w:szCs w:val="20"/>
        </w:rPr>
        <w:br/>
        <w:t>el. p.: </w:t>
      </w:r>
      <w:hyperlink r:id="rId9">
        <w:r w:rsidRPr="00672F13">
          <w:rPr>
            <w:rFonts w:ascii="Segoe UI" w:eastAsia="Quattrocento Sans" w:hAnsi="Segoe UI" w:cs="Segoe UI"/>
            <w:sz w:val="20"/>
            <w:szCs w:val="20"/>
            <w:u w:val="single"/>
          </w:rPr>
          <w:t>severa.augusta.lukosaityte@luminorgroup.com</w:t>
        </w:r>
      </w:hyperlink>
    </w:p>
    <w:sectPr w:rsidR="00E9206B" w:rsidRPr="00672F13">
      <w:headerReference w:type="default" r:id="rId10"/>
      <w:footerReference w:type="default" r:id="rId11"/>
      <w:pgSz w:w="11900" w:h="16840"/>
      <w:pgMar w:top="1701" w:right="567" w:bottom="1134" w:left="1701" w:header="567" w:footer="567"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1D658B" w14:textId="77777777" w:rsidR="00F27325" w:rsidRDefault="00F27325">
      <w:pPr>
        <w:spacing w:after="0" w:line="240" w:lineRule="auto"/>
      </w:pPr>
      <w:r>
        <w:separator/>
      </w:r>
    </w:p>
  </w:endnote>
  <w:endnote w:type="continuationSeparator" w:id="0">
    <w:p w14:paraId="48B75F66" w14:textId="77777777" w:rsidR="00F27325" w:rsidRDefault="00F273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1" w:fontKey="{FF42BD2E-D891-420C-ABDC-0C9DD7B3F3C5}"/>
    <w:embedBold r:id="rId2" w:fontKey="{3B2F1F0F-DCB0-42FF-8608-01B2C6EC5464}"/>
  </w:font>
  <w:font w:name="Arial Unicode MS">
    <w:altName w:val="Arial"/>
    <w:panose1 w:val="020B0604020202020204"/>
    <w:charset w:val="00"/>
    <w:family w:val="roman"/>
    <w:pitch w:val="variable"/>
    <w:sig w:usb0="00000003" w:usb1="00000000" w:usb2="00000000" w:usb3="00000000" w:csb0="00000001" w:csb1="00000000"/>
  </w:font>
  <w:font w:name="Helvetica Neue">
    <w:altName w:val="Arial"/>
    <w:charset w:val="00"/>
    <w:family w:val="auto"/>
    <w:pitch w:val="default"/>
    <w:embedRegular r:id="rId3" w:fontKey="{45CB238F-5399-4E48-9560-F77BA1EAEC59}"/>
  </w:font>
  <w:font w:name="Segoe UI">
    <w:panose1 w:val="020B0502040204020203"/>
    <w:charset w:val="BA"/>
    <w:family w:val="swiss"/>
    <w:pitch w:val="variable"/>
    <w:sig w:usb0="E4002EFF" w:usb1="C000E47F" w:usb2="00000009" w:usb3="00000000" w:csb0="000001FF" w:csb1="00000000"/>
    <w:embedRegular r:id="rId4" w:fontKey="{1272F517-02D0-431D-9376-0FFE1EF699B2}"/>
    <w:embedBold r:id="rId5" w:fontKey="{B5E7C6FD-544C-4F3F-BCB1-324F3EA6FC6C}"/>
  </w:font>
  <w:font w:name="Georgia">
    <w:panose1 w:val="02040502050405020303"/>
    <w:charset w:val="BA"/>
    <w:family w:val="roman"/>
    <w:pitch w:val="variable"/>
    <w:sig w:usb0="00000287" w:usb1="00000000" w:usb2="00000000" w:usb3="00000000" w:csb0="0000009F" w:csb1="00000000"/>
    <w:embedRegular r:id="rId6" w:fontKey="{277BFA57-3AEA-4496-B9A4-1094700CB897}"/>
    <w:embedItalic r:id="rId7" w:fontKey="{DA57F9E0-6344-4C58-8341-12747F24A25B}"/>
  </w:font>
  <w:font w:name="Quattrocento Sans">
    <w:charset w:val="00"/>
    <w:family w:val="swiss"/>
    <w:pitch w:val="variable"/>
    <w:sig w:usb0="800000BF" w:usb1="4000005B" w:usb2="00000000" w:usb3="00000000" w:csb0="00000001" w:csb1="00000000"/>
    <w:embedRegular r:id="rId8" w:fontKey="{79EBA37C-42D2-4E21-A542-5E40D841DD10}"/>
    <w:embedBold r:id="rId9" w:fontKey="{8D86D8E9-38C6-402F-B3A6-CBC9F98CEFB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C668C0" w14:textId="77777777" w:rsidR="00E9206B" w:rsidRDefault="00E9206B">
    <w:pPr>
      <w:pBdr>
        <w:top w:val="nil"/>
        <w:left w:val="nil"/>
        <w:bottom w:val="nil"/>
        <w:right w:val="nil"/>
        <w:between w:val="nil"/>
      </w:pBdr>
      <w:tabs>
        <w:tab w:val="right" w:pos="9020"/>
      </w:tabs>
      <w:spacing w:after="0" w:line="240" w:lineRule="auto"/>
      <w:rPr>
        <w:rFonts w:ascii="Helvetica Neue" w:eastAsia="Helvetica Neue" w:hAnsi="Helvetica Neue" w:cs="Helvetica Neue"/>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8C9E19" w14:textId="77777777" w:rsidR="00F27325" w:rsidRDefault="00F27325">
      <w:pPr>
        <w:spacing w:after="0" w:line="240" w:lineRule="auto"/>
      </w:pPr>
      <w:r>
        <w:separator/>
      </w:r>
    </w:p>
  </w:footnote>
  <w:footnote w:type="continuationSeparator" w:id="0">
    <w:p w14:paraId="7D973D4F" w14:textId="77777777" w:rsidR="00F27325" w:rsidRDefault="00F2732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42A66C" w14:textId="77777777" w:rsidR="00E9206B" w:rsidRDefault="00F230FE">
    <w:pPr>
      <w:tabs>
        <w:tab w:val="center" w:pos="4513"/>
        <w:tab w:val="right" w:pos="9026"/>
      </w:tabs>
      <w:spacing w:after="0" w:line="240" w:lineRule="auto"/>
    </w:pPr>
    <w:r>
      <w:rPr>
        <w:noProof/>
      </w:rPr>
      <w:drawing>
        <wp:anchor distT="0" distB="0" distL="0" distR="0" simplePos="0" relativeHeight="251658240" behindDoc="1" locked="0" layoutInCell="1" hidden="0" allowOverlap="1" wp14:anchorId="6B4915B6" wp14:editId="6DD2D8EE">
          <wp:simplePos x="0" y="0"/>
          <wp:positionH relativeFrom="page">
            <wp:posOffset>864235</wp:posOffset>
          </wp:positionH>
          <wp:positionV relativeFrom="page">
            <wp:posOffset>233045</wp:posOffset>
          </wp:positionV>
          <wp:extent cx="1857375" cy="542925"/>
          <wp:effectExtent l="0" t="0" r="0" b="0"/>
          <wp:wrapNone/>
          <wp:docPr id="1073741826" name="image1.png" descr="image1.png"/>
          <wp:cNvGraphicFramePr/>
          <a:graphic xmlns:a="http://schemas.openxmlformats.org/drawingml/2006/main">
            <a:graphicData uri="http://schemas.openxmlformats.org/drawingml/2006/picture">
              <pic:pic xmlns:pic="http://schemas.openxmlformats.org/drawingml/2006/picture">
                <pic:nvPicPr>
                  <pic:cNvPr id="0" name="image1.png" descr="image1.png"/>
                  <pic:cNvPicPr preferRelativeResize="0"/>
                </pic:nvPicPr>
                <pic:blipFill>
                  <a:blip r:embed="rId1"/>
                  <a:srcRect/>
                  <a:stretch>
                    <a:fillRect/>
                  </a:stretch>
                </pic:blipFill>
                <pic:spPr>
                  <a:xfrm>
                    <a:off x="0" y="0"/>
                    <a:ext cx="1857375" cy="5429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5894B27"/>
    <w:multiLevelType w:val="multilevel"/>
    <w:tmpl w:val="AE0458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9343881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9206B"/>
    <w:rsid w:val="0028210A"/>
    <w:rsid w:val="00380D23"/>
    <w:rsid w:val="004201FB"/>
    <w:rsid w:val="005679D8"/>
    <w:rsid w:val="005F0064"/>
    <w:rsid w:val="00672F13"/>
    <w:rsid w:val="009B5EEF"/>
    <w:rsid w:val="00B379FD"/>
    <w:rsid w:val="00B7362E"/>
    <w:rsid w:val="00BB56CE"/>
    <w:rsid w:val="00C54233"/>
    <w:rsid w:val="00D57AF4"/>
    <w:rsid w:val="00DC717E"/>
    <w:rsid w:val="00DE5FE3"/>
    <w:rsid w:val="00E9206B"/>
    <w:rsid w:val="00EF7CD1"/>
    <w:rsid w:val="00F230FE"/>
    <w:rsid w:val="00F27325"/>
    <w:rsid w:val="00F7078B"/>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952B32"/>
  <w15:docId w15:val="{69439E47-8ED6-4B24-A65B-C1CFC4927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Pr>
      <w:rFonts w:cs="Arial Unicode MS"/>
      <w:color w:val="000000"/>
      <w:u w:color="000000"/>
      <w14:textOutline w14:w="0" w14:cap="flat" w14:cmpd="sng" w14:algn="ctr">
        <w14:noFill/>
        <w14:prstDash w14:val="solid"/>
        <w14:bevel/>
      </w14:textOutline>
    </w:rPr>
  </w:style>
  <w:style w:type="paragraph" w:styleId="Antrat1">
    <w:name w:val="heading 1"/>
    <w:basedOn w:val="prastasis"/>
    <w:next w:val="prastasis"/>
    <w:uiPriority w:val="9"/>
    <w:qFormat/>
    <w:pPr>
      <w:keepNext/>
      <w:keepLines/>
      <w:spacing w:before="480" w:after="120"/>
      <w:outlineLvl w:val="0"/>
    </w:pPr>
    <w:rPr>
      <w:b/>
      <w:sz w:val="48"/>
      <w:szCs w:val="48"/>
    </w:rPr>
  </w:style>
  <w:style w:type="paragraph" w:styleId="Antrat2">
    <w:name w:val="heading 2"/>
    <w:basedOn w:val="prastasis"/>
    <w:next w:val="prastasis"/>
    <w:uiPriority w:val="9"/>
    <w:unhideWhenUsed/>
    <w:qFormat/>
    <w:pPr>
      <w:keepNext/>
      <w:keepLines/>
      <w:spacing w:before="360" w:after="80"/>
      <w:outlineLvl w:val="1"/>
    </w:pPr>
    <w:rPr>
      <w:b/>
      <w:sz w:val="36"/>
      <w:szCs w:val="36"/>
    </w:rPr>
  </w:style>
  <w:style w:type="paragraph" w:styleId="Antrat3">
    <w:name w:val="heading 3"/>
    <w:basedOn w:val="prastasis"/>
    <w:next w:val="prastasis"/>
    <w:uiPriority w:val="9"/>
    <w:unhideWhenUsed/>
    <w:qFormat/>
    <w:pPr>
      <w:keepNext/>
      <w:keepLines/>
      <w:spacing w:before="280" w:after="80"/>
      <w:outlineLvl w:val="2"/>
    </w:pPr>
    <w:rPr>
      <w:b/>
      <w:sz w:val="28"/>
      <w:szCs w:val="28"/>
    </w:rPr>
  </w:style>
  <w:style w:type="paragraph" w:styleId="Antrat4">
    <w:name w:val="heading 4"/>
    <w:basedOn w:val="prastasis"/>
    <w:next w:val="prastasis"/>
    <w:uiPriority w:val="9"/>
    <w:semiHidden/>
    <w:unhideWhenUsed/>
    <w:qFormat/>
    <w:pPr>
      <w:keepNext/>
      <w:keepLines/>
      <w:spacing w:before="240" w:after="40"/>
      <w:outlineLvl w:val="3"/>
    </w:pPr>
    <w:rPr>
      <w:b/>
      <w:sz w:val="24"/>
      <w:szCs w:val="24"/>
    </w:rPr>
  </w:style>
  <w:style w:type="paragraph" w:styleId="Antrat5">
    <w:name w:val="heading 5"/>
    <w:basedOn w:val="prastasis"/>
    <w:next w:val="prastasis"/>
    <w:uiPriority w:val="9"/>
    <w:semiHidden/>
    <w:unhideWhenUsed/>
    <w:qFormat/>
    <w:pPr>
      <w:keepNext/>
      <w:keepLines/>
      <w:spacing w:before="220" w:after="40"/>
      <w:outlineLvl w:val="4"/>
    </w:pPr>
    <w:rPr>
      <w:b/>
    </w:rPr>
  </w:style>
  <w:style w:type="paragraph" w:styleId="Antrat6">
    <w:name w:val="heading 6"/>
    <w:basedOn w:val="prastasis"/>
    <w:next w:val="prastasis"/>
    <w:uiPriority w:val="9"/>
    <w:semiHidden/>
    <w:unhideWhenUsed/>
    <w:qFormat/>
    <w:pPr>
      <w:keepNext/>
      <w:keepLines/>
      <w:spacing w:before="200" w:after="40"/>
      <w:outlineLvl w:val="5"/>
    </w:pPr>
    <w:rPr>
      <w:b/>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Pavadinimas">
    <w:name w:val="Title"/>
    <w:basedOn w:val="prastasis"/>
    <w:next w:val="prastasis"/>
    <w:uiPriority w:val="10"/>
    <w:qFormat/>
    <w:pPr>
      <w:keepNext/>
      <w:keepLines/>
      <w:spacing w:before="480" w:after="120"/>
    </w:pPr>
    <w:rPr>
      <w:b/>
      <w:sz w:val="72"/>
      <w:szCs w:val="72"/>
    </w:rPr>
  </w:style>
  <w:style w:type="character" w:styleId="Hipersaitas">
    <w:name w:val="Hyperlink"/>
    <w:rPr>
      <w:u w:val="single"/>
    </w:rPr>
  </w:style>
  <w:style w:type="table" w:customStyle="1" w:styleId="TableNormal10">
    <w:name w:val="Table Normal1"/>
    <w:tblPr>
      <w:tblInd w:w="0" w:type="dxa"/>
      <w:tblCellMar>
        <w:top w:w="0" w:type="dxa"/>
        <w:left w:w="0" w:type="dxa"/>
        <w:bottom w:w="0" w:type="dxa"/>
        <w:right w:w="0" w:type="dxa"/>
      </w:tblCellMar>
    </w:tblPr>
  </w:style>
  <w:style w:type="paragraph" w:customStyle="1" w:styleId="HeaderFooter">
    <w:name w:val="Header &amp; Footer"/>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Default">
    <w:name w:val="Default"/>
    <w:pPr>
      <w:spacing w:before="160"/>
    </w:pPr>
    <w:rPr>
      <w:rFonts w:ascii="Helvetica Neue" w:hAnsi="Helvetica Neue" w:cs="Arial Unicode MS"/>
      <w:color w:val="000000"/>
      <w:sz w:val="24"/>
      <w:szCs w:val="24"/>
      <w:u w:color="000000"/>
      <w14:textOutline w14:w="12700" w14:cap="flat" w14:cmpd="sng" w14:algn="ctr">
        <w14:noFill/>
        <w14:prstDash w14:val="solid"/>
        <w14:miter w14:lim="400000"/>
      </w14:textOutline>
    </w:rPr>
  </w:style>
  <w:style w:type="character" w:customStyle="1" w:styleId="None">
    <w:name w:val="None"/>
  </w:style>
  <w:style w:type="character" w:customStyle="1" w:styleId="Hyperlink0">
    <w:name w:val="Hyperlink.0"/>
    <w:basedOn w:val="None"/>
    <w:rPr>
      <w:rFonts w:ascii="Segoe UI" w:eastAsia="Segoe UI" w:hAnsi="Segoe UI" w:cs="Segoe UI"/>
      <w:outline w:val="0"/>
      <w:color w:val="0000FF"/>
      <w:sz w:val="20"/>
      <w:szCs w:val="20"/>
      <w:u w:val="single" w:color="0000FF"/>
    </w:rPr>
  </w:style>
  <w:style w:type="paragraph" w:styleId="Pataisymai">
    <w:name w:val="Revision"/>
    <w:hidden/>
    <w:uiPriority w:val="99"/>
    <w:semiHidden/>
    <w:rsid w:val="005A55F9"/>
    <w:rPr>
      <w:rFonts w:cs="Arial Unicode MS"/>
      <w:color w:val="000000"/>
      <w:u w:color="000000"/>
      <w14:textOutline w14:w="0" w14:cap="flat" w14:cmpd="sng" w14:algn="ctr">
        <w14:noFill/>
        <w14:prstDash w14:val="solid"/>
        <w14:bevel/>
      </w14:textOutline>
    </w:rPr>
  </w:style>
  <w:style w:type="character" w:styleId="Komentaronuoroda">
    <w:name w:val="annotation reference"/>
    <w:basedOn w:val="Numatytasispastraiposriftas"/>
    <w:uiPriority w:val="99"/>
    <w:semiHidden/>
    <w:unhideWhenUsed/>
    <w:rsid w:val="003F6AE9"/>
    <w:rPr>
      <w:sz w:val="16"/>
      <w:szCs w:val="16"/>
    </w:rPr>
  </w:style>
  <w:style w:type="paragraph" w:styleId="Komentarotekstas">
    <w:name w:val="annotation text"/>
    <w:basedOn w:val="prastasis"/>
    <w:link w:val="KomentarotekstasDiagrama"/>
    <w:uiPriority w:val="99"/>
    <w:unhideWhenUsed/>
    <w:rsid w:val="003F6AE9"/>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3F6AE9"/>
    <w:rPr>
      <w:rFonts w:ascii="Calibri" w:hAnsi="Calibri" w:cs="Arial Unicode MS"/>
      <w:color w:val="000000"/>
      <w:u w:color="000000"/>
      <w14:textOutline w14:w="0" w14:cap="flat" w14:cmpd="sng" w14:algn="ctr">
        <w14:noFill/>
        <w14:prstDash w14:val="solid"/>
        <w14:bevel/>
      </w14:textOutline>
    </w:rPr>
  </w:style>
  <w:style w:type="paragraph" w:styleId="Komentarotema">
    <w:name w:val="annotation subject"/>
    <w:basedOn w:val="Komentarotekstas"/>
    <w:next w:val="Komentarotekstas"/>
    <w:link w:val="KomentarotemaDiagrama"/>
    <w:uiPriority w:val="99"/>
    <w:semiHidden/>
    <w:unhideWhenUsed/>
    <w:rsid w:val="003F6AE9"/>
    <w:rPr>
      <w:b/>
      <w:bCs/>
    </w:rPr>
  </w:style>
  <w:style w:type="character" w:customStyle="1" w:styleId="KomentarotemaDiagrama">
    <w:name w:val="Komentaro tema Diagrama"/>
    <w:basedOn w:val="KomentarotekstasDiagrama"/>
    <w:link w:val="Komentarotema"/>
    <w:uiPriority w:val="99"/>
    <w:semiHidden/>
    <w:rsid w:val="003F6AE9"/>
    <w:rPr>
      <w:rFonts w:ascii="Calibri" w:hAnsi="Calibri" w:cs="Arial Unicode MS"/>
      <w:b/>
      <w:bCs/>
      <w:color w:val="000000"/>
      <w:u w:color="000000"/>
      <w14:textOutline w14:w="0" w14:cap="flat" w14:cmpd="sng" w14:algn="ctr">
        <w14:noFill/>
        <w14:prstDash w14:val="solid"/>
        <w14:bevel/>
      </w14:textOutline>
    </w:rPr>
  </w:style>
  <w:style w:type="character" w:styleId="Neapdorotaspaminjimas">
    <w:name w:val="Unresolved Mention"/>
    <w:basedOn w:val="Numatytasispastraiposriftas"/>
    <w:uiPriority w:val="99"/>
    <w:semiHidden/>
    <w:unhideWhenUsed/>
    <w:rsid w:val="00FC4F13"/>
    <w:rPr>
      <w:color w:val="605E5C"/>
      <w:shd w:val="clear" w:color="auto" w:fill="E1DFDD"/>
    </w:rPr>
  </w:style>
  <w:style w:type="paragraph" w:styleId="prastasiniatinklio">
    <w:name w:val="Normal (Web)"/>
    <w:basedOn w:val="prastasis"/>
    <w:uiPriority w:val="99"/>
    <w:semiHidden/>
    <w:unhideWhenUsed/>
    <w:rsid w:val="001F10B1"/>
    <w:rPr>
      <w:rFonts w:ascii="Times New Roman" w:hAnsi="Times New Roman" w:cs="Times New Roman"/>
      <w:sz w:val="24"/>
      <w:szCs w:val="24"/>
    </w:rPr>
  </w:style>
  <w:style w:type="character" w:styleId="Perirtashipersaitas">
    <w:name w:val="FollowedHyperlink"/>
    <w:basedOn w:val="Numatytasispastraiposriftas"/>
    <w:uiPriority w:val="99"/>
    <w:semiHidden/>
    <w:unhideWhenUsed/>
    <w:rsid w:val="00676F7E"/>
    <w:rPr>
      <w:color w:val="FF00FF" w:themeColor="followedHyperlink"/>
      <w:u w:val="single"/>
    </w:r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luminor.ee/investors"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severa.augusta.lukosaityte@luminorgroup.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un1GEUWzvZi4ESsQWcxmI1B43Eg==">CgMxLjAyDmguajZpZ241dnVtdXBhMg5oLjF2dDA4MzFqcm9wYzIOaC5lamd0bzB4c2puNzM4AHIhMUlTenVoUE9vaFNySTlPa1B5ZnQzVlpOT0x3QkhsVTlC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550</Words>
  <Characters>3818</Characters>
  <Application>Microsoft Office Word</Application>
  <DocSecurity>0</DocSecurity>
  <Lines>60</Lines>
  <Paragraphs>23</Paragraphs>
  <ScaleCrop>false</ScaleCrop>
  <Company/>
  <LinksUpToDate>false</LinksUpToDate>
  <CharactersWithSpaces>4345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Evelina Laučiūtė | COAGENCY</dc:creator>
  <cp:lastModifiedBy>Evelina Laučiūtė</cp:lastModifiedBy>
  <cp:revision>2</cp:revision>
  <dcterms:created xsi:type="dcterms:W3CDTF">2025-05-27T13:42:00Z</dcterms:created>
  <dcterms:modified xsi:type="dcterms:W3CDTF">2025-05-27T13:42:00Z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a72d981-70d3-422f-84c9-c3f8ec269a2c_Enabled">
    <vt:lpwstr>true</vt:lpwstr>
  </property>
  <property fmtid="{D5CDD505-2E9C-101B-9397-08002B2CF9AE}" pid="3" name="MSIP_Label_fa72d981-70d3-422f-84c9-c3f8ec269a2c_SetDate">
    <vt:lpwstr>2025-04-16T08:29:03Z</vt:lpwstr>
  </property>
  <property fmtid="{D5CDD505-2E9C-101B-9397-08002B2CF9AE}" pid="4" name="MSIP_Label_fa72d981-70d3-422f-84c9-c3f8ec269a2c_Method">
    <vt:lpwstr>Privileged</vt:lpwstr>
  </property>
  <property fmtid="{D5CDD505-2E9C-101B-9397-08002B2CF9AE}" pid="5" name="MSIP_Label_fa72d981-70d3-422f-84c9-c3f8ec269a2c_Name">
    <vt:lpwstr>fa72d981-70d3-422f-84c9-c3f8ec269a2c</vt:lpwstr>
  </property>
  <property fmtid="{D5CDD505-2E9C-101B-9397-08002B2CF9AE}" pid="6" name="MSIP_Label_fa72d981-70d3-422f-84c9-c3f8ec269a2c_SiteId">
    <vt:lpwstr>5bdfb231-1958-42c0-8a9b-0cda186703b2</vt:lpwstr>
  </property>
  <property fmtid="{D5CDD505-2E9C-101B-9397-08002B2CF9AE}" pid="7" name="MSIP_Label_fa72d981-70d3-422f-84c9-c3f8ec269a2c_ActionId">
    <vt:lpwstr>72e0d12c-4ab1-443f-93d6-c18225061fbf</vt:lpwstr>
  </property>
  <property fmtid="{D5CDD505-2E9C-101B-9397-08002B2CF9AE}" pid="8" name="MSIP_Label_fa72d981-70d3-422f-84c9-c3f8ec269a2c_ContentBits">
    <vt:lpwstr>0</vt:lpwstr>
  </property>
</Properties>
</file>