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5"/>
        <w:gridCol w:w="2055"/>
        <w:gridCol w:w="2175"/>
      </w:tblGrid>
      <w:tr w:rsidR="000B028B" w:rsidRPr="000B028B" w14:paraId="3E5BFB48" w14:textId="77777777" w:rsidTr="000B028B">
        <w:trPr>
          <w:trHeight w:val="300"/>
        </w:trPr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1E742B" w14:textId="6FDA4BD5" w:rsidR="000B028B" w:rsidRPr="000B028B" w:rsidRDefault="000B028B" w:rsidP="000B028B">
            <w:pPr>
              <w:spacing w:before="120" w:after="120" w:line="240" w:lineRule="auto"/>
              <w:jc w:val="both"/>
              <w:outlineLvl w:val="1"/>
              <w:rPr>
                <w:rFonts w:ascii="Arial" w:eastAsia="Arial" w:hAnsi="Arial" w:cs="Arial"/>
                <w:b/>
                <w:bCs/>
                <w:kern w:val="0"/>
                <w:sz w:val="22"/>
                <w:szCs w:val="22"/>
                <w:lang w:val="lv-LV"/>
                <w14:ligatures w14:val="none"/>
              </w:rPr>
            </w:pPr>
            <w:bookmarkStart w:id="0" w:name="_Hlk199228063"/>
            <w:r w:rsidRPr="000B028B">
              <w:rPr>
                <w:rFonts w:ascii="Arial" w:eastAsia="Arial" w:hAnsi="Arial" w:cs="Arial"/>
                <w:b/>
                <w:bCs/>
                <w:noProof/>
                <w:kern w:val="0"/>
                <w:sz w:val="22"/>
                <w:szCs w:val="22"/>
                <w:lang w:val="lv-LV"/>
                <w14:ligatures w14:val="none"/>
              </w:rPr>
              <w:drawing>
                <wp:inline distT="0" distB="0" distL="0" distR="0" wp14:anchorId="29E11207" wp14:editId="482934C5">
                  <wp:extent cx="1394460" cy="1211580"/>
                  <wp:effectExtent l="0" t="0" r="0" b="0"/>
                  <wp:docPr id="1749521910" name="Picture 6" descr="A logo with blue and yellow stars&#10;&#10;Description automatically generated,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A logo with blue and yellow stars&#10;&#10;Description automatically generated,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1211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28B">
              <w:rPr>
                <w:rFonts w:ascii="Arial" w:eastAsia="Arial" w:hAnsi="Arial" w:cs="Arial"/>
                <w:b/>
                <w:bCs/>
                <w:kern w:val="0"/>
                <w:sz w:val="22"/>
                <w:szCs w:val="22"/>
                <w:lang w:val="lv-LV"/>
                <w14:ligatures w14:val="none"/>
              </w:rPr>
              <w:t>  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5B7CA6" w14:textId="44F9AB74" w:rsidR="000B028B" w:rsidRPr="000B028B" w:rsidRDefault="000B028B" w:rsidP="000B028B">
            <w:pPr>
              <w:spacing w:before="120" w:after="120" w:line="240" w:lineRule="auto"/>
              <w:jc w:val="both"/>
              <w:outlineLvl w:val="1"/>
              <w:rPr>
                <w:rFonts w:ascii="Arial" w:eastAsia="Arial" w:hAnsi="Arial" w:cs="Arial"/>
                <w:b/>
                <w:bCs/>
                <w:kern w:val="0"/>
                <w:sz w:val="22"/>
                <w:szCs w:val="22"/>
                <w:lang w:val="lv-LV"/>
                <w14:ligatures w14:val="none"/>
              </w:rPr>
            </w:pPr>
            <w:r w:rsidRPr="000B028B">
              <w:rPr>
                <w:rFonts w:ascii="Arial" w:eastAsia="Arial" w:hAnsi="Arial" w:cs="Arial"/>
                <w:b/>
                <w:bCs/>
                <w:kern w:val="0"/>
                <w:sz w:val="22"/>
                <w:szCs w:val="22"/>
                <w:lang w:val="lv-LV"/>
                <w14:ligatures w14:val="none"/>
              </w:rPr>
              <w:t> </w:t>
            </w:r>
            <w:r w:rsidRPr="000B028B">
              <w:rPr>
                <w:rFonts w:ascii="Arial" w:eastAsia="Arial" w:hAnsi="Arial" w:cs="Arial"/>
                <w:b/>
                <w:bCs/>
                <w:noProof/>
                <w:kern w:val="0"/>
                <w:sz w:val="22"/>
                <w:szCs w:val="22"/>
                <w:lang w:val="lv-LV"/>
                <w14:ligatures w14:val="none"/>
              </w:rPr>
              <w:drawing>
                <wp:inline distT="0" distB="0" distL="0" distR="0" wp14:anchorId="3A7D5E53" wp14:editId="015214EE">
                  <wp:extent cx="1257300" cy="868680"/>
                  <wp:effectExtent l="0" t="0" r="0" b="7620"/>
                  <wp:docPr id="1940839932" name="Picture 5" descr="A blue flag with yellow stars&#10;&#10;Description automatically generated,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A blue flag with yellow stars&#10;&#10;Description automatically generated,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868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B028B">
              <w:rPr>
                <w:rFonts w:ascii="Arial" w:eastAsia="Arial" w:hAnsi="Arial" w:cs="Arial"/>
                <w:b/>
                <w:bCs/>
                <w:kern w:val="0"/>
                <w:sz w:val="22"/>
                <w:szCs w:val="22"/>
                <w:lang w:val="lv-LV"/>
                <w14:ligatures w14:val="none"/>
              </w:rPr>
              <w:t> 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C9BCC8" w14:textId="6081712C" w:rsidR="000B028B" w:rsidRPr="000B028B" w:rsidRDefault="000B028B" w:rsidP="000B028B">
            <w:pPr>
              <w:spacing w:before="120" w:after="120" w:line="240" w:lineRule="auto"/>
              <w:jc w:val="both"/>
              <w:outlineLvl w:val="1"/>
              <w:rPr>
                <w:rFonts w:ascii="Arial" w:eastAsia="Arial" w:hAnsi="Arial" w:cs="Arial"/>
                <w:b/>
                <w:bCs/>
                <w:kern w:val="0"/>
                <w:sz w:val="22"/>
                <w:szCs w:val="22"/>
                <w:lang w:val="lv-LV"/>
                <w14:ligatures w14:val="none"/>
              </w:rPr>
            </w:pPr>
            <w:r>
              <w:rPr>
                <w:noProof/>
                <w:color w:val="2B579A"/>
                <w:shd w:val="clear" w:color="auto" w:fill="E6E6E6"/>
              </w:rPr>
              <w:drawing>
                <wp:anchor distT="0" distB="0" distL="114300" distR="114300" simplePos="0" relativeHeight="251658240" behindDoc="1" locked="0" layoutInCell="1" hidden="0" allowOverlap="1" wp14:anchorId="7463B9D2" wp14:editId="36750E1B">
                  <wp:simplePos x="0" y="0"/>
                  <wp:positionH relativeFrom="margin">
                    <wp:posOffset>76200</wp:posOffset>
                  </wp:positionH>
                  <wp:positionV relativeFrom="paragraph">
                    <wp:posOffset>266700</wp:posOffset>
                  </wp:positionV>
                  <wp:extent cx="1301750" cy="680720"/>
                  <wp:effectExtent l="0" t="0" r="0" b="5080"/>
                  <wp:wrapTopAndBottom/>
                  <wp:docPr id="4" name="Picture 4" descr="A red sign with white text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red sign with white text&#10;&#10;Description automatically generated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750" cy="6807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B028B">
              <w:rPr>
                <w:rFonts w:ascii="Arial" w:eastAsia="Arial" w:hAnsi="Arial" w:cs="Arial"/>
                <w:b/>
                <w:bCs/>
                <w:kern w:val="0"/>
                <w:sz w:val="22"/>
                <w:szCs w:val="22"/>
                <w:lang w:val="lv-LV"/>
                <w14:ligatures w14:val="none"/>
              </w:rPr>
              <w:t>  </w:t>
            </w:r>
          </w:p>
        </w:tc>
      </w:tr>
    </w:tbl>
    <w:bookmarkEnd w:id="0"/>
    <w:p w14:paraId="344A8605" w14:textId="757EBD2C" w:rsidR="000B028B" w:rsidRPr="007D04DB" w:rsidRDefault="007D04DB" w:rsidP="63A0963D">
      <w:pPr>
        <w:spacing w:before="120" w:after="120" w:line="240" w:lineRule="auto"/>
        <w:jc w:val="both"/>
        <w:outlineLvl w:val="1"/>
        <w:rPr>
          <w:rFonts w:ascii="Roboto" w:eastAsia="Arial" w:hAnsi="Roboto" w:cs="Arial"/>
          <w:kern w:val="0"/>
          <w:sz w:val="22"/>
          <w:szCs w:val="22"/>
          <w14:ligatures w14:val="none"/>
        </w:rPr>
      </w:pPr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2025 birželio </w:t>
      </w:r>
      <w:r w:rsidRPr="007D04DB">
        <w:rPr>
          <w:rFonts w:ascii="Roboto" w:eastAsia="Arial" w:hAnsi="Roboto" w:cs="Arial"/>
          <w:kern w:val="0"/>
          <w:sz w:val="22"/>
          <w:szCs w:val="22"/>
          <w14:ligatures w14:val="none"/>
        </w:rPr>
        <w:t>2 d.</w:t>
      </w:r>
    </w:p>
    <w:p w14:paraId="7634D0EB" w14:textId="569F31E8" w:rsidR="00A704B9" w:rsidRPr="007D04DB" w:rsidRDefault="00A704B9" w:rsidP="63A0963D">
      <w:pPr>
        <w:spacing w:before="120" w:after="120" w:line="240" w:lineRule="auto"/>
        <w:jc w:val="both"/>
        <w:outlineLvl w:val="1"/>
        <w:rPr>
          <w:rFonts w:ascii="Roboto" w:eastAsia="Arial" w:hAnsi="Roboto" w:cs="Arial"/>
          <w:b/>
          <w:bCs/>
          <w:kern w:val="0"/>
          <w:lang w:val="lt-LT"/>
          <w14:ligatures w14:val="none"/>
        </w:rPr>
      </w:pPr>
      <w:r w:rsidRPr="007D04DB">
        <w:rPr>
          <w:rFonts w:ascii="Roboto" w:eastAsia="Arial" w:hAnsi="Roboto" w:cs="Arial"/>
          <w:b/>
          <w:bCs/>
          <w:kern w:val="0"/>
          <w:lang w:val="lt-LT"/>
          <w14:ligatures w14:val="none"/>
        </w:rPr>
        <w:t>„Citadele“ bankas</w:t>
      </w:r>
      <w:r w:rsidR="00DB5285" w:rsidRPr="007D04DB">
        <w:rPr>
          <w:rFonts w:ascii="Roboto" w:eastAsia="Arial" w:hAnsi="Roboto" w:cs="Arial"/>
          <w:b/>
          <w:bCs/>
          <w:kern w:val="0"/>
          <w:lang w:val="lt-LT"/>
          <w14:ligatures w14:val="none"/>
        </w:rPr>
        <w:t xml:space="preserve"> </w:t>
      </w:r>
      <w:r w:rsidRPr="007D04DB">
        <w:rPr>
          <w:rFonts w:ascii="Roboto" w:eastAsia="Arial" w:hAnsi="Roboto" w:cs="Arial"/>
          <w:b/>
          <w:bCs/>
          <w:kern w:val="0"/>
          <w:lang w:val="lt-LT"/>
          <w14:ligatures w14:val="none"/>
        </w:rPr>
        <w:t xml:space="preserve">Baltijos šalių įmonėms skirs </w:t>
      </w:r>
      <w:r w:rsidR="35EA44E9" w:rsidRPr="007D04DB">
        <w:rPr>
          <w:rFonts w:ascii="Roboto" w:eastAsia="Arial" w:hAnsi="Roboto" w:cs="Arial"/>
          <w:b/>
          <w:bCs/>
          <w:kern w:val="0"/>
          <w:lang w:val="lt-LT"/>
          <w14:ligatures w14:val="none"/>
        </w:rPr>
        <w:t xml:space="preserve">iki </w:t>
      </w:r>
      <w:r w:rsidRPr="007D04DB">
        <w:rPr>
          <w:rFonts w:ascii="Roboto" w:eastAsia="Arial" w:hAnsi="Roboto" w:cs="Arial"/>
          <w:b/>
          <w:bCs/>
          <w:kern w:val="0"/>
          <w:lang w:val="lt-LT"/>
          <w14:ligatures w14:val="none"/>
        </w:rPr>
        <w:t>138 mln. vertės lengvatinių paskolų</w:t>
      </w:r>
    </w:p>
    <w:p w14:paraId="4C70DE95" w14:textId="06940117" w:rsidR="00D607B4" w:rsidRPr="007D04DB" w:rsidRDefault="00D607B4" w:rsidP="63A0963D">
      <w:pPr>
        <w:pStyle w:val="ListParagraph"/>
        <w:numPr>
          <w:ilvl w:val="0"/>
          <w:numId w:val="3"/>
        </w:numPr>
        <w:spacing w:before="120" w:after="120" w:line="240" w:lineRule="auto"/>
        <w:jc w:val="both"/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</w:pPr>
      <w:r w:rsidRPr="007D04DB">
        <w:rPr>
          <w:rFonts w:ascii="Roboto" w:eastAsia="Arial" w:hAnsi="Roboto" w:cs="Arial"/>
          <w:b/>
          <w:bCs/>
          <w:kern w:val="0"/>
          <w:sz w:val="22"/>
          <w:szCs w:val="22"/>
          <w:lang w:val="lt-LT"/>
          <w14:ligatures w14:val="none"/>
        </w:rPr>
        <w:t>Baltijos šalių įmonėms numatoma skirti iki 138 mln. eurų lengvatini</w:t>
      </w:r>
      <w:r w:rsidR="008C5C63" w:rsidRPr="007D04DB">
        <w:rPr>
          <w:rFonts w:ascii="Roboto" w:eastAsia="Arial" w:hAnsi="Roboto" w:cs="Arial"/>
          <w:b/>
          <w:bCs/>
          <w:kern w:val="0"/>
          <w:sz w:val="22"/>
          <w:szCs w:val="22"/>
          <w:lang w:val="lt-LT"/>
          <w14:ligatures w14:val="none"/>
        </w:rPr>
        <w:t>ų paskolų</w:t>
      </w:r>
      <w:r w:rsidR="00D31F3C" w:rsidRPr="007D04DB">
        <w:rPr>
          <w:rFonts w:ascii="Roboto" w:eastAsia="Arial" w:hAnsi="Roboto" w:cs="Arial"/>
          <w:b/>
          <w:bCs/>
          <w:kern w:val="0"/>
          <w:sz w:val="22"/>
          <w:szCs w:val="22"/>
          <w:lang w:val="lt-LT"/>
          <w14:ligatures w14:val="none"/>
        </w:rPr>
        <w:t>.</w:t>
      </w:r>
    </w:p>
    <w:p w14:paraId="5FC74F9A" w14:textId="76FA915D" w:rsidR="00D607B4" w:rsidRPr="007D04DB" w:rsidRDefault="00D607B4" w:rsidP="63A0963D">
      <w:pPr>
        <w:pStyle w:val="ListParagraph"/>
        <w:numPr>
          <w:ilvl w:val="0"/>
          <w:numId w:val="3"/>
        </w:numPr>
        <w:spacing w:before="120" w:after="120" w:line="240" w:lineRule="auto"/>
        <w:jc w:val="both"/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</w:pPr>
      <w:r w:rsidRPr="007D04DB">
        <w:rPr>
          <w:rFonts w:ascii="Roboto" w:eastAsia="Arial" w:hAnsi="Roboto" w:cs="Arial"/>
          <w:b/>
          <w:bCs/>
          <w:kern w:val="0"/>
          <w:sz w:val="22"/>
          <w:szCs w:val="22"/>
          <w:lang w:val="lt-LT"/>
          <w14:ligatures w14:val="none"/>
        </w:rPr>
        <w:t>EIF garantijos leis „Citadele“ bankui teikti paskolas įvairiems Baltijos šalių verslams</w:t>
      </w:r>
      <w:r w:rsidR="00D31F3C" w:rsidRPr="007D04DB">
        <w:rPr>
          <w:rFonts w:ascii="Roboto" w:eastAsia="Arial" w:hAnsi="Roboto" w:cs="Arial"/>
          <w:b/>
          <w:bCs/>
          <w:kern w:val="0"/>
          <w:sz w:val="22"/>
          <w:szCs w:val="22"/>
          <w:lang w:val="lt-LT"/>
          <w14:ligatures w14:val="none"/>
        </w:rPr>
        <w:t>.</w:t>
      </w:r>
    </w:p>
    <w:p w14:paraId="7549847C" w14:textId="36263F3A" w:rsidR="00D607B4" w:rsidRPr="007D04DB" w:rsidRDefault="00D607B4" w:rsidP="63A0963D">
      <w:pPr>
        <w:pStyle w:val="ListParagraph"/>
        <w:numPr>
          <w:ilvl w:val="0"/>
          <w:numId w:val="3"/>
        </w:numPr>
        <w:spacing w:before="120" w:after="120" w:line="240" w:lineRule="auto"/>
        <w:jc w:val="both"/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</w:pPr>
      <w:r w:rsidRPr="007D04DB">
        <w:rPr>
          <w:rFonts w:ascii="Roboto" w:eastAsia="Arial" w:hAnsi="Roboto" w:cs="Arial"/>
          <w:b/>
          <w:bCs/>
          <w:kern w:val="0"/>
          <w:sz w:val="22"/>
          <w:szCs w:val="22"/>
          <w:lang w:val="lt-LT"/>
          <w14:ligatures w14:val="none"/>
        </w:rPr>
        <w:t>Šis susitarimas</w:t>
      </w:r>
      <w:r w:rsidR="00053723" w:rsidRPr="007D04DB">
        <w:rPr>
          <w:rFonts w:ascii="Roboto" w:eastAsia="Arial" w:hAnsi="Roboto" w:cs="Arial"/>
          <w:b/>
          <w:bCs/>
          <w:kern w:val="0"/>
          <w:sz w:val="22"/>
          <w:szCs w:val="22"/>
          <w:lang w:val="lt-LT"/>
          <w14:ligatures w14:val="none"/>
        </w:rPr>
        <w:t xml:space="preserve"> yra</w:t>
      </w:r>
      <w:r w:rsidRPr="007D04DB">
        <w:rPr>
          <w:rFonts w:ascii="Roboto" w:eastAsia="Arial" w:hAnsi="Roboto" w:cs="Arial"/>
          <w:b/>
          <w:bCs/>
          <w:kern w:val="0"/>
          <w:sz w:val="22"/>
          <w:szCs w:val="22"/>
          <w:lang w:val="lt-LT"/>
          <w14:ligatures w14:val="none"/>
        </w:rPr>
        <w:t xml:space="preserve"> „</w:t>
      </w:r>
      <w:proofErr w:type="spellStart"/>
      <w:r w:rsidRPr="007D04DB">
        <w:rPr>
          <w:rFonts w:ascii="Roboto" w:eastAsia="Arial" w:hAnsi="Roboto" w:cs="Arial"/>
          <w:b/>
          <w:bCs/>
          <w:kern w:val="0"/>
          <w:sz w:val="22"/>
          <w:szCs w:val="22"/>
          <w:lang w:val="lt-LT"/>
          <w14:ligatures w14:val="none"/>
        </w:rPr>
        <w:t>InvestEU</w:t>
      </w:r>
      <w:proofErr w:type="spellEnd"/>
      <w:r w:rsidRPr="007D04DB">
        <w:rPr>
          <w:rFonts w:ascii="Roboto" w:eastAsia="Arial" w:hAnsi="Roboto" w:cs="Arial"/>
          <w:b/>
          <w:bCs/>
          <w:kern w:val="0"/>
          <w:sz w:val="22"/>
          <w:szCs w:val="22"/>
          <w:lang w:val="lt-LT"/>
          <w14:ligatures w14:val="none"/>
        </w:rPr>
        <w:t>“ programos dalis</w:t>
      </w:r>
      <w:r w:rsidR="00053723" w:rsidRPr="007D04DB">
        <w:rPr>
          <w:rFonts w:ascii="Roboto" w:eastAsia="Arial" w:hAnsi="Roboto" w:cs="Arial"/>
          <w:b/>
          <w:bCs/>
          <w:kern w:val="0"/>
          <w:sz w:val="22"/>
          <w:szCs w:val="22"/>
          <w:lang w:val="lt-LT"/>
          <w14:ligatures w14:val="none"/>
        </w:rPr>
        <w:t>, kuri</w:t>
      </w:r>
      <w:r w:rsidRPr="007D04DB">
        <w:rPr>
          <w:rFonts w:ascii="Roboto" w:eastAsia="Arial" w:hAnsi="Roboto" w:cs="Arial"/>
          <w:b/>
          <w:bCs/>
          <w:kern w:val="0"/>
          <w:sz w:val="22"/>
          <w:szCs w:val="22"/>
          <w:lang w:val="lt-LT"/>
          <w14:ligatures w14:val="none"/>
        </w:rPr>
        <w:t xml:space="preserve"> padidins darbo vietų skaičių, konkurencingumą ir investicijas visame </w:t>
      </w:r>
      <w:r w:rsidR="00D10B3B" w:rsidRPr="007D04DB">
        <w:rPr>
          <w:rFonts w:ascii="Roboto" w:eastAsia="Arial" w:hAnsi="Roboto" w:cs="Arial"/>
          <w:b/>
          <w:bCs/>
          <w:kern w:val="0"/>
          <w:sz w:val="22"/>
          <w:szCs w:val="22"/>
          <w:lang w:val="lt-LT"/>
          <w14:ligatures w14:val="none"/>
        </w:rPr>
        <w:t xml:space="preserve">Baltijos </w:t>
      </w:r>
      <w:r w:rsidRPr="007D04DB">
        <w:rPr>
          <w:rFonts w:ascii="Roboto" w:eastAsia="Arial" w:hAnsi="Roboto" w:cs="Arial"/>
          <w:b/>
          <w:bCs/>
          <w:kern w:val="0"/>
          <w:sz w:val="22"/>
          <w:szCs w:val="22"/>
          <w:lang w:val="lt-LT"/>
          <w14:ligatures w14:val="none"/>
        </w:rPr>
        <w:t>regione</w:t>
      </w:r>
      <w:r w:rsidR="00873A6D" w:rsidRPr="007D04DB">
        <w:rPr>
          <w:rFonts w:ascii="Roboto" w:eastAsia="Arial" w:hAnsi="Roboto" w:cs="Arial"/>
          <w:b/>
          <w:bCs/>
          <w:kern w:val="0"/>
          <w:sz w:val="22"/>
          <w:szCs w:val="22"/>
          <w:lang w:val="lt-LT"/>
          <w14:ligatures w14:val="none"/>
        </w:rPr>
        <w:t>.</w:t>
      </w:r>
    </w:p>
    <w:p w14:paraId="57B30441" w14:textId="3EE7F806" w:rsidR="00A704B9" w:rsidRPr="007D04DB" w:rsidRDefault="00A704B9" w:rsidP="63A0963D">
      <w:pPr>
        <w:spacing w:before="120" w:after="120" w:line="240" w:lineRule="auto"/>
        <w:jc w:val="both"/>
        <w:outlineLvl w:val="2"/>
        <w:rPr>
          <w:rFonts w:ascii="Roboto" w:eastAsia="Arial" w:hAnsi="Roboto" w:cs="Arial"/>
          <w:b/>
          <w:bCs/>
          <w:kern w:val="0"/>
          <w:sz w:val="22"/>
          <w:szCs w:val="22"/>
          <w:lang w:val="lt-LT"/>
          <w14:ligatures w14:val="none"/>
        </w:rPr>
      </w:pPr>
      <w:r w:rsidRPr="007D04DB">
        <w:rPr>
          <w:rFonts w:ascii="Roboto" w:eastAsia="Arial" w:hAnsi="Roboto" w:cs="Arial"/>
          <w:b/>
          <w:bCs/>
          <w:kern w:val="0"/>
          <w:sz w:val="22"/>
          <w:szCs w:val="22"/>
          <w:lang w:val="lt-LT"/>
          <w14:ligatures w14:val="none"/>
        </w:rPr>
        <w:t>Finansavimas Baltijos šalių verslui: kam</w:t>
      </w:r>
      <w:r w:rsidR="6AB1C7C6" w:rsidRPr="007D04DB">
        <w:rPr>
          <w:rFonts w:ascii="Roboto" w:eastAsia="Arial" w:hAnsi="Roboto" w:cs="Arial"/>
          <w:b/>
          <w:bCs/>
          <w:kern w:val="0"/>
          <w:sz w:val="22"/>
          <w:szCs w:val="22"/>
          <w:lang w:val="lt-LT"/>
          <w14:ligatures w14:val="none"/>
        </w:rPr>
        <w:t xml:space="preserve"> jis skirtas</w:t>
      </w:r>
      <w:r w:rsidRPr="007D04DB">
        <w:rPr>
          <w:rFonts w:ascii="Roboto" w:eastAsia="Arial" w:hAnsi="Roboto" w:cs="Arial"/>
          <w:b/>
          <w:bCs/>
          <w:kern w:val="0"/>
          <w:sz w:val="22"/>
          <w:szCs w:val="22"/>
          <w:lang w:val="lt-LT"/>
          <w14:ligatures w14:val="none"/>
        </w:rPr>
        <w:t xml:space="preserve"> ir </w:t>
      </w:r>
      <w:r w:rsidR="5D062E69" w:rsidRPr="007D04DB">
        <w:rPr>
          <w:rFonts w:ascii="Roboto" w:eastAsia="Arial" w:hAnsi="Roboto" w:cs="Arial"/>
          <w:b/>
          <w:bCs/>
          <w:kern w:val="0"/>
          <w:sz w:val="22"/>
          <w:szCs w:val="22"/>
          <w:lang w:val="lt-LT"/>
          <w14:ligatures w14:val="none"/>
        </w:rPr>
        <w:t>kokio dydžio</w:t>
      </w:r>
      <w:r w:rsidRPr="007D04DB">
        <w:rPr>
          <w:rFonts w:ascii="Roboto" w:eastAsia="Arial" w:hAnsi="Roboto" w:cs="Arial"/>
          <w:b/>
          <w:bCs/>
          <w:kern w:val="0"/>
          <w:sz w:val="22"/>
          <w:szCs w:val="22"/>
          <w:lang w:val="lt-LT"/>
          <w14:ligatures w14:val="none"/>
        </w:rPr>
        <w:t>?</w:t>
      </w:r>
    </w:p>
    <w:p w14:paraId="3D6898EC" w14:textId="5476AE10" w:rsidR="00550F39" w:rsidRPr="007D04DB" w:rsidRDefault="00A704B9" w:rsidP="63A0963D">
      <w:pPr>
        <w:spacing w:before="120" w:after="120" w:line="240" w:lineRule="auto"/>
        <w:jc w:val="both"/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</w:pPr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„Citadel</w:t>
      </w:r>
      <w:r w:rsidR="008B1ADF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e“ b</w:t>
      </w:r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anko paskolos, kurių bendra suma sieks iki 100 mln. eurų, bus skirtos smulkiajam ir vidutiniam verslui visose Baltijos šalyse. </w:t>
      </w:r>
      <w:proofErr w:type="spellStart"/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Mikroįmonės</w:t>
      </w:r>
      <w:proofErr w:type="spellEnd"/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, t. y. turinčios mažiau nei 10 darbuotojų, galės pasinaudoti iki 38 mln. eurų finansavimo galimybe.</w:t>
      </w:r>
      <w:r w:rsidR="00BF78D5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 </w:t>
      </w:r>
    </w:p>
    <w:p w14:paraId="09B7198B" w14:textId="0E450EB8" w:rsidR="00A704B9" w:rsidRPr="007D04DB" w:rsidRDefault="00BF78D5" w:rsidP="0074095B">
      <w:pPr>
        <w:spacing w:before="120" w:after="120" w:line="240" w:lineRule="auto"/>
        <w:jc w:val="both"/>
        <w:rPr>
          <w:rFonts w:ascii="Roboto" w:eastAsia="Times New Roman" w:hAnsi="Roboto" w:cs="Times New Roman"/>
          <w:color w:val="000000"/>
          <w:kern w:val="0"/>
          <w:sz w:val="22"/>
          <w:szCs w:val="22"/>
          <w:lang w:val="lt-LT"/>
          <w14:ligatures w14:val="none"/>
        </w:rPr>
      </w:pPr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Šiuo metu </w:t>
      </w:r>
      <w:proofErr w:type="spellStart"/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mikroįmonės</w:t>
      </w:r>
      <w:proofErr w:type="spellEnd"/>
      <w:r w:rsidR="0080159D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 vaidina svarbų vaidmenį Baltijos šalių ekonomikoje</w:t>
      </w:r>
      <w:r w:rsidR="00B95086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 – </w:t>
      </w:r>
      <w:r w:rsidR="0080159D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Estijoje jos sudaro </w:t>
      </w:r>
      <w:r w:rsidR="00D40FB2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95</w:t>
      </w:r>
      <w:r w:rsidR="0080159D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 </w:t>
      </w:r>
      <w:r w:rsidR="00910CC9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proc.</w:t>
      </w:r>
      <w:r w:rsidR="0080159D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, Latvijoje – 9</w:t>
      </w:r>
      <w:r w:rsidR="005C34CE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3</w:t>
      </w:r>
      <w:r w:rsidR="0080159D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 </w:t>
      </w:r>
      <w:r w:rsidR="00910CC9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proc.</w:t>
      </w:r>
      <w:r w:rsidR="0080159D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, o Lietuvoje – </w:t>
      </w:r>
      <w:r w:rsidR="005C34CE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95</w:t>
      </w:r>
      <w:r w:rsidR="0080159D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 </w:t>
      </w:r>
      <w:r w:rsidR="00910CC9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proc.</w:t>
      </w:r>
      <w:r w:rsidR="00051663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 visų įmonių.</w:t>
      </w:r>
      <w:r w:rsidR="00550F39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 </w:t>
      </w:r>
      <w:r w:rsidR="613F7535" w:rsidRPr="007D04DB">
        <w:rPr>
          <w:rFonts w:ascii="Roboto" w:eastAsia="Arial" w:hAnsi="Roboto" w:cs="Arial"/>
          <w:sz w:val="22"/>
          <w:szCs w:val="22"/>
          <w:lang w:val="lt-LT"/>
        </w:rPr>
        <w:t>Paskolų gavėjams bus taikomos palankios sąlygos – mažos palūkanos bei sumažinti arba net visai nereikalaujami užstato ir pradinio įnašo reikalavimai.</w:t>
      </w:r>
    </w:p>
    <w:p w14:paraId="505B9A80" w14:textId="73C0266C" w:rsidR="00A704B9" w:rsidRPr="007D04DB" w:rsidRDefault="00A704B9" w:rsidP="63A0963D">
      <w:pPr>
        <w:spacing w:before="120" w:after="120" w:line="240" w:lineRule="auto"/>
        <w:jc w:val="both"/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</w:pPr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Europos investicijų fondas yra Europos investicijų banko (EIB) grupės dalis. Šį susitarimą pavyko įgyvendinti pasinaudojus Europos Komisijos išleista </w:t>
      </w:r>
      <w:r w:rsidR="00B00EDD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„</w:t>
      </w:r>
      <w:proofErr w:type="spellStart"/>
      <w:r w:rsidR="00B00EDD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InvestEU</w:t>
      </w:r>
      <w:proofErr w:type="spellEnd"/>
      <w:r w:rsidR="00B00EDD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“ </w:t>
      </w:r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programa</w:t>
      </w:r>
      <w:r w:rsidR="00B00EDD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. </w:t>
      </w:r>
    </w:p>
    <w:p w14:paraId="5459FAFC" w14:textId="6697299C" w:rsidR="00A704B9" w:rsidRPr="007D04DB" w:rsidRDefault="007058AF" w:rsidP="63A0963D">
      <w:pPr>
        <w:spacing w:before="120" w:after="120" w:line="240" w:lineRule="auto"/>
        <w:jc w:val="both"/>
        <w:outlineLvl w:val="2"/>
        <w:rPr>
          <w:rFonts w:ascii="Roboto" w:eastAsia="Arial" w:hAnsi="Roboto" w:cs="Arial"/>
          <w:b/>
          <w:bCs/>
          <w:kern w:val="0"/>
          <w:sz w:val="22"/>
          <w:szCs w:val="22"/>
          <w:lang w:val="lt-LT"/>
          <w14:ligatures w14:val="none"/>
        </w:rPr>
      </w:pPr>
      <w:r w:rsidRPr="007D04DB">
        <w:rPr>
          <w:rFonts w:ascii="Roboto" w:eastAsia="Arial" w:hAnsi="Roboto" w:cs="Arial"/>
          <w:b/>
          <w:bCs/>
          <w:sz w:val="22"/>
          <w:szCs w:val="22"/>
          <w:lang w:val="lt-LT"/>
        </w:rPr>
        <w:t xml:space="preserve">Bendros pastangos ir atsakomybė </w:t>
      </w:r>
      <w:r w:rsidR="00EB3769" w:rsidRPr="007D04DB">
        <w:rPr>
          <w:rFonts w:ascii="Roboto" w:eastAsia="Arial" w:hAnsi="Roboto" w:cs="Arial"/>
          <w:b/>
          <w:bCs/>
          <w:sz w:val="22"/>
          <w:szCs w:val="22"/>
          <w:lang w:val="lt-LT"/>
        </w:rPr>
        <w:t>neapibrėžtumo laikais</w:t>
      </w:r>
    </w:p>
    <w:p w14:paraId="1AFE7DC6" w14:textId="1CDEE4FE" w:rsidR="00A704B9" w:rsidRPr="007D04DB" w:rsidRDefault="00A704B9" w:rsidP="63A0963D">
      <w:pPr>
        <w:spacing w:before="120" w:after="120" w:line="240" w:lineRule="auto"/>
        <w:jc w:val="both"/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</w:pPr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„Mūsų parama Baltijos šalių įmonėms didina darbo vietų </w:t>
      </w:r>
      <w:r w:rsidR="007058AF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skaičių</w:t>
      </w:r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, palengvina nauj</w:t>
      </w:r>
      <w:r w:rsidR="007058AF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ų</w:t>
      </w:r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 investicij</w:t>
      </w:r>
      <w:r w:rsidR="007058AF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ų pritraukimą</w:t>
      </w:r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 ir stiprina vietinių įmonių konkurencingumą</w:t>
      </w:r>
      <w:r w:rsidR="007058AF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 </w:t>
      </w:r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ekonominio neapibrėžtumo bei tarptautinės prekybos iššūkių laikais. Tai puikus pavyzdys, kaip Europos </w:t>
      </w:r>
      <w:r w:rsidR="007058AF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šalių </w:t>
      </w:r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bendradarbiavimas gali atverti naujas investavimo galimybes net mažiausioms įmonėms</w:t>
      </w:r>
      <w:r w:rsidR="0084155F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“</w:t>
      </w:r>
      <w:r w:rsidR="00B34087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, – </w:t>
      </w:r>
      <w:r w:rsidR="003F3EE8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teigė EIF generalinė direktorė </w:t>
      </w:r>
      <w:r w:rsidR="56EB973F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 </w:t>
      </w:r>
      <w:proofErr w:type="spellStart"/>
      <w:r w:rsidR="003F3EE8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Marjut</w:t>
      </w:r>
      <w:proofErr w:type="spellEnd"/>
      <w:r w:rsidR="003F3EE8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 </w:t>
      </w:r>
      <w:proofErr w:type="spellStart"/>
      <w:r w:rsidR="003F3EE8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Falkstedt</w:t>
      </w:r>
      <w:proofErr w:type="spellEnd"/>
      <w:r w:rsidR="003756D1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. </w:t>
      </w:r>
      <w:r w:rsidR="003F3EE8" w:rsidRPr="007D04DB" w:rsidDel="003F3EE8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 </w:t>
      </w:r>
    </w:p>
    <w:p w14:paraId="23EA4A42" w14:textId="6E2D3933" w:rsidR="0072481B" w:rsidRPr="007D04DB" w:rsidRDefault="0072481B" w:rsidP="63A0963D">
      <w:pPr>
        <w:spacing w:before="120" w:after="120" w:line="240" w:lineRule="auto"/>
        <w:jc w:val="both"/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</w:pPr>
      <w:r w:rsidRPr="007D04DB">
        <w:rPr>
          <w:rFonts w:ascii="Roboto" w:eastAsia="Arial" w:hAnsi="Roboto" w:cs="Arial"/>
          <w:sz w:val="22"/>
          <w:szCs w:val="22"/>
          <w:lang w:val="lt-LT"/>
        </w:rPr>
        <w:t xml:space="preserve">Šis finansinis įsipareigojimas </w:t>
      </w:r>
      <w:r w:rsidR="00737758" w:rsidRPr="007D04DB">
        <w:rPr>
          <w:rFonts w:ascii="Roboto" w:eastAsia="Arial" w:hAnsi="Roboto" w:cs="Arial"/>
          <w:sz w:val="22"/>
          <w:szCs w:val="22"/>
          <w:lang w:val="lt-LT"/>
        </w:rPr>
        <w:t>rodo</w:t>
      </w:r>
      <w:r w:rsidRPr="007D04DB">
        <w:rPr>
          <w:rFonts w:ascii="Roboto" w:eastAsia="Arial" w:hAnsi="Roboto" w:cs="Arial"/>
          <w:sz w:val="22"/>
          <w:szCs w:val="22"/>
          <w:lang w:val="lt-LT"/>
        </w:rPr>
        <w:t xml:space="preserve"> itin svarbų mažų ir vidutinių įmonių vaidmenį </w:t>
      </w:r>
      <w:r w:rsidR="00737758" w:rsidRPr="007D04DB">
        <w:rPr>
          <w:rFonts w:ascii="Roboto" w:eastAsia="Arial" w:hAnsi="Roboto" w:cs="Arial"/>
          <w:sz w:val="22"/>
          <w:szCs w:val="22"/>
          <w:lang w:val="lt-LT"/>
        </w:rPr>
        <w:t xml:space="preserve">viso </w:t>
      </w:r>
      <w:r w:rsidRPr="007D04DB">
        <w:rPr>
          <w:rFonts w:ascii="Roboto" w:eastAsia="Arial" w:hAnsi="Roboto" w:cs="Arial"/>
          <w:sz w:val="22"/>
          <w:szCs w:val="22"/>
          <w:lang w:val="lt-LT"/>
        </w:rPr>
        <w:t>regiono ekonomikoje.</w:t>
      </w:r>
    </w:p>
    <w:p w14:paraId="05F71E9A" w14:textId="693FF3C2" w:rsidR="00B235CE" w:rsidRPr="007D04DB" w:rsidRDefault="00A704B9" w:rsidP="63A0963D">
      <w:pPr>
        <w:spacing w:before="120" w:after="120" w:line="240" w:lineRule="auto"/>
        <w:jc w:val="both"/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</w:pPr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„Vidutinės, mažos ir </w:t>
      </w:r>
      <w:r w:rsidR="007058AF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labai mažos įmonės</w:t>
      </w:r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 yra itin svarbios Baltijos šalių ekonomikai ir tapatybei</w:t>
      </w:r>
      <w:r w:rsidR="006740F6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. </w:t>
      </w:r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Jos dažnai </w:t>
      </w:r>
      <w:r w:rsidR="007058AF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atliepia regioninių bendruomenių poreikius, kuria naujas darbo vietas, skatina inovacijas ir taip gerina bendrą ekonominę situaciją šalyje. </w:t>
      </w:r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Ši programa </w:t>
      </w:r>
      <w:r w:rsidR="007058AF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padės jaunoms įmonėms pereiti finansavimo barjerą ir atvers galimybes naujiems plėtros planams. Tikimės, kad tai ženkliai prisidės prie bendro ekonominio augimo visame Baltijos šalių regione</w:t>
      </w:r>
      <w:r w:rsidR="00157D2B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“</w:t>
      </w:r>
      <w:r w:rsidR="00B121C2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 , – pabrėžė </w:t>
      </w:r>
      <w:r w:rsidR="55CE4D22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 </w:t>
      </w:r>
      <w:r w:rsidR="00B121C2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Rūta Ežerskienė, „Citadele</w:t>
      </w:r>
      <w:r w:rsidR="00E26B14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“</w:t>
      </w:r>
      <w:r w:rsidR="00B121C2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 banko generalinė direktorė.</w:t>
      </w:r>
    </w:p>
    <w:p w14:paraId="0FFFE778" w14:textId="14E16009" w:rsidR="00A704B9" w:rsidRPr="007D04DB" w:rsidRDefault="00A704B9" w:rsidP="63A0963D">
      <w:pPr>
        <w:spacing w:before="120" w:after="120" w:line="240" w:lineRule="auto"/>
        <w:jc w:val="both"/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</w:pPr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Pagal susitarimą su EIF, </w:t>
      </w:r>
      <w:r w:rsidR="00615661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„</w:t>
      </w:r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Citadele</w:t>
      </w:r>
      <w:r w:rsidR="000308CE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“</w:t>
      </w:r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 bankas</w:t>
      </w:r>
      <w:r w:rsidR="00615661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 per trejus metus turės suformuoti paskolų port</w:t>
      </w:r>
      <w:r w:rsidR="00FA0801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fe</w:t>
      </w:r>
      <w:r w:rsidR="00615661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lį, o didžiausia individualaus finansavimo suma sieks 1 mln. eurų.</w:t>
      </w:r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 </w:t>
      </w:r>
      <w:r w:rsidR="00615661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Bankas, įgyvendindamas</w:t>
      </w:r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 skolinimo procesą,</w:t>
      </w:r>
      <w:r w:rsidR="004E7004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 įmonėms </w:t>
      </w:r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teiks konsultacinę pagalbą</w:t>
      </w:r>
      <w:r w:rsidR="004E7004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. </w:t>
      </w:r>
    </w:p>
    <w:p w14:paraId="59B1F5B1" w14:textId="7FBB956A" w:rsidR="00A704B9" w:rsidRPr="007D04DB" w:rsidRDefault="00615661" w:rsidP="63A0963D">
      <w:pPr>
        <w:spacing w:before="120" w:after="120" w:line="240" w:lineRule="auto"/>
        <w:jc w:val="both"/>
        <w:outlineLvl w:val="2"/>
        <w:rPr>
          <w:rFonts w:ascii="Roboto" w:eastAsia="Arial" w:hAnsi="Roboto" w:cs="Arial"/>
          <w:b/>
          <w:bCs/>
          <w:kern w:val="0"/>
          <w:sz w:val="22"/>
          <w:szCs w:val="22"/>
          <w:lang w:val="lt-LT"/>
          <w14:ligatures w14:val="none"/>
        </w:rPr>
      </w:pPr>
      <w:r w:rsidRPr="007D04DB">
        <w:rPr>
          <w:rFonts w:ascii="Roboto" w:eastAsia="Arial" w:hAnsi="Roboto" w:cs="Arial"/>
          <w:b/>
          <w:bCs/>
          <w:kern w:val="0"/>
          <w:sz w:val="22"/>
          <w:szCs w:val="22"/>
          <w:lang w:val="lt-LT"/>
          <w14:ligatures w14:val="none"/>
        </w:rPr>
        <w:t xml:space="preserve">Daugiau informacijos </w:t>
      </w:r>
    </w:p>
    <w:p w14:paraId="1B2B7692" w14:textId="2DDB0D9A" w:rsidR="00A704B9" w:rsidRPr="007D04DB" w:rsidRDefault="00A704B9" w:rsidP="63A0963D">
      <w:pPr>
        <w:spacing w:before="120" w:after="120" w:line="240" w:lineRule="auto"/>
        <w:jc w:val="both"/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</w:pPr>
      <w:r w:rsidRPr="007D04DB">
        <w:rPr>
          <w:rFonts w:ascii="Roboto" w:eastAsia="Arial" w:hAnsi="Roboto" w:cs="Arial"/>
          <w:b/>
          <w:bCs/>
          <w:kern w:val="0"/>
          <w:sz w:val="22"/>
          <w:szCs w:val="22"/>
          <w:lang w:val="lt-LT"/>
          <w14:ligatures w14:val="none"/>
        </w:rPr>
        <w:lastRenderedPageBreak/>
        <w:t>EIF:</w:t>
      </w:r>
    </w:p>
    <w:p w14:paraId="6D708EC3" w14:textId="703ECC2B" w:rsidR="00A704B9" w:rsidRPr="007D04DB" w:rsidRDefault="00A704B9" w:rsidP="63A0963D">
      <w:pPr>
        <w:spacing w:before="120" w:after="120" w:line="240" w:lineRule="auto"/>
        <w:jc w:val="both"/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</w:pPr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Europos investicijų fondas yra Europos investicijų banko (EIB) grupės dalis. Pagrindinė jo misija – remti Europos smulkųjį ir vidutinį verslą (SVV), padedant jiems gauti finansavimą. EIF kuria ir plėtoja </w:t>
      </w:r>
      <w:r w:rsidR="00BE6FAD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šio rinkos segment</w:t>
      </w:r>
      <w:r w:rsidR="00F67246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o</w:t>
      </w:r>
      <w:r w:rsidR="00BE6FAD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 </w:t>
      </w:r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rizikos ir augimo kapitalo, garantijų bei </w:t>
      </w:r>
      <w:proofErr w:type="spellStart"/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mikrofinansavimo</w:t>
      </w:r>
      <w:proofErr w:type="spellEnd"/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 priemones. </w:t>
      </w:r>
      <w:r w:rsidR="00947427" w:rsidRPr="007D04DB">
        <w:rPr>
          <w:rFonts w:ascii="Roboto" w:eastAsia="Arial" w:hAnsi="Roboto" w:cs="Arial"/>
          <w:sz w:val="22"/>
          <w:szCs w:val="22"/>
          <w:lang w:val="lt-LT"/>
        </w:rPr>
        <w:t>Pagrindiniai Europos</w:t>
      </w:r>
      <w:r w:rsidR="00C83DAD" w:rsidRPr="007D04DB">
        <w:rPr>
          <w:rFonts w:ascii="Roboto" w:eastAsia="Arial" w:hAnsi="Roboto" w:cs="Arial"/>
          <w:sz w:val="22"/>
          <w:szCs w:val="22"/>
          <w:lang w:val="lt-LT"/>
        </w:rPr>
        <w:t xml:space="preserve"> </w:t>
      </w:r>
      <w:r w:rsidR="00947427" w:rsidRPr="007D04DB">
        <w:rPr>
          <w:rFonts w:ascii="Roboto" w:eastAsia="Arial" w:hAnsi="Roboto" w:cs="Arial"/>
          <w:sz w:val="22"/>
          <w:szCs w:val="22"/>
          <w:lang w:val="lt-LT"/>
        </w:rPr>
        <w:t>Sąjungos politikos tikslai, kuriuos EIF stengiasi įgyvendinti, apima</w:t>
      </w:r>
      <w:r w:rsidR="00947427" w:rsidRPr="007D04DB">
        <w:rPr>
          <w:rStyle w:val="apple-converted-space"/>
          <w:rFonts w:ascii="Roboto" w:eastAsia="Arial" w:hAnsi="Roboto" w:cs="Arial"/>
          <w:sz w:val="22"/>
          <w:szCs w:val="22"/>
          <w:lang w:val="lt-LT"/>
        </w:rPr>
        <w:t> </w:t>
      </w:r>
      <w:r w:rsidR="00947427" w:rsidRPr="007D04DB">
        <w:rPr>
          <w:rStyle w:val="Strong"/>
          <w:rFonts w:ascii="Roboto" w:eastAsia="Arial" w:hAnsi="Roboto" w:cs="Arial"/>
          <w:b w:val="0"/>
          <w:bCs w:val="0"/>
          <w:sz w:val="22"/>
          <w:szCs w:val="22"/>
          <w:lang w:val="lt-LT"/>
        </w:rPr>
        <w:t xml:space="preserve">konkurencingumo didinimą ir augimo skatinimą, inovacijų ir </w:t>
      </w:r>
      <w:proofErr w:type="spellStart"/>
      <w:r w:rsidR="00947427" w:rsidRPr="007D04DB">
        <w:rPr>
          <w:rStyle w:val="Strong"/>
          <w:rFonts w:ascii="Roboto" w:eastAsia="Arial" w:hAnsi="Roboto" w:cs="Arial"/>
          <w:b w:val="0"/>
          <w:bCs w:val="0"/>
          <w:sz w:val="22"/>
          <w:szCs w:val="22"/>
          <w:lang w:val="lt-LT"/>
        </w:rPr>
        <w:t>skaitmenizacijos</w:t>
      </w:r>
      <w:proofErr w:type="spellEnd"/>
      <w:r w:rsidR="00947427" w:rsidRPr="007D04DB">
        <w:rPr>
          <w:rStyle w:val="Strong"/>
          <w:rFonts w:ascii="Roboto" w:eastAsia="Arial" w:hAnsi="Roboto" w:cs="Arial"/>
          <w:b w:val="0"/>
          <w:bCs w:val="0"/>
          <w:sz w:val="22"/>
          <w:szCs w:val="22"/>
          <w:lang w:val="lt-LT"/>
        </w:rPr>
        <w:t xml:space="preserve"> plėtojimą, socialinės gerovės užtikrinimą, žmogiškojo kapitalo ir įgūdžių ugdymą bei klimato ir aplinkos tvarumo palaikymą.</w:t>
      </w:r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 EIF ir </w:t>
      </w:r>
      <w:r w:rsidR="00615661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„</w:t>
      </w:r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Citadele</w:t>
      </w:r>
      <w:r w:rsidR="00615661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” bendradarbiavo ir anksčiau:</w:t>
      </w:r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 2022 m. EIB grupė suteikė kapitalo lengvatų </w:t>
      </w:r>
      <w:r w:rsidR="00615661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„</w:t>
      </w:r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Citadele</w:t>
      </w:r>
      <w:r w:rsidR="00D54D1C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“</w:t>
      </w:r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 bankui,</w:t>
      </w:r>
      <w:r w:rsidR="00BE6FAD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 </w:t>
      </w:r>
      <w:r w:rsidR="0015062E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kuris skirs 4</w:t>
      </w:r>
      <w:r w:rsidR="00BE6FAD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60 mln. eurų </w:t>
      </w:r>
      <w:r w:rsidR="0015062E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vertės </w:t>
      </w:r>
      <w:r w:rsidR="00BE6FAD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lengvatinių paskolų ir lizingo sutarčių Baltijos šalių įmonėms. </w:t>
      </w:r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 </w:t>
      </w:r>
    </w:p>
    <w:p w14:paraId="1221B2DF" w14:textId="45154840" w:rsidR="00A704B9" w:rsidRPr="007D04DB" w:rsidRDefault="00A704B9" w:rsidP="63A0963D">
      <w:pPr>
        <w:spacing w:before="120" w:after="120" w:line="240" w:lineRule="auto"/>
        <w:jc w:val="both"/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</w:pPr>
      <w:r w:rsidRPr="007D04DB">
        <w:rPr>
          <w:rFonts w:ascii="Roboto" w:eastAsia="Arial" w:hAnsi="Roboto" w:cs="Arial"/>
          <w:b/>
          <w:bCs/>
          <w:kern w:val="0"/>
          <w:sz w:val="22"/>
          <w:szCs w:val="22"/>
          <w:lang w:val="lt-LT"/>
          <w14:ligatures w14:val="none"/>
        </w:rPr>
        <w:t>„</w:t>
      </w:r>
      <w:proofErr w:type="spellStart"/>
      <w:r w:rsidRPr="007D04DB">
        <w:rPr>
          <w:rFonts w:ascii="Roboto" w:eastAsia="Arial" w:hAnsi="Roboto" w:cs="Arial"/>
          <w:b/>
          <w:bCs/>
          <w:kern w:val="0"/>
          <w:sz w:val="22"/>
          <w:szCs w:val="22"/>
          <w:lang w:val="lt-LT"/>
          <w14:ligatures w14:val="none"/>
        </w:rPr>
        <w:t>InvestEU</w:t>
      </w:r>
      <w:proofErr w:type="spellEnd"/>
      <w:r w:rsidRPr="007D04DB">
        <w:rPr>
          <w:rFonts w:ascii="Roboto" w:eastAsia="Arial" w:hAnsi="Roboto" w:cs="Arial"/>
          <w:b/>
          <w:bCs/>
          <w:kern w:val="0"/>
          <w:sz w:val="22"/>
          <w:szCs w:val="22"/>
          <w:lang w:val="lt-LT"/>
          <w14:ligatures w14:val="none"/>
        </w:rPr>
        <w:t>“</w:t>
      </w:r>
      <w:r w:rsidR="005A7405" w:rsidRPr="007D04DB">
        <w:rPr>
          <w:rFonts w:ascii="Roboto" w:eastAsia="Arial" w:hAnsi="Roboto" w:cs="Arial"/>
          <w:b/>
          <w:bCs/>
          <w:kern w:val="0"/>
          <w:sz w:val="22"/>
          <w:szCs w:val="22"/>
          <w:lang w:val="lt-LT"/>
          <w14:ligatures w14:val="none"/>
        </w:rPr>
        <w:t xml:space="preserve"> programa</w:t>
      </w:r>
      <w:r w:rsidRPr="007D04DB">
        <w:rPr>
          <w:rFonts w:ascii="Roboto" w:eastAsia="Arial" w:hAnsi="Roboto" w:cs="Arial"/>
          <w:b/>
          <w:bCs/>
          <w:kern w:val="0"/>
          <w:sz w:val="22"/>
          <w:szCs w:val="22"/>
          <w:lang w:val="lt-LT"/>
          <w14:ligatures w14:val="none"/>
        </w:rPr>
        <w:t>:</w:t>
      </w:r>
    </w:p>
    <w:p w14:paraId="31D7DB5F" w14:textId="004448E7" w:rsidR="00A704B9" w:rsidRPr="007D04DB" w:rsidRDefault="00A704B9" w:rsidP="63A0963D">
      <w:pPr>
        <w:spacing w:before="120" w:after="120" w:line="240" w:lineRule="auto"/>
        <w:jc w:val="both"/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</w:pPr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„</w:t>
      </w:r>
      <w:proofErr w:type="spellStart"/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InvestEU</w:t>
      </w:r>
      <w:proofErr w:type="spellEnd"/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“ programa suteikia ES svarbų ilgalaikį finansavimą, pasitelkdama </w:t>
      </w:r>
      <w:r w:rsidR="006B231B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lėšas</w:t>
      </w:r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, skirtas tvariam ekonomikos atsigavimui. Ji taip pat </w:t>
      </w:r>
      <w:r w:rsidR="005A7405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skatina investicijas į Europos žaliąjį kursą ir </w:t>
      </w:r>
      <w:proofErr w:type="spellStart"/>
      <w:r w:rsidR="005A7405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skaitmenizaciją</w:t>
      </w:r>
      <w:proofErr w:type="spellEnd"/>
      <w:r w:rsidR="005A7405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.</w:t>
      </w:r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 „</w:t>
      </w:r>
      <w:proofErr w:type="spellStart"/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InvestEU</w:t>
      </w:r>
      <w:proofErr w:type="spellEnd"/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“ program</w:t>
      </w:r>
      <w:r w:rsidR="005A7405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os dėka investicinių projektų finansavimas tampa efektyvesnis ir lankstesnis. </w:t>
      </w:r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Programą sudaro trys </w:t>
      </w:r>
      <w:r w:rsidR="005A7405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dalys</w:t>
      </w:r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: „</w:t>
      </w:r>
      <w:proofErr w:type="spellStart"/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InvestEU</w:t>
      </w:r>
      <w:proofErr w:type="spellEnd"/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“ fondas, „</w:t>
      </w:r>
      <w:proofErr w:type="spellStart"/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InvestEU</w:t>
      </w:r>
      <w:proofErr w:type="spellEnd"/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“ konsultacinis centras ir „</w:t>
      </w:r>
      <w:proofErr w:type="spellStart"/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InvestEU</w:t>
      </w:r>
      <w:proofErr w:type="spellEnd"/>
      <w:r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“ portalas. </w:t>
      </w:r>
    </w:p>
    <w:p w14:paraId="4107947E" w14:textId="56AD7DE3" w:rsidR="00A704B9" w:rsidRPr="007D04DB" w:rsidRDefault="00A704B9" w:rsidP="63A0963D">
      <w:pPr>
        <w:spacing w:before="120" w:after="120" w:line="240" w:lineRule="auto"/>
        <w:jc w:val="both"/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</w:pPr>
      <w:r w:rsidRPr="007D04DB">
        <w:rPr>
          <w:rFonts w:ascii="Roboto" w:eastAsia="Arial" w:hAnsi="Roboto" w:cs="Arial"/>
          <w:b/>
          <w:bCs/>
          <w:kern w:val="0"/>
          <w:sz w:val="22"/>
          <w:szCs w:val="22"/>
          <w:lang w:val="lt-LT"/>
          <w14:ligatures w14:val="none"/>
        </w:rPr>
        <w:t xml:space="preserve"> </w:t>
      </w:r>
      <w:r w:rsidR="005A7405" w:rsidRPr="007D04DB">
        <w:rPr>
          <w:rFonts w:ascii="Roboto" w:eastAsia="Arial" w:hAnsi="Roboto" w:cs="Arial"/>
          <w:b/>
          <w:bCs/>
          <w:kern w:val="0"/>
          <w:sz w:val="22"/>
          <w:szCs w:val="22"/>
          <w:lang w:val="lt-LT"/>
          <w14:ligatures w14:val="none"/>
        </w:rPr>
        <w:t>„</w:t>
      </w:r>
      <w:r w:rsidRPr="007D04DB">
        <w:rPr>
          <w:rFonts w:ascii="Roboto" w:eastAsia="Arial" w:hAnsi="Roboto" w:cs="Arial"/>
          <w:b/>
          <w:bCs/>
          <w:kern w:val="0"/>
          <w:sz w:val="22"/>
          <w:szCs w:val="22"/>
          <w:lang w:val="lt-LT"/>
          <w14:ligatures w14:val="none"/>
        </w:rPr>
        <w:t>Citadele</w:t>
      </w:r>
      <w:r w:rsidR="00DF0B6A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“</w:t>
      </w:r>
      <w:r w:rsidRPr="007D04DB">
        <w:rPr>
          <w:rFonts w:ascii="Roboto" w:eastAsia="Arial" w:hAnsi="Roboto" w:cs="Arial"/>
          <w:b/>
          <w:bCs/>
          <w:kern w:val="0"/>
          <w:sz w:val="22"/>
          <w:szCs w:val="22"/>
          <w:lang w:val="lt-LT"/>
          <w14:ligatures w14:val="none"/>
        </w:rPr>
        <w:t xml:space="preserve"> grup</w:t>
      </w:r>
      <w:r w:rsidR="005A7405" w:rsidRPr="007D04DB">
        <w:rPr>
          <w:rFonts w:ascii="Roboto" w:eastAsia="Arial" w:hAnsi="Roboto" w:cs="Arial"/>
          <w:b/>
          <w:bCs/>
          <w:kern w:val="0"/>
          <w:sz w:val="22"/>
          <w:szCs w:val="22"/>
          <w:lang w:val="lt-LT"/>
          <w14:ligatures w14:val="none"/>
        </w:rPr>
        <w:t>ė</w:t>
      </w:r>
      <w:r w:rsidRPr="007D04DB">
        <w:rPr>
          <w:rFonts w:ascii="Roboto" w:eastAsia="Arial" w:hAnsi="Roboto" w:cs="Arial"/>
          <w:b/>
          <w:bCs/>
          <w:kern w:val="0"/>
          <w:sz w:val="22"/>
          <w:szCs w:val="22"/>
          <w:lang w:val="lt-LT"/>
          <w14:ligatures w14:val="none"/>
        </w:rPr>
        <w:t>:</w:t>
      </w:r>
    </w:p>
    <w:p w14:paraId="5AD87C77" w14:textId="2B295F5B" w:rsidR="00A704B9" w:rsidRPr="007D04DB" w:rsidRDefault="15A3FCFB" w:rsidP="63A0963D">
      <w:pPr>
        <w:spacing w:before="120" w:after="120" w:line="240" w:lineRule="auto"/>
        <w:jc w:val="both"/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</w:pPr>
      <w:r w:rsidRPr="007D04DB">
        <w:rPr>
          <w:rFonts w:ascii="Roboto" w:eastAsia="Arial" w:hAnsi="Roboto" w:cs="Arial"/>
          <w:sz w:val="22"/>
          <w:szCs w:val="22"/>
          <w:lang w:val="lt-LT"/>
        </w:rPr>
        <w:t xml:space="preserve"> „Citadele“ grupė siekia modernizuoti finansų sektorių ir plėsti finansavimo galimybes asmenims bei įmonėms visose Baltijos šalyse.</w:t>
      </w:r>
      <w:r w:rsidR="00A704B9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 Be tradicinių bankininkystės paslaugų, </w:t>
      </w:r>
      <w:r w:rsidR="005A7405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„</w:t>
      </w:r>
      <w:r w:rsidR="00A704B9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Citadele</w:t>
      </w:r>
      <w:r w:rsidR="008B32E0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“</w:t>
      </w:r>
      <w:r w:rsidR="005A7405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 </w:t>
      </w:r>
      <w:r w:rsidR="00A704B9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siūlo pažangiausius technologinius sprendimus</w:t>
      </w:r>
      <w:r w:rsidR="005A7405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 </w:t>
      </w:r>
      <w:r w:rsidR="0089420F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–</w:t>
      </w:r>
      <w:r w:rsidR="005A7405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 </w:t>
      </w:r>
      <w:r w:rsidR="00A704B9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modernią mobiliąją programėlę, bekontakčius ir momentinius mokėjimus, inovatyvias funkcijas, tokias kaip sąskaitos atidarymas</w:t>
      </w:r>
      <w:r w:rsidR="00AB179D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 naudojant</w:t>
      </w:r>
      <w:r w:rsidR="00A704B9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 </w:t>
      </w:r>
      <w:proofErr w:type="spellStart"/>
      <w:r w:rsidR="00A704B9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asmenukę</w:t>
      </w:r>
      <w:proofErr w:type="spellEnd"/>
      <w:r w:rsidR="00AB179D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 (angl. „</w:t>
      </w:r>
      <w:proofErr w:type="spellStart"/>
      <w:r w:rsidR="00AB179D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selfie</w:t>
      </w:r>
      <w:proofErr w:type="spellEnd"/>
      <w:r w:rsidR="00AB179D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“)</w:t>
      </w:r>
      <w:r w:rsidR="00A704B9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, mokėjimo žied</w:t>
      </w:r>
      <w:r w:rsidR="005A7405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us</w:t>
      </w:r>
      <w:r w:rsidR="00A704B9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 ir mokėjim</w:t>
      </w:r>
      <w:r w:rsidR="005A7405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us</w:t>
      </w:r>
      <w:r w:rsidR="00A704B9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 mobiliuoju numeriu. Įmonėms siūlomos pažangios paslaugos, tokios kaip nuotolinis sąskaitos atidarymas, </w:t>
      </w:r>
      <w:r w:rsidR="005A7405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„</w:t>
      </w:r>
      <w:r w:rsidR="00A704B9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Citadele</w:t>
      </w:r>
      <w:r w:rsidR="007A211C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“</w:t>
      </w:r>
      <w:r w:rsidR="00A704B9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 telefono POS kortelių priėmimo programėlė ir „Klix</w:t>
      </w:r>
      <w:r w:rsidR="008B32E0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“</w:t>
      </w:r>
      <w:r w:rsidR="00A704B9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 universalus elektroninės komercijos įrankis. </w:t>
      </w:r>
      <w:r w:rsidR="005A7405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„</w:t>
      </w:r>
      <w:r w:rsidR="00A704B9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Citadele</w:t>
      </w:r>
      <w:r w:rsidR="005A7405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>”</w:t>
      </w:r>
      <w:r w:rsidR="00A704B9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 bank</w:t>
      </w:r>
      <w:r w:rsidR="005A7405" w:rsidRPr="007D04DB">
        <w:rPr>
          <w:rFonts w:ascii="Roboto" w:eastAsia="Arial" w:hAnsi="Roboto" w:cs="Arial"/>
          <w:kern w:val="0"/>
          <w:sz w:val="22"/>
          <w:szCs w:val="22"/>
          <w:lang w:val="lt-LT"/>
          <w14:ligatures w14:val="none"/>
        </w:rPr>
        <w:t xml:space="preserve">o centrinė būstinė įsikūrusi Latvijoje taip pat valdo dukterinius filialus Lietuvoje ir Estijoje. </w:t>
      </w:r>
    </w:p>
    <w:p w14:paraId="72EAF384" w14:textId="77777777" w:rsidR="00F41CED" w:rsidRPr="000B028B" w:rsidRDefault="00F41CED" w:rsidP="63A0963D">
      <w:pPr>
        <w:spacing w:before="120" w:after="120" w:line="240" w:lineRule="auto"/>
        <w:jc w:val="both"/>
        <w:rPr>
          <w:rFonts w:ascii="Arial" w:eastAsia="Arial" w:hAnsi="Arial" w:cs="Arial"/>
          <w:sz w:val="22"/>
          <w:szCs w:val="22"/>
          <w:lang w:val="lt-LT"/>
        </w:rPr>
      </w:pPr>
    </w:p>
    <w:sectPr w:rsidR="00F41CED" w:rsidRPr="000B02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CD46A" w14:textId="77777777" w:rsidR="00951FE9" w:rsidRDefault="00951FE9" w:rsidP="0003736D">
      <w:pPr>
        <w:spacing w:after="0" w:line="240" w:lineRule="auto"/>
      </w:pPr>
      <w:r>
        <w:separator/>
      </w:r>
    </w:p>
  </w:endnote>
  <w:endnote w:type="continuationSeparator" w:id="0">
    <w:p w14:paraId="23B2B64A" w14:textId="77777777" w:rsidR="00951FE9" w:rsidRDefault="00951FE9" w:rsidP="00037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889516" w14:textId="77777777" w:rsidR="00951FE9" w:rsidRDefault="00951FE9" w:rsidP="0003736D">
      <w:pPr>
        <w:spacing w:after="0" w:line="240" w:lineRule="auto"/>
      </w:pPr>
      <w:r>
        <w:separator/>
      </w:r>
    </w:p>
  </w:footnote>
  <w:footnote w:type="continuationSeparator" w:id="0">
    <w:p w14:paraId="233E6317" w14:textId="77777777" w:rsidR="00951FE9" w:rsidRDefault="00951FE9" w:rsidP="000373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017124"/>
    <w:multiLevelType w:val="hybridMultilevel"/>
    <w:tmpl w:val="89BA1F3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416341A7"/>
    <w:multiLevelType w:val="hybridMultilevel"/>
    <w:tmpl w:val="AB8CB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53779C"/>
    <w:multiLevelType w:val="hybridMultilevel"/>
    <w:tmpl w:val="B652E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943224">
    <w:abstractNumId w:val="0"/>
  </w:num>
  <w:num w:numId="2" w16cid:durableId="1879126130">
    <w:abstractNumId w:val="1"/>
  </w:num>
  <w:num w:numId="3" w16cid:durableId="8536154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4B9"/>
    <w:rsid w:val="000308CE"/>
    <w:rsid w:val="0003736D"/>
    <w:rsid w:val="00051663"/>
    <w:rsid w:val="00053723"/>
    <w:rsid w:val="000861FA"/>
    <w:rsid w:val="000B028B"/>
    <w:rsid w:val="000E1752"/>
    <w:rsid w:val="001418D5"/>
    <w:rsid w:val="0015062E"/>
    <w:rsid w:val="00157D2B"/>
    <w:rsid w:val="001A229C"/>
    <w:rsid w:val="00220588"/>
    <w:rsid w:val="00241469"/>
    <w:rsid w:val="00281719"/>
    <w:rsid w:val="00301B8B"/>
    <w:rsid w:val="003756D1"/>
    <w:rsid w:val="00393C21"/>
    <w:rsid w:val="003F3EE8"/>
    <w:rsid w:val="003F694C"/>
    <w:rsid w:val="004C16F5"/>
    <w:rsid w:val="004E7004"/>
    <w:rsid w:val="004F2F4B"/>
    <w:rsid w:val="00550F39"/>
    <w:rsid w:val="00584C83"/>
    <w:rsid w:val="005A7405"/>
    <w:rsid w:val="005C34CE"/>
    <w:rsid w:val="00615661"/>
    <w:rsid w:val="006273AF"/>
    <w:rsid w:val="00632B59"/>
    <w:rsid w:val="0064738F"/>
    <w:rsid w:val="00654113"/>
    <w:rsid w:val="006740F6"/>
    <w:rsid w:val="006B231B"/>
    <w:rsid w:val="006F632F"/>
    <w:rsid w:val="007058AF"/>
    <w:rsid w:val="0072481B"/>
    <w:rsid w:val="00737758"/>
    <w:rsid w:val="0074095B"/>
    <w:rsid w:val="007919D5"/>
    <w:rsid w:val="007A211C"/>
    <w:rsid w:val="007D04DB"/>
    <w:rsid w:val="0080159D"/>
    <w:rsid w:val="0083234E"/>
    <w:rsid w:val="0084155F"/>
    <w:rsid w:val="00873A6D"/>
    <w:rsid w:val="008849E0"/>
    <w:rsid w:val="0089420F"/>
    <w:rsid w:val="008B1ADF"/>
    <w:rsid w:val="008B32E0"/>
    <w:rsid w:val="008C5C63"/>
    <w:rsid w:val="008D0011"/>
    <w:rsid w:val="00910CC9"/>
    <w:rsid w:val="00924A98"/>
    <w:rsid w:val="00931961"/>
    <w:rsid w:val="00933515"/>
    <w:rsid w:val="00940DAC"/>
    <w:rsid w:val="00947427"/>
    <w:rsid w:val="009475B1"/>
    <w:rsid w:val="00951FE9"/>
    <w:rsid w:val="00986365"/>
    <w:rsid w:val="00993D04"/>
    <w:rsid w:val="009F6674"/>
    <w:rsid w:val="00A453F9"/>
    <w:rsid w:val="00A56120"/>
    <w:rsid w:val="00A704B9"/>
    <w:rsid w:val="00AB179D"/>
    <w:rsid w:val="00AC4A60"/>
    <w:rsid w:val="00B00EDD"/>
    <w:rsid w:val="00B00F98"/>
    <w:rsid w:val="00B121C2"/>
    <w:rsid w:val="00B235CE"/>
    <w:rsid w:val="00B25388"/>
    <w:rsid w:val="00B32A96"/>
    <w:rsid w:val="00B34087"/>
    <w:rsid w:val="00B8615A"/>
    <w:rsid w:val="00B95086"/>
    <w:rsid w:val="00BE4153"/>
    <w:rsid w:val="00BE6FAD"/>
    <w:rsid w:val="00BF78D5"/>
    <w:rsid w:val="00C83DAD"/>
    <w:rsid w:val="00D02A9F"/>
    <w:rsid w:val="00D10B3B"/>
    <w:rsid w:val="00D31F3C"/>
    <w:rsid w:val="00D33E98"/>
    <w:rsid w:val="00D40FB2"/>
    <w:rsid w:val="00D54D1C"/>
    <w:rsid w:val="00D607B4"/>
    <w:rsid w:val="00DB5285"/>
    <w:rsid w:val="00DD3C67"/>
    <w:rsid w:val="00DE4414"/>
    <w:rsid w:val="00DF0B6A"/>
    <w:rsid w:val="00E143F6"/>
    <w:rsid w:val="00E26B14"/>
    <w:rsid w:val="00E308BA"/>
    <w:rsid w:val="00E448BA"/>
    <w:rsid w:val="00EA7F1C"/>
    <w:rsid w:val="00EB3769"/>
    <w:rsid w:val="00F13E38"/>
    <w:rsid w:val="00F41CED"/>
    <w:rsid w:val="00F67246"/>
    <w:rsid w:val="00F74854"/>
    <w:rsid w:val="00FA0801"/>
    <w:rsid w:val="00FB323A"/>
    <w:rsid w:val="00FB4066"/>
    <w:rsid w:val="00FB4893"/>
    <w:rsid w:val="00FD1528"/>
    <w:rsid w:val="00FD4F43"/>
    <w:rsid w:val="00FD6393"/>
    <w:rsid w:val="00FF6D5D"/>
    <w:rsid w:val="15A3FCFB"/>
    <w:rsid w:val="2833792C"/>
    <w:rsid w:val="2FFCEE19"/>
    <w:rsid w:val="306EA431"/>
    <w:rsid w:val="3339CD70"/>
    <w:rsid w:val="3364C1AC"/>
    <w:rsid w:val="34825A76"/>
    <w:rsid w:val="35EA44E9"/>
    <w:rsid w:val="454840D2"/>
    <w:rsid w:val="4B150D36"/>
    <w:rsid w:val="55CE4D22"/>
    <w:rsid w:val="56EB973F"/>
    <w:rsid w:val="5D062E69"/>
    <w:rsid w:val="60AA1EEF"/>
    <w:rsid w:val="613F7535"/>
    <w:rsid w:val="636ACA33"/>
    <w:rsid w:val="63A0963D"/>
    <w:rsid w:val="6A3C938F"/>
    <w:rsid w:val="6AB1C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17E51D6"/>
  <w15:chartTrackingRefBased/>
  <w15:docId w15:val="{6E1F5504-C723-2C4F-8897-D5C1B9622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04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04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704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704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04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704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704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704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704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04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A704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A704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04B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04B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04B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04B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04B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04B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704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704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04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704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704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704B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704B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704B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04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04B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704B9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A704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A704B9"/>
    <w:rPr>
      <w:b/>
      <w:bCs/>
    </w:rPr>
  </w:style>
  <w:style w:type="character" w:customStyle="1" w:styleId="apple-converted-space">
    <w:name w:val="apple-converted-space"/>
    <w:basedOn w:val="DefaultParagraphFont"/>
    <w:rsid w:val="00A704B9"/>
  </w:style>
  <w:style w:type="paragraph" w:styleId="Revision">
    <w:name w:val="Revision"/>
    <w:hidden/>
    <w:uiPriority w:val="99"/>
    <w:semiHidden/>
    <w:rsid w:val="00AC4A60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473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73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73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73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738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373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736D"/>
  </w:style>
  <w:style w:type="paragraph" w:styleId="Footer">
    <w:name w:val="footer"/>
    <w:basedOn w:val="Normal"/>
    <w:link w:val="FooterChar"/>
    <w:uiPriority w:val="99"/>
    <w:unhideWhenUsed/>
    <w:rsid w:val="000373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73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75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0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11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89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15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93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79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89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10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40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49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0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05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7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3E465DD4171042BC7C2C187D47B5B6" ma:contentTypeVersion="18" ma:contentTypeDescription="Create a new document." ma:contentTypeScope="" ma:versionID="57d26ac158f898daf342069d6257b6b2">
  <xsd:schema xmlns:xsd="http://www.w3.org/2001/XMLSchema" xmlns:xs="http://www.w3.org/2001/XMLSchema" xmlns:p="http://schemas.microsoft.com/office/2006/metadata/properties" xmlns:ns2="5442cf83-f2d0-4e9b-aca9-69fb95f7b7ba" xmlns:ns3="979c4d7a-add2-4366-bc0a-7d8a38ee41a4" targetNamespace="http://schemas.microsoft.com/office/2006/metadata/properties" ma:root="true" ma:fieldsID="986f7e4ac5c8038ffa45c816c63814c9" ns2:_="" ns3:_="">
    <xsd:import namespace="5442cf83-f2d0-4e9b-aca9-69fb95f7b7ba"/>
    <xsd:import namespace="979c4d7a-add2-4366-bc0a-7d8a38ee41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42cf83-f2d0-4e9b-aca9-69fb95f7b7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e3b1693-7ebd-4a19-a9d8-fa48137a85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9c4d7a-add2-4366-bc0a-7d8a38ee41a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75a9fc-c3c8-4fbe-acfe-7c8fbeb99da1}" ma:internalName="TaxCatchAll" ma:showField="CatchAllData" ma:web="979c4d7a-add2-4366-bc0a-7d8a38ee4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79c4d7a-add2-4366-bc0a-7d8a38ee41a4">
      <UserInfo>
        <DisplayName/>
        <AccountId xsi:nil="true"/>
        <AccountType/>
      </UserInfo>
    </SharedWithUsers>
    <lcf76f155ced4ddcb4097134ff3c332f xmlns="5442cf83-f2d0-4e9b-aca9-69fb95f7b7ba">
      <Terms xmlns="http://schemas.microsoft.com/office/infopath/2007/PartnerControls"/>
    </lcf76f155ced4ddcb4097134ff3c332f>
    <TaxCatchAll xmlns="979c4d7a-add2-4366-bc0a-7d8a38ee41a4" xsi:nil="true"/>
  </documentManagement>
</p:properties>
</file>

<file path=customXml/itemProps1.xml><?xml version="1.0" encoding="utf-8"?>
<ds:datastoreItem xmlns:ds="http://schemas.openxmlformats.org/officeDocument/2006/customXml" ds:itemID="{1330E82C-52C1-264F-960B-664FB9987B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4F9F8E-2516-49FD-94F9-A8F7BFDE19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42cf83-f2d0-4e9b-aca9-69fb95f7b7ba"/>
    <ds:schemaRef ds:uri="979c4d7a-add2-4366-bc0a-7d8a38ee41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BB5C39-88A2-4C92-848F-BBB3099721C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D55766-5576-4051-A85C-936E30CD3236}">
  <ds:schemaRefs>
    <ds:schemaRef ds:uri="http://schemas.microsoft.com/office/2006/metadata/properties"/>
    <ds:schemaRef ds:uri="http://schemas.microsoft.com/office/infopath/2007/PartnerControls"/>
    <ds:schemaRef ds:uri="979c4d7a-add2-4366-bc0a-7d8a38ee41a4"/>
    <ds:schemaRef ds:uri="5442cf83-f2d0-4e9b-aca9-69fb95f7b7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Pitrinaitė</dc:creator>
  <cp:keywords/>
  <dc:description/>
  <cp:lastModifiedBy>Author</cp:lastModifiedBy>
  <cp:revision>9</cp:revision>
  <dcterms:created xsi:type="dcterms:W3CDTF">2025-05-27T05:56:00Z</dcterms:created>
  <dcterms:modified xsi:type="dcterms:W3CDTF">2025-06-02T06:41:00Z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0x010100A73E465DD4171042BC7C2C187D47B5B6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SIP_Label_d680cbd1-a941-401d-8cd3-f39a5eeaef11_Enabled">
    <vt:lpwstr>true</vt:lpwstr>
  </property>
  <property fmtid="{D5CDD505-2E9C-101B-9397-08002B2CF9AE}" pid="8" name="MSIP_Label_d680cbd1-a941-401d-8cd3-f39a5eeaef11_SetDate">
    <vt:lpwstr>2025-05-27T05:56:22Z</vt:lpwstr>
  </property>
  <property fmtid="{D5CDD505-2E9C-101B-9397-08002B2CF9AE}" pid="9" name="MSIP_Label_d680cbd1-a941-401d-8cd3-f39a5eeaef11_Method">
    <vt:lpwstr>Privileged</vt:lpwstr>
  </property>
  <property fmtid="{D5CDD505-2E9C-101B-9397-08002B2CF9AE}" pid="10" name="MSIP_Label_d680cbd1-a941-401d-8cd3-f39a5eeaef11_Name">
    <vt:lpwstr>d680cbd1-a941-401d-8cd3-f39a5eeaef11</vt:lpwstr>
  </property>
  <property fmtid="{D5CDD505-2E9C-101B-9397-08002B2CF9AE}" pid="11" name="MSIP_Label_d680cbd1-a941-401d-8cd3-f39a5eeaef11_SiteId">
    <vt:lpwstr>07bdd1fd-92fa-43d7-9bd4-931b91b523c6</vt:lpwstr>
  </property>
  <property fmtid="{D5CDD505-2E9C-101B-9397-08002B2CF9AE}" pid="12" name="MSIP_Label_d680cbd1-a941-401d-8cd3-f39a5eeaef11_ActionId">
    <vt:lpwstr>a78c0bc1-5339-453b-bc50-42c2dcd45f02</vt:lpwstr>
  </property>
  <property fmtid="{D5CDD505-2E9C-101B-9397-08002B2CF9AE}" pid="13" name="MSIP_Label_d680cbd1-a941-401d-8cd3-f39a5eeaef11_ContentBits">
    <vt:lpwstr>0</vt:lpwstr>
  </property>
  <property fmtid="{D5CDD505-2E9C-101B-9397-08002B2CF9AE}" pid="14" name="MSIP_Label_d680cbd1-a941-401d-8cd3-f39a5eeaef11_Tag">
    <vt:lpwstr>10, 0, 1, 1</vt:lpwstr>
  </property>
</Properties>
</file>